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jc w:val="center"/>
        <w:ind w:left="3880" w:right="940" w:hanging="2932"/>
        <w:spacing w:after="0" w:line="476" w:lineRule="auto"/>
        <w:tabs>
          <w:tab w:leader="none" w:pos="115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25"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For the transition period from________to________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001-40193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766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8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86-1286799</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3580" w:type="dxa"/>
            <w:vAlign w:val="bottom"/>
            <w:tcBorders>
              <w:top w:val="single" w:sz="8" w:color="auto"/>
            </w:tcBorders>
          </w:tcPr>
          <w:p>
            <w:pPr>
              <w:jc w:val="center"/>
              <w:ind w:right="183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66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Identification No.)</w:t>
            </w:r>
          </w:p>
        </w:tc>
      </w:tr>
      <w:tr>
        <w:trPr>
          <w:trHeight w:val="439"/>
        </w:trPr>
        <w:tc>
          <w:tcPr>
            <w:tcW w:w="7660" w:type="dxa"/>
            <w:vAlign w:val="bottom"/>
            <w:tcBorders>
              <w:bottom w:val="single" w:sz="8" w:color="auto"/>
            </w:tcBorders>
            <w:gridSpan w:val="3"/>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5400 Betsy Ross Drive, Santa Clara, CA 95054</w:t>
            </w:r>
          </w:p>
        </w:tc>
        <w:tc>
          <w:tcPr>
            <w:tcW w:w="3580" w:type="dxa"/>
            <w:vAlign w:val="bottom"/>
            <w:tcBorders>
              <w:bottom w:val="single" w:sz="8" w:color="auto"/>
            </w:tcBorders>
          </w:tcPr>
          <w:p>
            <w:pPr>
              <w:spacing w:after="0"/>
              <w:rPr>
                <w:sz w:val="24"/>
                <w:szCs w:val="24"/>
                <w:color w:val="auto"/>
              </w:rPr>
            </w:pPr>
          </w:p>
        </w:tc>
      </w:tr>
      <w:tr>
        <w:trPr>
          <w:trHeight w:val="234"/>
        </w:trPr>
        <w:tc>
          <w:tcPr>
            <w:tcW w:w="7660" w:type="dxa"/>
            <w:vAlign w:val="bottom"/>
            <w:gridSpan w:val="3"/>
          </w:tcPr>
          <w:p>
            <w:pPr>
              <w:jc w:val="center"/>
              <w:ind w:left="351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580" w:type="dxa"/>
            <w:vAlign w:val="bottom"/>
          </w:tcPr>
          <w:p>
            <w:pPr>
              <w:spacing w:after="0"/>
              <w:rPr>
                <w:sz w:val="20"/>
                <w:szCs w:val="20"/>
                <w:color w:val="auto"/>
              </w:rPr>
            </w:pPr>
          </w:p>
        </w:tc>
      </w:tr>
      <w:tr>
        <w:trPr>
          <w:trHeight w:val="421"/>
        </w:trPr>
        <w:tc>
          <w:tcPr>
            <w:tcW w:w="7660" w:type="dxa"/>
            <w:vAlign w:val="bottom"/>
            <w:tcBorders>
              <w:bottom w:val="single" w:sz="8" w:color="auto"/>
            </w:tcBorders>
            <w:gridSpan w:val="3"/>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(408) 441-3200</w:t>
            </w:r>
          </w:p>
        </w:tc>
        <w:tc>
          <w:tcPr>
            <w:tcW w:w="3580" w:type="dxa"/>
            <w:vAlign w:val="bottom"/>
            <w:tcBorders>
              <w:bottom w:val="single" w:sz="8" w:color="auto"/>
            </w:tcBorders>
          </w:tcPr>
          <w:p>
            <w:pPr>
              <w:spacing w:after="0"/>
              <w:rPr>
                <w:sz w:val="24"/>
                <w:szCs w:val="24"/>
                <w:color w:val="auto"/>
              </w:rPr>
            </w:pPr>
          </w:p>
        </w:tc>
      </w:tr>
      <w:tr>
        <w:trPr>
          <w:trHeight w:val="234"/>
        </w:trPr>
        <w:tc>
          <w:tcPr>
            <w:tcW w:w="766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80" w:type="dxa"/>
            <w:vAlign w:val="bottom"/>
          </w:tcPr>
          <w:p>
            <w:pPr>
              <w:spacing w:after="0"/>
              <w:rPr>
                <w:sz w:val="20"/>
                <w:szCs w:val="20"/>
                <w:color w:val="auto"/>
              </w:rPr>
            </w:pP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r>
      <w:tr>
        <w:trPr>
          <w:trHeight w:val="198"/>
        </w:trPr>
        <w:tc>
          <w:tcPr>
            <w:tcW w:w="384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Class A Common stock, par value $0.0001 per</w:t>
            </w:r>
          </w:p>
        </w:tc>
        <w:tc>
          <w:tcPr>
            <w:tcW w:w="3800" w:type="dxa"/>
            <w:vAlign w:val="bottom"/>
            <w:gridSpan w:val="2"/>
            <w:shd w:val="clear" w:color="auto" w:fill="CCEEFF"/>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7"/>
              </w:rPr>
              <w:t>SOUN</w:t>
            </w:r>
          </w:p>
        </w:tc>
        <w:tc>
          <w:tcPr>
            <w:tcW w:w="36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Redeemable Warrants</w:t>
            </w:r>
          </w:p>
        </w:tc>
        <w:tc>
          <w:tcPr>
            <w:tcW w:w="38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SOUNW</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09" w:right="339" w:bottom="1440" w:gutter="0" w:footer="0" w:header="0"/>
        </w:sectPr>
      </w:pPr>
    </w:p>
    <w:p>
      <w:pPr>
        <w:spacing w:after="0" w:line="147"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Large accelerated filer</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w:t>
      </w:r>
    </w:p>
    <w:p>
      <w:pPr>
        <w:spacing w:after="0" w:line="9"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w:t>
      </w:r>
    </w:p>
    <w:p>
      <w:pPr>
        <w:spacing w:after="0" w:line="200" w:lineRule="exact"/>
        <w:rPr>
          <w:sz w:val="24"/>
          <w:szCs w:val="24"/>
          <w:color w:val="auto"/>
        </w:rPr>
      </w:pPr>
    </w:p>
    <w:p>
      <w:pPr>
        <w:sectPr>
          <w:pgSz w:w="11900" w:h="16838" w:orient="portrait"/>
          <w:cols w:equalWidth="0" w:num="2">
            <w:col w:w="5480" w:space="720"/>
            <w:col w:w="5040"/>
          </w:cols>
          <w:pgMar w:left="320" w:top="509" w:right="339" w:bottom="1440" w:gutter="0" w:footer="0" w:header="0"/>
          <w:type w:val="continuous"/>
        </w:sectPr>
      </w:pPr>
    </w:p>
    <w:p>
      <w:pPr>
        <w:spacing w:after="0" w:line="5" w:lineRule="exact"/>
        <w:rPr>
          <w:sz w:val="24"/>
          <w:szCs w:val="24"/>
          <w:color w:val="auto"/>
        </w:rPr>
      </w:pPr>
    </w:p>
    <w:p>
      <w:pPr>
        <w:ind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August 11, 2022, there were 156,530,885 shares of the Company’s Class A common stock, $0.0001 par value per share, issued and outstanding, and 40,396,600 shares of the Company’s Class B common stock, $0.0001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525780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18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PART I. FINANCIAL INFORMATION</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9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Financial Statements</w:t>
            </w:r>
          </w:p>
        </w:tc>
        <w:tc>
          <w:tcPr>
            <w:tcW w:w="10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9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rPr>
                <w:sz w:val="17"/>
                <w:szCs w:val="17"/>
                <w:color w:val="auto"/>
              </w:rPr>
            </w:pP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June 30, 2022 (unaudited) and December 31, 2021</w:t>
            </w:r>
          </w:p>
        </w:tc>
        <w:tc>
          <w:tcPr>
            <w:tcW w:w="10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9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75"/>
        </w:trPr>
        <w:tc>
          <w:tcPr>
            <w:tcW w:w="920" w:type="dxa"/>
            <w:vAlign w:val="bottom"/>
            <w:shd w:val="clear" w:color="auto" w:fill="CCEEFF"/>
          </w:tcPr>
          <w:p>
            <w:pPr>
              <w:spacing w:after="0"/>
              <w:rPr>
                <w:sz w:val="15"/>
                <w:szCs w:val="15"/>
                <w:color w:val="auto"/>
              </w:rPr>
            </w:pP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Loss for the three and six months ended June 30,</w:t>
            </w:r>
          </w:p>
        </w:tc>
        <w:tc>
          <w:tcPr>
            <w:tcW w:w="1060" w:type="dxa"/>
            <w:vAlign w:val="bottom"/>
            <w:shd w:val="clear" w:color="auto" w:fill="CCEEFF"/>
          </w:tcPr>
          <w:p>
            <w:pPr>
              <w:spacing w:after="0"/>
              <w:rPr>
                <w:sz w:val="15"/>
                <w:szCs w:val="15"/>
                <w:color w:val="auto"/>
              </w:rPr>
            </w:pPr>
          </w:p>
        </w:tc>
      </w:tr>
      <w:tr>
        <w:trPr>
          <w:trHeight w:val="217"/>
        </w:trPr>
        <w:tc>
          <w:tcPr>
            <w:tcW w:w="9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8540" w:type="dxa"/>
            <w:vAlign w:val="bottom"/>
            <w:tcBorders>
              <w:top w:val="single" w:sz="8" w:color="0000EE"/>
            </w:tcBorders>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2022 and 2021</w:t>
            </w:r>
          </w:p>
        </w:tc>
        <w:tc>
          <w:tcPr>
            <w:tcW w:w="560" w:type="dxa"/>
            <w:vAlign w:val="bottom"/>
            <w:tcBorders>
              <w:top w:val="single" w:sz="8" w:color="CCEEFF"/>
            </w:tcBorders>
            <w:gridSpan w:val="2"/>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9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75"/>
        </w:trPr>
        <w:tc>
          <w:tcPr>
            <w:tcW w:w="920" w:type="dxa"/>
            <w:vAlign w:val="bottom"/>
            <w:shd w:val="clear" w:color="auto" w:fill="CCEEFF"/>
          </w:tcPr>
          <w:p>
            <w:pPr>
              <w:spacing w:after="0"/>
              <w:rPr>
                <w:sz w:val="15"/>
                <w:szCs w:val="15"/>
                <w:color w:val="auto"/>
              </w:rPr>
            </w:pP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Redeemable Convertible Preferred Stock and Stockholders’ Equity (Deficit) for the</w:t>
            </w:r>
          </w:p>
        </w:tc>
        <w:tc>
          <w:tcPr>
            <w:tcW w:w="1060" w:type="dxa"/>
            <w:vAlign w:val="bottom"/>
            <w:shd w:val="clear" w:color="auto" w:fill="CCEEFF"/>
          </w:tcPr>
          <w:p>
            <w:pPr>
              <w:spacing w:after="0"/>
              <w:rPr>
                <w:sz w:val="15"/>
                <w:szCs w:val="15"/>
                <w:color w:val="auto"/>
              </w:rPr>
            </w:pPr>
          </w:p>
        </w:tc>
      </w:tr>
      <w:tr>
        <w:trPr>
          <w:trHeight w:val="217"/>
        </w:trPr>
        <w:tc>
          <w:tcPr>
            <w:tcW w:w="9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8720" w:type="dxa"/>
            <w:vAlign w:val="bottom"/>
            <w:tcBorders>
              <w:top w:val="single" w:sz="8" w:color="0000EE"/>
            </w:tcBorders>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three and six months ended June 30, 2022 and 2021</w:t>
            </w:r>
          </w:p>
        </w:tc>
        <w:tc>
          <w:tcPr>
            <w:tcW w:w="3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9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rPr>
                <w:sz w:val="17"/>
                <w:szCs w:val="17"/>
                <w:color w:val="auto"/>
              </w:rPr>
            </w:pP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six months ended June 30, 2022 and 2021</w:t>
            </w:r>
          </w:p>
        </w:tc>
        <w:tc>
          <w:tcPr>
            <w:tcW w:w="10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9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rPr>
                <w:sz w:val="17"/>
                <w:szCs w:val="17"/>
                <w:color w:val="auto"/>
              </w:rPr>
            </w:pP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10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9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0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9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0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9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480" w:type="dxa"/>
            <w:vAlign w:val="bottom"/>
            <w:tcBorders>
              <w:bottom w:val="single" w:sz="8" w:color="CCEEFF"/>
            </w:tcBorders>
            <w:gridSpan w:val="12"/>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10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96"/>
        </w:trPr>
        <w:tc>
          <w:tcPr>
            <w:tcW w:w="10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 OTHER INFORMATION</w:t>
            </w:r>
          </w:p>
        </w:tc>
        <w:tc>
          <w:tcPr>
            <w:tcW w:w="10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9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0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9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9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0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9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0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9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060" w:type="dxa"/>
            <w:vAlign w:val="bottom"/>
            <w:shd w:val="clear" w:color="auto" w:fill="CCEEFF"/>
          </w:tcPr>
          <w:p>
            <w:pPr>
              <w:jc w:val="right"/>
              <w:ind w:right="410"/>
              <w:spacing w:after="0" w:line="176" w:lineRule="exact"/>
              <w:rPr>
                <w:sz w:val="20"/>
                <w:szCs w:val="20"/>
                <w:color w:val="auto"/>
              </w:rPr>
            </w:pPr>
            <w:r>
              <w:rPr>
                <w:rFonts w:ascii="Times New Roman" w:cs="Times New Roman" w:eastAsia="Times New Roman" w:hAnsi="Times New Roman"/>
                <w:sz w:val="18"/>
                <w:szCs w:val="18"/>
                <w:color w:val="auto"/>
              </w:rPr>
              <w:t>47</w:t>
            </w:r>
          </w:p>
        </w:tc>
      </w:tr>
      <w:tr>
        <w:trPr>
          <w:trHeight w:val="216"/>
        </w:trPr>
        <w:tc>
          <w:tcPr>
            <w:tcW w:w="9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060" w:type="dxa"/>
            <w:vAlign w:val="bottom"/>
            <w:shd w:val="clear" w:color="auto" w:fill="CCEEFF"/>
          </w:tcPr>
          <w:p>
            <w:pPr>
              <w:jc w:val="right"/>
              <w:ind w:right="410"/>
              <w:spacing w:after="0" w:line="176" w:lineRule="exact"/>
              <w:rPr>
                <w:sz w:val="20"/>
                <w:szCs w:val="20"/>
                <w:color w:val="auto"/>
              </w:rPr>
            </w:pPr>
            <w:r>
              <w:rPr>
                <w:rFonts w:ascii="Times New Roman" w:cs="Times New Roman" w:eastAsia="Times New Roman" w:hAnsi="Times New Roman"/>
                <w:sz w:val="18"/>
                <w:szCs w:val="18"/>
                <w:color w:val="auto"/>
              </w:rPr>
              <w:t>47</w:t>
            </w:r>
          </w:p>
        </w:tc>
      </w:tr>
      <w:tr>
        <w:trPr>
          <w:trHeight w:val="216"/>
        </w:trPr>
        <w:tc>
          <w:tcPr>
            <w:tcW w:w="9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060" w:type="dxa"/>
            <w:vAlign w:val="bottom"/>
            <w:shd w:val="clear" w:color="auto" w:fill="CCEEFF"/>
          </w:tcPr>
          <w:p>
            <w:pPr>
              <w:jc w:val="right"/>
              <w:ind w:right="410"/>
              <w:spacing w:after="0" w:line="176" w:lineRule="exact"/>
              <w:rPr>
                <w:sz w:val="20"/>
                <w:szCs w:val="20"/>
                <w:color w:val="auto"/>
              </w:rPr>
            </w:pPr>
            <w:r>
              <w:rPr>
                <w:rFonts w:ascii="Times New Roman" w:cs="Times New Roman" w:eastAsia="Times New Roman" w:hAnsi="Times New Roman"/>
                <w:sz w:val="18"/>
                <w:szCs w:val="18"/>
                <w:color w:val="auto"/>
              </w:rPr>
              <w:t>47</w:t>
            </w:r>
          </w:p>
        </w:tc>
      </w:tr>
      <w:tr>
        <w:trPr>
          <w:trHeight w:val="216"/>
        </w:trPr>
        <w:tc>
          <w:tcPr>
            <w:tcW w:w="9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75"/>
        </w:trPr>
        <w:tc>
          <w:tcPr>
            <w:tcW w:w="10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060" w:type="dxa"/>
            <w:vAlign w:val="bottom"/>
            <w:shd w:val="clear" w:color="auto" w:fill="CCEEFF"/>
          </w:tcPr>
          <w:p>
            <w:pPr>
              <w:jc w:val="right"/>
              <w:ind w:right="410"/>
              <w:spacing w:after="0" w:line="176" w:lineRule="exact"/>
              <w:rPr>
                <w:sz w:val="20"/>
                <w:szCs w:val="20"/>
                <w:color w:val="auto"/>
              </w:rPr>
            </w:pPr>
            <w:r>
              <w:rPr>
                <w:rFonts w:ascii="Times New Roman" w:cs="Times New Roman" w:eastAsia="Times New Roman" w:hAnsi="Times New Roman"/>
                <w:sz w:val="18"/>
                <w:szCs w:val="18"/>
                <w:color w:val="auto"/>
              </w:rPr>
              <w:t>48</w:t>
            </w:r>
          </w:p>
        </w:tc>
      </w:tr>
      <w:tr>
        <w:trPr>
          <w:trHeight w:val="20"/>
        </w:trPr>
        <w:tc>
          <w:tcPr>
            <w:tcW w:w="9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“report”) of SoundHound AI, Inc. (“we,” “us,” “our,” “SoundHound AI,” or the “Company”) contains “forward-looking statements” (as defined in Section 27A of the Securities Act of 1933, as amended, and Section 21E of the Securities Exchange Act of 1934, as amended) that reflect our current expectations and views of future events. The forward-looking statements are contained principally in the section of this report entitled “Management’s Discussion and Analysis of Financial Condition and Results of Operations.” Readers are cautioned that significant known and unknown risks, uncertainties and other important factors (including those over which we may have no control and others listed in report and in the “Risk Factors” section of our amendment to our current report on Form 8-K, which was originally filed with the SEC on May 2, 2022 and amended by Amendment No. 1 to Current Report on Form 8-K (collectively referred to as the “Form 8-K”)) may cause our actual results, performance or achievements to be materially different from those expressed or implied by the forward-looking statements. 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190"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SoundHound AI Class A Common Stock on the Nasdaq Global Market;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our business strategy, including launching new product offerings and expanding information and technology capabilities;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customers and retain existing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impact of our growth initiatives on our future financial performance;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recognize the anticipated benefits of our recent business combination, which may be affected by, among other things, competition and the ability of SoundHound AI to manage its growth;</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SoundHound AI to protect intellectual property and trade secrets;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additional capital, including equity or debt financing;</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extensive and evolving government regulations that impact the Company’s operations and business;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or maintain a qualified workforce;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product service failures that could lead SoundHound AI customers to use competitors’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and/or other regulatory or legal proceedings;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COVID-19 pandemic or any similar public health developments on SoundHound AI’s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uncertainty of our estimates of market opportunity and forecasts of market growth;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regulatory matters, complaints, adverse publicity and/or misconduct by employees, vendors and/or service providers;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SoundHound AI may be adversely affected by other economic, business, and/or competitive factors;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under the section titled “Risk Factors” of our Form 8-K.</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These forward-looking statements involve numerous and significant risks and uncertainties. Although we believe that our expectations expressed in these forward-looking statements are reasonable, our expectations may later be found to be incorrect. Our actual results of operations or the results of other matters that we anticipate herein could be materially different from our expectations. Important risks and factors that could cause our actual results to be materially different from our expectations are generally set forth in the “Management’s Discussion and Analysis of Financial Condition and Results of Operation,” section contain in this report and in the “Business,” “Risk Factors” and other sections of the Form 8-K. You should thoroughly read this report and the documents that we refer to with the understanding that our actual future results may be materially different from, and worse than, what we expect. We qualify all of our forward-looking statements by these cautionary statements.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in this report relate only to events or information as of the date of this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report completely and with the understanding that our actual future results may be materially different from what we expect.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SOUNDHOUND AI,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share and per share data)</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9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8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65,010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21,626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allowances of $109 as of June 30, 2022 and December 31, 2021</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2,060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issuance cost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927</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71,759</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27,471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equivalents, non-current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9,535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10,291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6,155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2,169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8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89,803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49,203</w:t>
            </w:r>
          </w:p>
        </w:tc>
        <w:tc>
          <w:tcPr>
            <w:tcW w:w="0" w:type="dxa"/>
            <w:vAlign w:val="bottom"/>
          </w:tcPr>
          <w:p>
            <w:pPr>
              <w:spacing w:after="0"/>
              <w:rPr>
                <w:sz w:val="1"/>
                <w:szCs w:val="1"/>
                <w:color w:val="auto"/>
              </w:rPr>
            </w:pPr>
          </w:p>
        </w:tc>
      </w:tr>
      <w:tr>
        <w:trPr>
          <w:trHeight w:val="149"/>
        </w:trPr>
        <w:tc>
          <w:tcPr>
            <w:tcW w:w="86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86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EQUITY</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3,760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7,298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3,281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liability</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2,737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6,042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29,868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3,488</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16,930</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29,964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8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8,611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Financing lease liabilities, net of current portion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14,959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net of current portion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26,126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85,147</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112,937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8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Legacy SoundHound redeemable convertible preferred stock; $0.0001 par value; 0 and 146,218,514 shares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0 and 106,949,326 shares issued and outstanding, liquidation preference of $0 and $284,826 as of</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June 30, 2022 and December 31, 2021,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279,503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Legacy SoundHound Common Stock, $0.0001 par value; 250,030,433 shares authorized; 0 and 68,258,556 shares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issued and outstanding as of June 30, 2022 and December 31, 2021,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455,000,000 shares authorized; 156,266,549 and 0 shares issued and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June 30, 2022 and December 31, 2021, respectively</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44,000,000 shares authorized; 40,396,600 and 0 shares issued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as of June 30, 2022 and December 31, 2021,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447,136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43,491</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(442,500)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(386,729)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stockholders’ equity (deficit)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4,656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(343,237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equity (deficit)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89,803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49,203</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5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2380" w:type="dxa"/>
            <w:vAlign w:val="bottom"/>
            <w:gridSpan w:val="5"/>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2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2,488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1,628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4,261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3,221</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4,370</w:t>
            </w:r>
          </w:p>
        </w:tc>
        <w:tc>
          <w:tcPr>
            <w:tcW w:w="26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1,008</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6,951</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2,084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18,862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14,023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35,512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28,466</w:t>
            </w: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20"/>
                <w:szCs w:val="20"/>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9,362</w:t>
            </w:r>
          </w:p>
        </w:tc>
        <w:tc>
          <w:tcPr>
            <w:tcW w:w="26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4,119</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13,365</w:t>
            </w:r>
          </w:p>
        </w:tc>
        <w:tc>
          <w:tcPr>
            <w:tcW w:w="260" w:type="dxa"/>
            <w:vAlign w:val="bottom"/>
          </w:tcPr>
          <w:p>
            <w:pPr>
              <w:spacing w:after="0"/>
              <w:rPr>
                <w:sz w:val="20"/>
                <w:szCs w:val="20"/>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7,365</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35,082</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(28,930</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(12,499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(49,647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(29,118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(1,572)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(2,294)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(4,549)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Pr>
          <w:p>
            <w:pPr>
              <w:spacing w:after="0"/>
              <w:rPr>
                <w:sz w:val="20"/>
                <w:szCs w:val="20"/>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223</w:t>
            </w:r>
          </w:p>
        </w:tc>
        <w:tc>
          <w:tcPr>
            <w:tcW w:w="26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(834)</w:t>
            </w:r>
          </w:p>
        </w:tc>
        <w:tc>
          <w:tcPr>
            <w:tcW w:w="2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before provision for income taxes</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(30,279)</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(14,609)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(55,030)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(33,702)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389</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741</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(30,668)</w:t>
            </w:r>
          </w:p>
        </w:tc>
        <w:tc>
          <w:tcPr>
            <w:tcW w:w="2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(14,652)</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(55,771)</w:t>
            </w: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(33,912)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gain:</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Unrealized holding gain on available-for-sale securities, net of tax</w:t>
            </w:r>
          </w:p>
        </w:tc>
        <w:tc>
          <w:tcPr>
            <w:tcW w:w="160" w:type="dxa"/>
            <w:vAlign w:val="bottom"/>
          </w:tcPr>
          <w:p>
            <w:pPr>
              <w:spacing w:after="0"/>
              <w:rPr>
                <w:sz w:val="19"/>
                <w:szCs w:val="19"/>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(30,668)</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(14,651)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(55,771)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(33,911)</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(0.19)</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(0.48)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162,004,172</w:t>
            </w: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67,357,878</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116,059,520</w:t>
            </w:r>
          </w:p>
        </w:tc>
        <w:tc>
          <w:tcPr>
            <w:tcW w:w="2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66,666,508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AND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7"/>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Legacy SoundHound</w:t>
            </w:r>
          </w:p>
        </w:tc>
        <w:tc>
          <w:tcPr>
            <w:tcW w:w="1440" w:type="dxa"/>
            <w:vAlign w:val="bottom"/>
            <w:tcBorders>
              <w:top w:val="single" w:sz="8" w:color="auto"/>
            </w:tcBorders>
            <w:gridSpan w:val="8"/>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Legacy SoundHound</w:t>
            </w: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9"/>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11"/>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Class B Common</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8"/>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Redeemable Convertible</w:t>
            </w:r>
          </w:p>
        </w:tc>
        <w:tc>
          <w:tcPr>
            <w:tcW w:w="1440" w:type="dxa"/>
            <w:vAlign w:val="bottom"/>
            <w:gridSpan w:val="8"/>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9"/>
            <w:vMerge w:val="continue"/>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11"/>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96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8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1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5"/>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5"/>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5"/>
                <w:szCs w:val="15"/>
                <w:color w:val="auto"/>
              </w:rPr>
            </w:pPr>
          </w:p>
        </w:tc>
        <w:tc>
          <w:tcPr>
            <w:tcW w:w="104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5"/>
                <w:szCs w:val="15"/>
                <w:color w:val="auto"/>
              </w:rPr>
            </w:pPr>
          </w:p>
        </w:tc>
        <w:tc>
          <w:tcPr>
            <w:tcW w:w="96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bottom w:val="single" w:sz="8" w:color="CCEEFF"/>
            </w:tcBorders>
            <w:gridSpan w:val="2"/>
          </w:tcPr>
          <w:p>
            <w:pPr>
              <w:spacing w:after="0"/>
              <w:rPr>
                <w:sz w:val="14"/>
                <w:szCs w:val="14"/>
                <w:color w:val="auto"/>
              </w:rPr>
            </w:pPr>
          </w:p>
        </w:tc>
        <w:tc>
          <w:tcPr>
            <w:tcW w:w="660" w:type="dxa"/>
            <w:vAlign w:val="bottom"/>
            <w:tcBorders>
              <w:top w:val="single" w:sz="8" w:color="auto"/>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bottom w:val="single" w:sz="8" w:color="CCEEFF"/>
            </w:tcBorders>
            <w:gridSpan w:val="2"/>
          </w:tcPr>
          <w:p>
            <w:pPr>
              <w:spacing w:after="0"/>
              <w:rPr>
                <w:sz w:val="14"/>
                <w:szCs w:val="14"/>
                <w:color w:val="auto"/>
              </w:rPr>
            </w:pPr>
          </w:p>
        </w:tc>
        <w:tc>
          <w:tcPr>
            <w:tcW w:w="52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0" w:type="dxa"/>
            <w:vAlign w:val="bottom"/>
            <w:tcBorders>
              <w:top w:val="single" w:sz="8" w:color="auto"/>
              <w:bottom w:val="single" w:sz="8" w:color="CCEEFF"/>
            </w:tcBorders>
          </w:tcPr>
          <w:p>
            <w:pPr>
              <w:spacing w:after="0"/>
              <w:rPr>
                <w:sz w:val="14"/>
                <w:szCs w:val="14"/>
                <w:color w:val="auto"/>
              </w:rPr>
            </w:pPr>
          </w:p>
        </w:tc>
        <w:tc>
          <w:tcPr>
            <w:tcW w:w="60" w:type="dxa"/>
            <w:vAlign w:val="bottom"/>
            <w:tcBorders>
              <w:top w:val="single" w:sz="8" w:color="auto"/>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24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 as of</w:t>
            </w:r>
          </w:p>
        </w:tc>
        <w:tc>
          <w:tcPr>
            <w:tcW w:w="100" w:type="dxa"/>
            <w:vAlign w:val="bottom"/>
            <w:shd w:val="clear" w:color="auto" w:fill="CCEEFF"/>
          </w:tcPr>
          <w:p>
            <w:pPr>
              <w:spacing w:after="0"/>
              <w:rPr>
                <w:sz w:val="9"/>
                <w:szCs w:val="9"/>
                <w:color w:val="auto"/>
              </w:rPr>
            </w:pPr>
          </w:p>
        </w:tc>
        <w:tc>
          <w:tcPr>
            <w:tcW w:w="9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19,248,537</w:t>
            </w:r>
          </w:p>
        </w:tc>
        <w:tc>
          <w:tcPr>
            <w:tcW w:w="14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9"/>
                <w:szCs w:val="9"/>
                <w:color w:val="auto"/>
              </w:rPr>
            </w:pPr>
          </w:p>
        </w:tc>
        <w:tc>
          <w:tcPr>
            <w:tcW w:w="70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279,503</w:t>
            </w: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12,718,968</w:t>
            </w:r>
          </w:p>
        </w:tc>
        <w:tc>
          <w:tcPr>
            <w:tcW w:w="8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9"/>
                <w:szCs w:val="9"/>
                <w:color w:val="auto"/>
              </w:rPr>
            </w:pPr>
          </w:p>
        </w:tc>
        <w:tc>
          <w:tcPr>
            <w:tcW w:w="20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48,429</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vMerge w:val="restart"/>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(411,832)</w:t>
            </w: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(363,402)</w:t>
            </w:r>
          </w:p>
        </w:tc>
        <w:tc>
          <w:tcPr>
            <w:tcW w:w="0" w:type="dxa"/>
            <w:vAlign w:val="bottom"/>
          </w:tcPr>
          <w:p>
            <w:pPr>
              <w:spacing w:after="0"/>
              <w:rPr>
                <w:sz w:val="1"/>
                <w:szCs w:val="1"/>
                <w:color w:val="auto"/>
              </w:rPr>
            </w:pPr>
          </w:p>
        </w:tc>
      </w:tr>
      <w:tr>
        <w:trPr>
          <w:trHeight w:val="173"/>
        </w:trPr>
        <w:tc>
          <w:tcPr>
            <w:tcW w:w="1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900" w:type="dxa"/>
            <w:vAlign w:val="bottom"/>
            <w:gridSpan w:val="3"/>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gridSpan w:val="2"/>
            <w:vMerge w:val="continue"/>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gridSpan w:val="3"/>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40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gridSpan w:val="3"/>
            <w:vMerge w:val="continue"/>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gridSpan w:val="3"/>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640" w:type="dxa"/>
            <w:vAlign w:val="bottom"/>
            <w:gridSpan w:val="5"/>
            <w:vMerge w:val="continue"/>
            <w:shd w:val="clear" w:color="auto" w:fill="CCEEFF"/>
          </w:tcPr>
          <w:p>
            <w:pPr>
              <w:spacing w:after="0"/>
              <w:rPr>
                <w:sz w:val="15"/>
                <w:szCs w:val="15"/>
                <w:color w:val="auto"/>
              </w:rPr>
            </w:pPr>
          </w:p>
        </w:tc>
        <w:tc>
          <w:tcPr>
            <w:tcW w:w="140" w:type="dxa"/>
            <w:vAlign w:val="bottom"/>
            <w:gridSpan w:val="2"/>
            <w:vMerge w:val="continue"/>
            <w:shd w:val="clear" w:color="auto" w:fill="CCEEFF"/>
          </w:tcPr>
          <w:p>
            <w:pPr>
              <w:spacing w:after="0"/>
              <w:rPr>
                <w:sz w:val="15"/>
                <w:szCs w:val="15"/>
                <w:color w:val="auto"/>
              </w:rPr>
            </w:pPr>
          </w:p>
        </w:tc>
        <w:tc>
          <w:tcPr>
            <w:tcW w:w="960" w:type="dxa"/>
            <w:vAlign w:val="bottom"/>
            <w:gridSpan w:val="3"/>
            <w:vMerge w:val="continue"/>
            <w:shd w:val="clear" w:color="auto" w:fill="CCEEFF"/>
          </w:tcPr>
          <w:p>
            <w:pPr>
              <w:spacing w:after="0"/>
              <w:rPr>
                <w:sz w:val="15"/>
                <w:szCs w:val="15"/>
                <w:color w:val="auto"/>
              </w:rPr>
            </w:pPr>
          </w:p>
        </w:tc>
        <w:tc>
          <w:tcPr>
            <w:tcW w:w="200" w:type="dxa"/>
            <w:vAlign w:val="bottom"/>
            <w:gridSpan w:val="3"/>
            <w:vMerge w:val="continue"/>
            <w:shd w:val="clear" w:color="auto" w:fill="CCEEFF"/>
          </w:tcPr>
          <w:p>
            <w:pPr>
              <w:spacing w:after="0"/>
              <w:rPr>
                <w:sz w:val="15"/>
                <w:szCs w:val="15"/>
                <w:color w:val="auto"/>
              </w:rPr>
            </w:pPr>
          </w:p>
        </w:tc>
        <w:tc>
          <w:tcPr>
            <w:tcW w:w="800" w:type="dxa"/>
            <w:vAlign w:val="bottom"/>
            <w:gridSpan w:val="3"/>
            <w:vMerge w:val="continue"/>
            <w:shd w:val="clear" w:color="auto" w:fill="CCEEFF"/>
          </w:tcPr>
          <w:p>
            <w:pPr>
              <w:spacing w:after="0"/>
              <w:rPr>
                <w:sz w:val="15"/>
                <w:szCs w:val="15"/>
                <w:color w:val="auto"/>
              </w:rPr>
            </w:pPr>
          </w:p>
        </w:tc>
        <w:tc>
          <w:tcPr>
            <w:tcW w:w="100" w:type="dxa"/>
            <w:vAlign w:val="bottom"/>
            <w:gridSpan w:val="2"/>
            <w:vMerge w:val="continue"/>
            <w:shd w:val="clear" w:color="auto" w:fill="CCEEFF"/>
          </w:tcPr>
          <w:p>
            <w:pPr>
              <w:spacing w:after="0"/>
              <w:rPr>
                <w:sz w:val="15"/>
                <w:szCs w:val="15"/>
                <w:color w:val="auto"/>
              </w:rPr>
            </w:pPr>
          </w:p>
        </w:tc>
        <w:tc>
          <w:tcPr>
            <w:tcW w:w="62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260" w:type="dxa"/>
            <w:vAlign w:val="bottom"/>
            <w:tcBorders>
              <w:right w:val="single" w:sz="8" w:color="auto"/>
            </w:tcBorders>
            <w:gridSpan w:val="10"/>
          </w:tcPr>
          <w:p>
            <w:pPr>
              <w:spacing w:after="0" w:line="126" w:lineRule="exact"/>
              <w:rPr>
                <w:sz w:val="20"/>
                <w:szCs w:val="20"/>
                <w:color w:val="auto"/>
              </w:rPr>
            </w:pPr>
            <w:r>
              <w:rPr>
                <w:rFonts w:ascii="Times New Roman" w:cs="Times New Roman" w:eastAsia="Times New Roman" w:hAnsi="Times New Roman"/>
                <w:sz w:val="14"/>
                <w:szCs w:val="14"/>
                <w:color w:val="auto"/>
              </w:rPr>
              <w:t>Retroactive</w:t>
            </w:r>
          </w:p>
        </w:tc>
        <w:tc>
          <w:tcPr>
            <w:tcW w:w="7980" w:type="dxa"/>
            <w:vAlign w:val="bottom"/>
            <w:gridSpan w:val="53"/>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60" w:type="dxa"/>
            <w:vAlign w:val="bottom"/>
            <w:tcBorders>
              <w:right w:val="single" w:sz="8" w:color="auto"/>
            </w:tcBorders>
            <w:gridSpan w:val="10"/>
          </w:tcPr>
          <w:p>
            <w:pPr>
              <w:ind w:left="180"/>
              <w:spacing w:after="0" w:line="149" w:lineRule="exact"/>
              <w:rPr>
                <w:sz w:val="20"/>
                <w:szCs w:val="20"/>
                <w:color w:val="auto"/>
              </w:rPr>
            </w:pPr>
            <w:r>
              <w:rPr>
                <w:rFonts w:ascii="Times New Roman" w:cs="Times New Roman" w:eastAsia="Times New Roman" w:hAnsi="Times New Roman"/>
                <w:sz w:val="14"/>
                <w:szCs w:val="14"/>
                <w:color w:val="auto"/>
              </w:rPr>
              <w:t>application of</w:t>
            </w:r>
          </w:p>
        </w:tc>
        <w:tc>
          <w:tcPr>
            <w:tcW w:w="7980" w:type="dxa"/>
            <w:vAlign w:val="bottom"/>
            <w:gridSpan w:val="5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Borders>
              <w:right w:val="single" w:sz="8" w:color="auto"/>
            </w:tcBorders>
            <w:gridSpan w:val="10"/>
          </w:tcPr>
          <w:p>
            <w:pPr>
              <w:ind w:left="180"/>
              <w:spacing w:after="0" w:line="149" w:lineRule="exact"/>
              <w:rPr>
                <w:sz w:val="20"/>
                <w:szCs w:val="20"/>
                <w:color w:val="auto"/>
              </w:rPr>
            </w:pPr>
            <w:r>
              <w:rPr>
                <w:rFonts w:ascii="Times New Roman" w:cs="Times New Roman" w:eastAsia="Times New Roman" w:hAnsi="Times New Roman"/>
                <w:sz w:val="14"/>
                <w:szCs w:val="14"/>
                <w:color w:val="auto"/>
              </w:rPr>
              <w:t>Business</w:t>
            </w:r>
          </w:p>
        </w:tc>
        <w:tc>
          <w:tcPr>
            <w:tcW w:w="7980" w:type="dxa"/>
            <w:vAlign w:val="bottom"/>
            <w:gridSpan w:val="5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Borders>
              <w:right w:val="single" w:sz="8" w:color="auto"/>
            </w:tcBorders>
            <w:gridSpan w:val="10"/>
          </w:tcPr>
          <w:p>
            <w:pPr>
              <w:ind w:left="180"/>
              <w:spacing w:after="0" w:line="149" w:lineRule="exact"/>
              <w:rPr>
                <w:sz w:val="20"/>
                <w:szCs w:val="20"/>
                <w:color w:val="auto"/>
              </w:rPr>
            </w:pPr>
            <w:r>
              <w:rPr>
                <w:rFonts w:ascii="Times New Roman" w:cs="Times New Roman" w:eastAsia="Times New Roman" w:hAnsi="Times New Roman"/>
                <w:sz w:val="14"/>
                <w:szCs w:val="14"/>
                <w:color w:val="auto"/>
              </w:rPr>
              <w:t>Combination</w:t>
            </w:r>
          </w:p>
        </w:tc>
        <w:tc>
          <w:tcPr>
            <w:tcW w:w="7980" w:type="dxa"/>
            <w:vAlign w:val="bottom"/>
            <w:gridSpan w:val="53"/>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(Note 3)</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87,700,789</w:t>
            </w:r>
          </w:p>
        </w:tc>
        <w:tc>
          <w:tcPr>
            <w:tcW w:w="140" w:type="dxa"/>
            <w:vAlign w:val="bottom"/>
          </w:tcPr>
          <w:p>
            <w:pPr>
              <w:spacing w:after="0"/>
              <w:rPr>
                <w:sz w:val="16"/>
                <w:szCs w:val="16"/>
                <w:color w:val="auto"/>
              </w:rPr>
            </w:pPr>
          </w:p>
        </w:tc>
        <w:tc>
          <w:tcPr>
            <w:tcW w:w="880" w:type="dxa"/>
            <w:vAlign w:val="bottom"/>
            <w:tcBorders>
              <w:right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(279,503)</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57,969,213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279,503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279,502</w:t>
            </w:r>
          </w:p>
        </w:tc>
        <w:tc>
          <w:tcPr>
            <w:tcW w:w="0" w:type="dxa"/>
            <w:vAlign w:val="bottom"/>
          </w:tcPr>
          <w:p>
            <w:pPr>
              <w:spacing w:after="0"/>
              <w:rPr>
                <w:sz w:val="1"/>
                <w:szCs w:val="1"/>
                <w:color w:val="auto"/>
              </w:rPr>
            </w:pPr>
          </w:p>
        </w:tc>
      </w:tr>
      <w:tr>
        <w:trPr>
          <w:trHeight w:val="110"/>
        </w:trPr>
        <w:tc>
          <w:tcPr>
            <w:tcW w:w="1240" w:type="dxa"/>
            <w:vAlign w:val="bottom"/>
            <w:tcBorders>
              <w:top w:val="single" w:sz="8" w:color="CCEEFF"/>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Adjusted balance,</w:t>
            </w:r>
          </w:p>
        </w:tc>
        <w:tc>
          <w:tcPr>
            <w:tcW w:w="900" w:type="dxa"/>
            <w:vAlign w:val="bottom"/>
            <w:tcBorders>
              <w:top w:val="single" w:sz="8" w:color="auto"/>
            </w:tcBorders>
            <w:gridSpan w:val="3"/>
            <w:shd w:val="clear" w:color="auto" w:fill="CCEEFF"/>
          </w:tcPr>
          <w:p>
            <w:pPr>
              <w:spacing w:after="0"/>
              <w:rPr>
                <w:sz w:val="9"/>
                <w:szCs w:val="9"/>
                <w:color w:val="auto"/>
              </w:rPr>
            </w:pPr>
          </w:p>
        </w:tc>
        <w:tc>
          <w:tcPr>
            <w:tcW w:w="240" w:type="dxa"/>
            <w:vAlign w:val="bottom"/>
            <w:tcBorders>
              <w:top w:val="single" w:sz="8" w:color="CCEEFF"/>
            </w:tcBorders>
            <w:gridSpan w:val="2"/>
            <w:shd w:val="clear" w:color="auto" w:fill="CCEEFF"/>
          </w:tcPr>
          <w:p>
            <w:pPr>
              <w:spacing w:after="0"/>
              <w:rPr>
                <w:sz w:val="9"/>
                <w:szCs w:val="9"/>
                <w:color w:val="auto"/>
              </w:rPr>
            </w:pPr>
          </w:p>
        </w:tc>
        <w:tc>
          <w:tcPr>
            <w:tcW w:w="660" w:type="dxa"/>
            <w:vAlign w:val="bottom"/>
            <w:tcBorders>
              <w:top w:val="single" w:sz="8" w:color="auto"/>
            </w:tcBorders>
            <w:gridSpan w:val="3"/>
            <w:shd w:val="clear" w:color="auto" w:fill="CCEEFF"/>
          </w:tcPr>
          <w:p>
            <w:pPr>
              <w:spacing w:after="0"/>
              <w:rPr>
                <w:sz w:val="9"/>
                <w:szCs w:val="9"/>
                <w:color w:val="auto"/>
              </w:rPr>
            </w:pPr>
          </w:p>
        </w:tc>
        <w:tc>
          <w:tcPr>
            <w:tcW w:w="220" w:type="dxa"/>
            <w:vAlign w:val="bottom"/>
            <w:tcBorders>
              <w:top w:val="single" w:sz="8" w:color="CCEEFF"/>
              <w:right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gridSpan w:val="2"/>
            <w:shd w:val="clear" w:color="auto" w:fill="CCEEFF"/>
          </w:tcPr>
          <w:p>
            <w:pPr>
              <w:spacing w:after="0"/>
              <w:rPr>
                <w:sz w:val="9"/>
                <w:szCs w:val="9"/>
                <w:color w:val="auto"/>
              </w:rPr>
            </w:pPr>
          </w:p>
        </w:tc>
        <w:tc>
          <w:tcPr>
            <w:tcW w:w="520" w:type="dxa"/>
            <w:vAlign w:val="bottom"/>
            <w:tcBorders>
              <w:top w:val="single" w:sz="8" w:color="auto"/>
            </w:tcBorders>
            <w:gridSpan w:val="3"/>
            <w:shd w:val="clear" w:color="auto" w:fill="CCEEFF"/>
          </w:tcPr>
          <w:p>
            <w:pPr>
              <w:spacing w:after="0"/>
              <w:rPr>
                <w:sz w:val="9"/>
                <w:szCs w:val="9"/>
                <w:color w:val="auto"/>
              </w:rPr>
            </w:pPr>
          </w:p>
        </w:tc>
        <w:tc>
          <w:tcPr>
            <w:tcW w:w="120" w:type="dxa"/>
            <w:vAlign w:val="bottom"/>
            <w:tcBorders>
              <w:top w:val="single" w:sz="8" w:color="CCEEFF"/>
            </w:tcBorders>
            <w:gridSpan w:val="2"/>
            <w:shd w:val="clear" w:color="auto" w:fill="CCEEFF"/>
          </w:tcPr>
          <w:p>
            <w:pPr>
              <w:spacing w:after="0"/>
              <w:rPr>
                <w:sz w:val="9"/>
                <w:szCs w:val="9"/>
                <w:color w:val="auto"/>
              </w:rPr>
            </w:pPr>
          </w:p>
        </w:tc>
        <w:tc>
          <w:tcPr>
            <w:tcW w:w="780" w:type="dxa"/>
            <w:vAlign w:val="bottom"/>
            <w:tcBorders>
              <w:top w:val="single" w:sz="8" w:color="auto"/>
            </w:tcBorders>
            <w:gridSpan w:val="5"/>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gridSpan w:val="3"/>
            <w:shd w:val="clear" w:color="auto" w:fill="CCEEFF"/>
          </w:tcPr>
          <w:p>
            <w:pPr>
              <w:spacing w:after="0"/>
              <w:rPr>
                <w:sz w:val="9"/>
                <w:szCs w:val="9"/>
                <w:color w:val="auto"/>
              </w:rPr>
            </w:pPr>
          </w:p>
        </w:tc>
        <w:tc>
          <w:tcPr>
            <w:tcW w:w="120" w:type="dxa"/>
            <w:vAlign w:val="bottom"/>
            <w:tcBorders>
              <w:top w:val="single" w:sz="8" w:color="CCEEFF"/>
            </w:tcBorders>
            <w:gridSpan w:val="2"/>
            <w:shd w:val="clear" w:color="auto" w:fill="CCEEFF"/>
          </w:tcPr>
          <w:p>
            <w:pPr>
              <w:spacing w:after="0"/>
              <w:rPr>
                <w:sz w:val="9"/>
                <w:szCs w:val="9"/>
                <w:color w:val="auto"/>
              </w:rPr>
            </w:pPr>
          </w:p>
        </w:tc>
        <w:tc>
          <w:tcPr>
            <w:tcW w:w="700" w:type="dxa"/>
            <w:vAlign w:val="bottom"/>
            <w:tcBorders>
              <w:top w:val="single" w:sz="8" w:color="auto"/>
            </w:tcBorders>
            <w:gridSpan w:val="4"/>
            <w:shd w:val="clear" w:color="auto" w:fill="CCEEFF"/>
          </w:tcPr>
          <w:p>
            <w:pPr>
              <w:spacing w:after="0"/>
              <w:rPr>
                <w:sz w:val="9"/>
                <w:szCs w:val="9"/>
                <w:color w:val="auto"/>
              </w:rPr>
            </w:pPr>
          </w:p>
        </w:tc>
        <w:tc>
          <w:tcPr>
            <w:tcW w:w="100" w:type="dxa"/>
            <w:vAlign w:val="bottom"/>
            <w:tcBorders>
              <w:top w:val="single" w:sz="8" w:color="CCEEFF"/>
            </w:tcBorders>
            <w:gridSpan w:val="2"/>
            <w:shd w:val="clear" w:color="auto" w:fill="CCEEFF"/>
          </w:tcPr>
          <w:p>
            <w:pPr>
              <w:spacing w:after="0"/>
              <w:rPr>
                <w:sz w:val="9"/>
                <w:szCs w:val="9"/>
                <w:color w:val="auto"/>
              </w:rPr>
            </w:pPr>
          </w:p>
        </w:tc>
        <w:tc>
          <w:tcPr>
            <w:tcW w:w="520" w:type="dxa"/>
            <w:vAlign w:val="bottom"/>
            <w:tcBorders>
              <w:top w:val="single" w:sz="8" w:color="auto"/>
            </w:tcBorders>
            <w:gridSpan w:val="4"/>
            <w:shd w:val="clear" w:color="auto" w:fill="CCEEFF"/>
          </w:tcPr>
          <w:p>
            <w:pPr>
              <w:spacing w:after="0"/>
              <w:rPr>
                <w:sz w:val="9"/>
                <w:szCs w:val="9"/>
                <w:color w:val="auto"/>
              </w:rPr>
            </w:pPr>
          </w:p>
        </w:tc>
        <w:tc>
          <w:tcPr>
            <w:tcW w:w="140" w:type="dxa"/>
            <w:vAlign w:val="bottom"/>
            <w:tcBorders>
              <w:top w:val="single" w:sz="8" w:color="CCEEFF"/>
            </w:tcBorders>
            <w:gridSpan w:val="2"/>
            <w:shd w:val="clear" w:color="auto" w:fill="CCEEFF"/>
          </w:tcPr>
          <w:p>
            <w:pPr>
              <w:spacing w:after="0"/>
              <w:rPr>
                <w:sz w:val="9"/>
                <w:szCs w:val="9"/>
                <w:color w:val="auto"/>
              </w:rPr>
            </w:pPr>
          </w:p>
        </w:tc>
        <w:tc>
          <w:tcPr>
            <w:tcW w:w="660" w:type="dxa"/>
            <w:vAlign w:val="bottom"/>
            <w:tcBorders>
              <w:top w:val="single" w:sz="8" w:color="auto"/>
            </w:tcBorders>
            <w:gridSpan w:val="5"/>
            <w:shd w:val="clear" w:color="auto" w:fill="CCEEFF"/>
          </w:tcPr>
          <w:p>
            <w:pPr>
              <w:spacing w:after="0"/>
              <w:rPr>
                <w:sz w:val="9"/>
                <w:szCs w:val="9"/>
                <w:color w:val="auto"/>
              </w:rPr>
            </w:pPr>
          </w:p>
        </w:tc>
        <w:tc>
          <w:tcPr>
            <w:tcW w:w="120" w:type="dxa"/>
            <w:vAlign w:val="bottom"/>
            <w:tcBorders>
              <w:top w:val="single" w:sz="8" w:color="CCEEFF"/>
            </w:tcBorders>
            <w:gridSpan w:val="2"/>
            <w:shd w:val="clear" w:color="auto" w:fill="CCEEFF"/>
          </w:tcPr>
          <w:p>
            <w:pPr>
              <w:spacing w:after="0"/>
              <w:rPr>
                <w:sz w:val="9"/>
                <w:szCs w:val="9"/>
                <w:color w:val="auto"/>
              </w:rPr>
            </w:pPr>
          </w:p>
        </w:tc>
        <w:tc>
          <w:tcPr>
            <w:tcW w:w="1000" w:type="dxa"/>
            <w:vAlign w:val="bottom"/>
            <w:tcBorders>
              <w:top w:val="single" w:sz="8" w:color="auto"/>
            </w:tcBorders>
            <w:gridSpan w:val="3"/>
            <w:shd w:val="clear" w:color="auto" w:fill="CCEEFF"/>
          </w:tcPr>
          <w:p>
            <w:pPr>
              <w:spacing w:after="0"/>
              <w:rPr>
                <w:sz w:val="9"/>
                <w:szCs w:val="9"/>
                <w:color w:val="auto"/>
              </w:rPr>
            </w:pPr>
          </w:p>
        </w:tc>
        <w:tc>
          <w:tcPr>
            <w:tcW w:w="120" w:type="dxa"/>
            <w:vAlign w:val="bottom"/>
            <w:tcBorders>
              <w:top w:val="single" w:sz="8" w:color="CCEEFF"/>
            </w:tcBorders>
            <w:gridSpan w:val="3"/>
            <w:shd w:val="clear" w:color="auto" w:fill="CCEEFF"/>
          </w:tcPr>
          <w:p>
            <w:pPr>
              <w:spacing w:after="0"/>
              <w:rPr>
                <w:sz w:val="9"/>
                <w:szCs w:val="9"/>
                <w:color w:val="auto"/>
              </w:rPr>
            </w:pPr>
          </w:p>
        </w:tc>
        <w:tc>
          <w:tcPr>
            <w:tcW w:w="820" w:type="dxa"/>
            <w:vAlign w:val="bottom"/>
            <w:tcBorders>
              <w:top w:val="single" w:sz="8" w:color="auto"/>
            </w:tcBorders>
            <w:gridSpan w:val="3"/>
            <w:shd w:val="clear" w:color="auto" w:fill="CCEEFF"/>
          </w:tcPr>
          <w:p>
            <w:pPr>
              <w:spacing w:after="0"/>
              <w:rPr>
                <w:sz w:val="9"/>
                <w:szCs w:val="9"/>
                <w:color w:val="auto"/>
              </w:rPr>
            </w:pPr>
          </w:p>
        </w:tc>
        <w:tc>
          <w:tcPr>
            <w:tcW w:w="140" w:type="dxa"/>
            <w:vAlign w:val="bottom"/>
            <w:tcBorders>
              <w:top w:val="single" w:sz="8" w:color="CCEEFF"/>
            </w:tcBorders>
            <w:gridSpan w:val="2"/>
            <w:shd w:val="clear" w:color="auto" w:fill="CCEEFF"/>
          </w:tcPr>
          <w:p>
            <w:pPr>
              <w:spacing w:after="0"/>
              <w:rPr>
                <w:sz w:val="9"/>
                <w:szCs w:val="9"/>
                <w:color w:val="auto"/>
              </w:rPr>
            </w:pPr>
          </w:p>
        </w:tc>
        <w:tc>
          <w:tcPr>
            <w:tcW w:w="620" w:type="dxa"/>
            <w:vAlign w:val="bottom"/>
            <w:tcBorders>
              <w:top w:val="single" w:sz="8" w:color="auto"/>
            </w:tcBorders>
            <w:gridSpan w:val="3"/>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3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9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106,949,326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70,688,181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327,932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3"/>
            <w:vMerge w:val="restart"/>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(411,832)</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(83,900)</w:t>
            </w:r>
          </w:p>
        </w:tc>
        <w:tc>
          <w:tcPr>
            <w:tcW w:w="0" w:type="dxa"/>
            <w:vAlign w:val="bottom"/>
          </w:tcPr>
          <w:p>
            <w:pPr>
              <w:spacing w:after="0"/>
              <w:rPr>
                <w:sz w:val="1"/>
                <w:szCs w:val="1"/>
                <w:color w:val="auto"/>
              </w:rPr>
            </w:pPr>
          </w:p>
        </w:tc>
      </w:tr>
      <w:tr>
        <w:trPr>
          <w:trHeight w:val="173"/>
        </w:trPr>
        <w:tc>
          <w:tcPr>
            <w:tcW w:w="1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900" w:type="dxa"/>
            <w:vAlign w:val="bottom"/>
            <w:gridSpan w:val="3"/>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5"/>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260" w:type="dxa"/>
            <w:vAlign w:val="bottom"/>
            <w:tcBorders>
              <w:right w:val="single" w:sz="8" w:color="auto"/>
            </w:tcBorders>
            <w:gridSpan w:val="10"/>
          </w:tcPr>
          <w:p>
            <w:pPr>
              <w:spacing w:after="0" w:line="126" w:lineRule="exact"/>
              <w:rPr>
                <w:sz w:val="20"/>
                <w:szCs w:val="20"/>
                <w:color w:val="auto"/>
              </w:rPr>
            </w:pPr>
            <w:r>
              <w:rPr>
                <w:rFonts w:ascii="Times New Roman" w:cs="Times New Roman" w:eastAsia="Times New Roman" w:hAnsi="Times New Roman"/>
                <w:sz w:val="14"/>
                <w:szCs w:val="14"/>
                <w:color w:val="auto"/>
              </w:rPr>
              <w:t>Issuance of</w:t>
            </w:r>
          </w:p>
        </w:tc>
        <w:tc>
          <w:tcPr>
            <w:tcW w:w="7980" w:type="dxa"/>
            <w:vAlign w:val="bottom"/>
            <w:gridSpan w:val="53"/>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60" w:type="dxa"/>
            <w:vAlign w:val="bottom"/>
            <w:tcBorders>
              <w:right w:val="single" w:sz="8" w:color="auto"/>
            </w:tcBorders>
            <w:gridSpan w:val="10"/>
          </w:tcPr>
          <w:p>
            <w:pPr>
              <w:ind w:left="18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7980" w:type="dxa"/>
            <w:vAlign w:val="bottom"/>
            <w:gridSpan w:val="53"/>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upon exercise of</w:t>
            </w:r>
          </w:p>
        </w:tc>
        <w:tc>
          <w:tcPr>
            <w:tcW w:w="40" w:type="dxa"/>
            <w:vAlign w:val="bottom"/>
          </w:tcPr>
          <w:p>
            <w:pPr>
              <w:spacing w:after="0"/>
              <w:rPr>
                <w:sz w:val="12"/>
                <w:szCs w:val="12"/>
                <w:color w:val="auto"/>
              </w:rPr>
            </w:pPr>
          </w:p>
        </w:tc>
        <w:tc>
          <w:tcPr>
            <w:tcW w:w="10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right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152,910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4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367</w:t>
            </w:r>
          </w:p>
        </w:tc>
        <w:tc>
          <w:tcPr>
            <w:tcW w:w="0" w:type="dxa"/>
            <w:vAlign w:val="bottom"/>
          </w:tcPr>
          <w:p>
            <w:pPr>
              <w:spacing w:after="0"/>
              <w:rPr>
                <w:sz w:val="1"/>
                <w:szCs w:val="1"/>
                <w:color w:val="auto"/>
              </w:rPr>
            </w:pPr>
          </w:p>
        </w:tc>
      </w:tr>
      <w:tr>
        <w:trPr>
          <w:trHeight w:val="171"/>
        </w:trPr>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stock options</w:t>
            </w:r>
          </w:p>
        </w:tc>
        <w:tc>
          <w:tcPr>
            <w:tcW w:w="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right w:val="single" w:sz="8" w:color="auto"/>
            </w:tcBorders>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60" w:type="dxa"/>
            <w:vAlign w:val="bottom"/>
            <w:tcBorders>
              <w:right w:val="single" w:sz="8" w:color="auto"/>
            </w:tcBorders>
            <w:gridSpan w:val="10"/>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exercise of</w:t>
            </w:r>
          </w:p>
        </w:tc>
        <w:tc>
          <w:tcPr>
            <w:tcW w:w="7980" w:type="dxa"/>
            <w:vAlign w:val="bottom"/>
            <w:gridSpan w:val="53"/>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outstanding</w:t>
            </w:r>
          </w:p>
        </w:tc>
        <w:tc>
          <w:tcPr>
            <w:tcW w:w="40" w:type="dxa"/>
            <w:vAlign w:val="bottom"/>
            <w:shd w:val="clear" w:color="auto" w:fill="CCEEFF"/>
          </w:tcPr>
          <w:p>
            <w:pPr>
              <w:spacing w:after="0"/>
              <w:rPr>
                <w:sz w:val="12"/>
                <w:szCs w:val="12"/>
                <w:color w:val="auto"/>
              </w:rPr>
            </w:pPr>
          </w:p>
        </w:tc>
        <w:tc>
          <w:tcPr>
            <w:tcW w:w="100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673,416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3"/>
            <w:vMerge w:val="restart"/>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warrants</w:t>
            </w:r>
          </w:p>
        </w:tc>
        <w:tc>
          <w:tcPr>
            <w:tcW w:w="40" w:type="dxa"/>
            <w:vAlign w:val="bottom"/>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gridSpan w:val="3"/>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Conversion of</w:t>
            </w:r>
          </w:p>
        </w:tc>
        <w:tc>
          <w:tcPr>
            <w:tcW w:w="40" w:type="dxa"/>
            <w:vAlign w:val="bottom"/>
          </w:tcPr>
          <w:p>
            <w:pPr>
              <w:spacing w:after="0"/>
              <w:rPr>
                <w:sz w:val="10"/>
                <w:szCs w:val="10"/>
                <w:color w:val="auto"/>
              </w:rPr>
            </w:pPr>
          </w:p>
        </w:tc>
        <w:tc>
          <w:tcPr>
            <w:tcW w:w="10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right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2,046,827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0"/>
                <w:szCs w:val="10"/>
                <w:color w:val="auto"/>
              </w:rPr>
            </w:pPr>
          </w:p>
        </w:tc>
        <w:tc>
          <w:tcPr>
            <w:tcW w:w="4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color w:val="auto"/>
              </w:rPr>
              <w:t>20,239</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20,239</w:t>
            </w:r>
          </w:p>
        </w:tc>
        <w:tc>
          <w:tcPr>
            <w:tcW w:w="0" w:type="dxa"/>
            <w:vAlign w:val="bottom"/>
          </w:tcPr>
          <w:p>
            <w:pPr>
              <w:spacing w:after="0"/>
              <w:rPr>
                <w:sz w:val="1"/>
                <w:szCs w:val="1"/>
                <w:color w:val="auto"/>
              </w:rPr>
            </w:pPr>
          </w:p>
        </w:tc>
      </w:tr>
      <w:tr>
        <w:trPr>
          <w:trHeight w:val="171"/>
        </w:trPr>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convertible note</w:t>
            </w:r>
          </w:p>
        </w:tc>
        <w:tc>
          <w:tcPr>
            <w:tcW w:w="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right w:val="single" w:sz="8" w:color="auto"/>
            </w:tcBorders>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60" w:type="dxa"/>
            <w:vAlign w:val="bottom"/>
            <w:tcBorders>
              <w:right w:val="single" w:sz="8" w:color="auto"/>
            </w:tcBorders>
            <w:gridSpan w:val="10"/>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Effect of reverse</w:t>
            </w:r>
          </w:p>
        </w:tc>
        <w:tc>
          <w:tcPr>
            <w:tcW w:w="7980" w:type="dxa"/>
            <w:vAlign w:val="bottom"/>
            <w:gridSpan w:val="53"/>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60" w:type="dxa"/>
            <w:vAlign w:val="bottom"/>
            <w:tcBorders>
              <w:right w:val="single" w:sz="8" w:color="auto"/>
            </w:tcBorders>
            <w:gridSpan w:val="10"/>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recapitalization,</w:t>
            </w:r>
          </w:p>
        </w:tc>
        <w:tc>
          <w:tcPr>
            <w:tcW w:w="7980" w:type="dxa"/>
            <w:vAlign w:val="bottom"/>
            <w:gridSpan w:val="53"/>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of costs (Note</w:t>
            </w:r>
          </w:p>
        </w:tc>
        <w:tc>
          <w:tcPr>
            <w:tcW w:w="9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(106,949,326)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6"/>
              </w:rPr>
              <w:t>(73,561,334)</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6"/>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140,114,060</w:t>
            </w:r>
          </w:p>
        </w:tc>
        <w:tc>
          <w:tcPr>
            <w:tcW w:w="16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w:t>
            </w:r>
          </w:p>
        </w:tc>
        <w:tc>
          <w:tcPr>
            <w:tcW w:w="820" w:type="dxa"/>
            <w:vAlign w:val="bottom"/>
            <w:gridSpan w:val="6"/>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40,396,600</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(18)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3"/>
            <w:vMerge w:val="restart"/>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vMerge w:val="continue"/>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900" w:type="dxa"/>
            <w:vAlign w:val="bottom"/>
            <w:gridSpan w:val="6"/>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gridSpan w:val="3"/>
            <w:vMerge w:val="continue"/>
            <w:shd w:val="clear" w:color="auto" w:fill="CCEEFF"/>
          </w:tcPr>
          <w:p>
            <w:pPr>
              <w:spacing w:after="0"/>
              <w:rPr>
                <w:sz w:val="14"/>
                <w:szCs w:val="14"/>
                <w:color w:val="auto"/>
              </w:rPr>
            </w:pPr>
          </w:p>
        </w:tc>
        <w:tc>
          <w:tcPr>
            <w:tcW w:w="820" w:type="dxa"/>
            <w:vAlign w:val="bottom"/>
            <w:gridSpan w:val="6"/>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PIPE financing</w:t>
            </w:r>
          </w:p>
        </w:tc>
        <w:tc>
          <w:tcPr>
            <w:tcW w:w="40" w:type="dxa"/>
            <w:vAlign w:val="bottom"/>
          </w:tcPr>
          <w:p>
            <w:pPr>
              <w:spacing w:after="0"/>
              <w:rPr>
                <w:sz w:val="12"/>
                <w:szCs w:val="12"/>
                <w:color w:val="auto"/>
              </w:rPr>
            </w:pPr>
          </w:p>
        </w:tc>
        <w:tc>
          <w:tcPr>
            <w:tcW w:w="100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right w:val="single" w:sz="8" w:color="auto"/>
            </w:tcBorders>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6"/>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11,300,000</w:t>
            </w:r>
          </w:p>
        </w:tc>
        <w:tc>
          <w:tcPr>
            <w:tcW w:w="160" w:type="dxa"/>
            <w:vAlign w:val="bottom"/>
          </w:tcPr>
          <w:p>
            <w:pPr>
              <w:spacing w:after="0"/>
              <w:rPr>
                <w:sz w:val="12"/>
                <w:szCs w:val="12"/>
                <w:color w:val="auto"/>
              </w:rPr>
            </w:pPr>
          </w:p>
        </w:tc>
        <w:tc>
          <w:tcPr>
            <w:tcW w:w="40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5"/>
          </w:tcPr>
          <w:p>
            <w:pPr>
              <w:jc w:val="right"/>
              <w:spacing w:after="0" w:line="149" w:lineRule="exact"/>
              <w:rPr>
                <w:sz w:val="20"/>
                <w:szCs w:val="20"/>
                <w:color w:val="auto"/>
              </w:rPr>
            </w:pPr>
            <w:r>
              <w:rPr>
                <w:rFonts w:ascii="Times New Roman" w:cs="Times New Roman" w:eastAsia="Times New Roman" w:hAnsi="Times New Roman"/>
                <w:sz w:val="14"/>
                <w:szCs w:val="14"/>
                <w:color w:val="auto"/>
              </w:rPr>
              <w:t>86,584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ind w:left="7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86,585</w:t>
            </w:r>
          </w:p>
        </w:tc>
        <w:tc>
          <w:tcPr>
            <w:tcW w:w="0" w:type="dxa"/>
            <w:vAlign w:val="bottom"/>
          </w:tcPr>
          <w:p>
            <w:pPr>
              <w:spacing w:after="0"/>
              <w:rPr>
                <w:sz w:val="1"/>
                <w:szCs w:val="1"/>
                <w:color w:val="auto"/>
              </w:rPr>
            </w:pPr>
          </w:p>
        </w:tc>
      </w:tr>
      <w:tr>
        <w:trPr>
          <w:trHeight w:val="126"/>
        </w:trPr>
        <w:tc>
          <w:tcPr>
            <w:tcW w:w="3260" w:type="dxa"/>
            <w:vAlign w:val="bottom"/>
            <w:tcBorders>
              <w:right w:val="single" w:sz="8" w:color="auto"/>
            </w:tcBorders>
            <w:gridSpan w:val="10"/>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w:t>
            </w:r>
          </w:p>
        </w:tc>
        <w:tc>
          <w:tcPr>
            <w:tcW w:w="7980" w:type="dxa"/>
            <w:vAlign w:val="bottom"/>
            <w:gridSpan w:val="53"/>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60" w:type="dxa"/>
            <w:vAlign w:val="bottom"/>
            <w:tcBorders>
              <w:right w:val="single" w:sz="8" w:color="auto"/>
            </w:tcBorders>
            <w:gridSpan w:val="10"/>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common shares</w:t>
            </w:r>
          </w:p>
        </w:tc>
        <w:tc>
          <w:tcPr>
            <w:tcW w:w="7980" w:type="dxa"/>
            <w:vAlign w:val="bottom"/>
            <w:gridSpan w:val="53"/>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Borders>
              <w:right w:val="single" w:sz="8" w:color="auto"/>
            </w:tcBorders>
            <w:gridSpan w:val="10"/>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pursuant to the</w:t>
            </w:r>
          </w:p>
        </w:tc>
        <w:tc>
          <w:tcPr>
            <w:tcW w:w="7980" w:type="dxa"/>
            <w:vAlign w:val="bottom"/>
            <w:gridSpan w:val="53"/>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Business</w:t>
            </w:r>
          </w:p>
        </w:tc>
        <w:tc>
          <w:tcPr>
            <w:tcW w:w="40" w:type="dxa"/>
            <w:vAlign w:val="bottom"/>
            <w:shd w:val="clear" w:color="auto" w:fill="CCEEFF"/>
          </w:tcPr>
          <w:p>
            <w:pPr>
              <w:spacing w:after="0"/>
              <w:rPr>
                <w:sz w:val="12"/>
                <w:szCs w:val="12"/>
                <w:color w:val="auto"/>
              </w:rPr>
            </w:pPr>
          </w:p>
        </w:tc>
        <w:tc>
          <w:tcPr>
            <w:tcW w:w="100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6"/>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4,693,050</w:t>
            </w:r>
          </w:p>
        </w:tc>
        <w:tc>
          <w:tcPr>
            <w:tcW w:w="16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3"/>
            <w:vMerge w:val="restart"/>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4,106</w:t>
            </w:r>
          </w:p>
        </w:tc>
        <w:tc>
          <w:tcPr>
            <w:tcW w:w="0" w:type="dxa"/>
            <w:vAlign w:val="bottom"/>
          </w:tcPr>
          <w:p>
            <w:pPr>
              <w:spacing w:after="0"/>
              <w:rPr>
                <w:sz w:val="1"/>
                <w:szCs w:val="1"/>
                <w:color w:val="auto"/>
              </w:rPr>
            </w:pPr>
          </w:p>
        </w:tc>
      </w:tr>
      <w:tr>
        <w:trPr>
          <w:trHeight w:val="171"/>
        </w:trPr>
        <w:tc>
          <w:tcPr>
            <w:tcW w:w="1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Combination</w:t>
            </w:r>
          </w:p>
        </w:tc>
        <w:tc>
          <w:tcPr>
            <w:tcW w:w="40" w:type="dxa"/>
            <w:vAlign w:val="bottom"/>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vMerge w:val="continue"/>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900" w:type="dxa"/>
            <w:vAlign w:val="bottom"/>
            <w:gridSpan w:val="6"/>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5"/>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60" w:type="dxa"/>
            <w:vAlign w:val="bottom"/>
            <w:tcBorders>
              <w:right w:val="single" w:sz="8" w:color="auto"/>
            </w:tcBorders>
            <w:gridSpan w:val="10"/>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w:t>
            </w:r>
          </w:p>
        </w:tc>
        <w:tc>
          <w:tcPr>
            <w:tcW w:w="7980" w:type="dxa"/>
            <w:vAlign w:val="bottom"/>
            <w:gridSpan w:val="53"/>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60" w:type="dxa"/>
            <w:vAlign w:val="bottom"/>
            <w:tcBorders>
              <w:right w:val="single" w:sz="8" w:color="auto"/>
            </w:tcBorders>
            <w:gridSpan w:val="10"/>
          </w:tcPr>
          <w:p>
            <w:pPr>
              <w:ind w:left="180"/>
              <w:spacing w:after="0" w:line="149" w:lineRule="exact"/>
              <w:rPr>
                <w:sz w:val="20"/>
                <w:szCs w:val="20"/>
                <w:color w:val="auto"/>
              </w:rPr>
            </w:pPr>
            <w:r>
              <w:rPr>
                <w:rFonts w:ascii="Times New Roman" w:cs="Times New Roman" w:eastAsia="Times New Roman" w:hAnsi="Times New Roman"/>
                <w:sz w:val="14"/>
                <w:szCs w:val="14"/>
                <w:color w:val="auto"/>
              </w:rPr>
              <w:t>common shares</w:t>
            </w:r>
          </w:p>
        </w:tc>
        <w:tc>
          <w:tcPr>
            <w:tcW w:w="7980" w:type="dxa"/>
            <w:vAlign w:val="bottom"/>
            <w:gridSpan w:val="5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upon exercise of</w:t>
            </w:r>
          </w:p>
        </w:tc>
        <w:tc>
          <w:tcPr>
            <w:tcW w:w="40" w:type="dxa"/>
            <w:vAlign w:val="bottom"/>
          </w:tcPr>
          <w:p>
            <w:pPr>
              <w:spacing w:after="0"/>
              <w:rPr>
                <w:sz w:val="12"/>
                <w:szCs w:val="12"/>
                <w:color w:val="auto"/>
              </w:rPr>
            </w:pPr>
          </w:p>
        </w:tc>
        <w:tc>
          <w:tcPr>
            <w:tcW w:w="10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right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6"/>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42,099</w:t>
            </w:r>
          </w:p>
        </w:tc>
        <w:tc>
          <w:tcPr>
            <w:tcW w:w="160" w:type="dxa"/>
            <w:vAlign w:val="bottom"/>
          </w:tcPr>
          <w:p>
            <w:pPr>
              <w:spacing w:after="0"/>
              <w:rPr>
                <w:sz w:val="12"/>
                <w:szCs w:val="12"/>
                <w:color w:val="auto"/>
              </w:rPr>
            </w:pPr>
          </w:p>
        </w:tc>
        <w:tc>
          <w:tcPr>
            <w:tcW w:w="4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71"/>
        </w:trPr>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stock options</w:t>
            </w:r>
          </w:p>
        </w:tc>
        <w:tc>
          <w:tcPr>
            <w:tcW w:w="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right w:val="single" w:sz="8" w:color="auto"/>
            </w:tcBorders>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gridSpan w:val="3"/>
            <w:vMerge w:val="continue"/>
          </w:tcPr>
          <w:p>
            <w:pPr>
              <w:spacing w:after="0"/>
              <w:rPr>
                <w:sz w:val="14"/>
                <w:szCs w:val="14"/>
                <w:color w:val="auto"/>
              </w:rPr>
            </w:pPr>
          </w:p>
        </w:tc>
        <w:tc>
          <w:tcPr>
            <w:tcW w:w="900" w:type="dxa"/>
            <w:vAlign w:val="bottom"/>
            <w:gridSpan w:val="6"/>
            <w:vMerge w:val="continue"/>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60" w:type="dxa"/>
            <w:vAlign w:val="bottom"/>
            <w:tcBorders>
              <w:right w:val="single" w:sz="8" w:color="auto"/>
            </w:tcBorders>
            <w:gridSpan w:val="10"/>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w:t>
            </w:r>
          </w:p>
        </w:tc>
        <w:tc>
          <w:tcPr>
            <w:tcW w:w="7980" w:type="dxa"/>
            <w:vAlign w:val="bottom"/>
            <w:gridSpan w:val="53"/>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60" w:type="dxa"/>
            <w:vAlign w:val="bottom"/>
            <w:tcBorders>
              <w:right w:val="single" w:sz="8" w:color="auto"/>
            </w:tcBorders>
            <w:gridSpan w:val="10"/>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7980" w:type="dxa"/>
            <w:vAlign w:val="bottom"/>
            <w:gridSpan w:val="53"/>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Borders>
              <w:right w:val="single" w:sz="8" w:color="auto"/>
            </w:tcBorders>
            <w:gridSpan w:val="10"/>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upon release of</w:t>
            </w:r>
          </w:p>
        </w:tc>
        <w:tc>
          <w:tcPr>
            <w:tcW w:w="7980" w:type="dxa"/>
            <w:vAlign w:val="bottom"/>
            <w:gridSpan w:val="53"/>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stock</w:t>
            </w:r>
          </w:p>
        </w:tc>
        <w:tc>
          <w:tcPr>
            <w:tcW w:w="40" w:type="dxa"/>
            <w:vAlign w:val="bottom"/>
            <w:shd w:val="clear" w:color="auto" w:fill="CCEEFF"/>
          </w:tcPr>
          <w:p>
            <w:pPr>
              <w:spacing w:after="0"/>
              <w:rPr>
                <w:sz w:val="12"/>
                <w:szCs w:val="12"/>
                <w:color w:val="auto"/>
              </w:rPr>
            </w:pPr>
          </w:p>
        </w:tc>
        <w:tc>
          <w:tcPr>
            <w:tcW w:w="100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6"/>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117,340</w:t>
            </w:r>
          </w:p>
        </w:tc>
        <w:tc>
          <w:tcPr>
            <w:tcW w:w="16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3"/>
            <w:vMerge w:val="restart"/>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units</w:t>
            </w:r>
          </w:p>
        </w:tc>
        <w:tc>
          <w:tcPr>
            <w:tcW w:w="40" w:type="dxa"/>
            <w:vAlign w:val="bottom"/>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vMerge w:val="continue"/>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900" w:type="dxa"/>
            <w:vAlign w:val="bottom"/>
            <w:gridSpan w:val="6"/>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40" w:type="dxa"/>
            <w:vAlign w:val="bottom"/>
          </w:tcPr>
          <w:p>
            <w:pPr>
              <w:spacing w:after="0"/>
              <w:rPr>
                <w:sz w:val="10"/>
                <w:szCs w:val="10"/>
                <w:color w:val="auto"/>
              </w:rPr>
            </w:pPr>
          </w:p>
        </w:tc>
        <w:tc>
          <w:tcPr>
            <w:tcW w:w="10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right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0"/>
                <w:szCs w:val="10"/>
                <w:color w:val="auto"/>
              </w:rPr>
            </w:pPr>
          </w:p>
        </w:tc>
        <w:tc>
          <w:tcPr>
            <w:tcW w:w="4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color w:val="auto"/>
              </w:rPr>
              <w:t>7,863</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7,863</w:t>
            </w:r>
          </w:p>
        </w:tc>
        <w:tc>
          <w:tcPr>
            <w:tcW w:w="0" w:type="dxa"/>
            <w:vAlign w:val="bottom"/>
          </w:tcPr>
          <w:p>
            <w:pPr>
              <w:spacing w:after="0"/>
              <w:rPr>
                <w:sz w:val="1"/>
                <w:szCs w:val="1"/>
                <w:color w:val="auto"/>
              </w:rPr>
            </w:pPr>
          </w:p>
        </w:tc>
      </w:tr>
      <w:tr>
        <w:trPr>
          <w:trHeight w:val="171"/>
        </w:trPr>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compensation</w:t>
            </w:r>
          </w:p>
        </w:tc>
        <w:tc>
          <w:tcPr>
            <w:tcW w:w="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right w:val="single" w:sz="8" w:color="auto"/>
            </w:tcBorders>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4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(30,668)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(30,668)</w:t>
            </w:r>
          </w:p>
        </w:tc>
        <w:tc>
          <w:tcPr>
            <w:tcW w:w="0" w:type="dxa"/>
            <w:vAlign w:val="bottom"/>
          </w:tcPr>
          <w:p>
            <w:pPr>
              <w:spacing w:after="0"/>
              <w:rPr>
                <w:sz w:val="1"/>
                <w:szCs w:val="1"/>
                <w:color w:val="auto"/>
              </w:rPr>
            </w:pPr>
          </w:p>
        </w:tc>
      </w:tr>
      <w:tr>
        <w:trPr>
          <w:trHeight w:val="149"/>
        </w:trPr>
        <w:tc>
          <w:tcPr>
            <w:tcW w:w="1240" w:type="dxa"/>
            <w:vAlign w:val="bottom"/>
            <w:tcBorders>
              <w:top w:val="single" w:sz="8" w:color="CCEEFF"/>
            </w:tcBorders>
          </w:tcPr>
          <w:p>
            <w:pPr>
              <w:spacing w:after="0"/>
              <w:rPr>
                <w:sz w:val="12"/>
                <w:szCs w:val="12"/>
                <w:color w:val="auto"/>
              </w:rPr>
            </w:pPr>
          </w:p>
        </w:tc>
        <w:tc>
          <w:tcPr>
            <w:tcW w:w="900" w:type="dxa"/>
            <w:vAlign w:val="bottom"/>
            <w:tcBorders>
              <w:top w:val="single" w:sz="8" w:color="auto"/>
            </w:tcBorders>
            <w:gridSpan w:val="3"/>
          </w:tcPr>
          <w:p>
            <w:pPr>
              <w:spacing w:after="0"/>
              <w:rPr>
                <w:sz w:val="12"/>
                <w:szCs w:val="12"/>
                <w:color w:val="auto"/>
              </w:rPr>
            </w:pPr>
          </w:p>
        </w:tc>
        <w:tc>
          <w:tcPr>
            <w:tcW w:w="240" w:type="dxa"/>
            <w:vAlign w:val="bottom"/>
            <w:tcBorders>
              <w:top w:val="single" w:sz="8" w:color="CCEEFF"/>
            </w:tcBorders>
            <w:gridSpan w:val="2"/>
          </w:tcPr>
          <w:p>
            <w:pPr>
              <w:spacing w:after="0"/>
              <w:rPr>
                <w:sz w:val="12"/>
                <w:szCs w:val="12"/>
                <w:color w:val="auto"/>
              </w:rPr>
            </w:pPr>
          </w:p>
        </w:tc>
        <w:tc>
          <w:tcPr>
            <w:tcW w:w="660" w:type="dxa"/>
            <w:vAlign w:val="bottom"/>
            <w:tcBorders>
              <w:top w:val="single" w:sz="8" w:color="auto"/>
            </w:tcBorders>
            <w:gridSpan w:val="3"/>
          </w:tcPr>
          <w:p>
            <w:pPr>
              <w:spacing w:after="0"/>
              <w:rPr>
                <w:sz w:val="12"/>
                <w:szCs w:val="12"/>
                <w:color w:val="auto"/>
              </w:rPr>
            </w:pPr>
          </w:p>
        </w:tc>
        <w:tc>
          <w:tcPr>
            <w:tcW w:w="220" w:type="dxa"/>
            <w:vAlign w:val="bottom"/>
            <w:tcBorders>
              <w:top w:val="single" w:sz="8" w:color="CCEEFF"/>
              <w:right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gridSpan w:val="2"/>
          </w:tcPr>
          <w:p>
            <w:pPr>
              <w:spacing w:after="0"/>
              <w:rPr>
                <w:sz w:val="12"/>
                <w:szCs w:val="12"/>
                <w:color w:val="auto"/>
              </w:rPr>
            </w:pPr>
          </w:p>
        </w:tc>
        <w:tc>
          <w:tcPr>
            <w:tcW w:w="520" w:type="dxa"/>
            <w:vAlign w:val="bottom"/>
            <w:tcBorders>
              <w:top w:val="single" w:sz="8" w:color="auto"/>
            </w:tcBorders>
            <w:gridSpan w:val="3"/>
          </w:tcPr>
          <w:p>
            <w:pPr>
              <w:spacing w:after="0"/>
              <w:rPr>
                <w:sz w:val="12"/>
                <w:szCs w:val="12"/>
                <w:color w:val="auto"/>
              </w:rPr>
            </w:pPr>
          </w:p>
        </w:tc>
        <w:tc>
          <w:tcPr>
            <w:tcW w:w="120" w:type="dxa"/>
            <w:vAlign w:val="bottom"/>
            <w:tcBorders>
              <w:top w:val="single" w:sz="8" w:color="CCEEFF"/>
            </w:tcBorders>
            <w:gridSpan w:val="2"/>
          </w:tcPr>
          <w:p>
            <w:pPr>
              <w:spacing w:after="0"/>
              <w:rPr>
                <w:sz w:val="12"/>
                <w:szCs w:val="12"/>
                <w:color w:val="auto"/>
              </w:rPr>
            </w:pPr>
          </w:p>
        </w:tc>
        <w:tc>
          <w:tcPr>
            <w:tcW w:w="780" w:type="dxa"/>
            <w:vAlign w:val="bottom"/>
            <w:tcBorders>
              <w:top w:val="single" w:sz="8" w:color="auto"/>
            </w:tcBorders>
            <w:gridSpan w:val="5"/>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520" w:type="dxa"/>
            <w:vAlign w:val="bottom"/>
            <w:tcBorders>
              <w:top w:val="single" w:sz="8" w:color="auto"/>
            </w:tcBorders>
            <w:gridSpan w:val="3"/>
          </w:tcPr>
          <w:p>
            <w:pPr>
              <w:spacing w:after="0"/>
              <w:rPr>
                <w:sz w:val="12"/>
                <w:szCs w:val="12"/>
                <w:color w:val="auto"/>
              </w:rPr>
            </w:pPr>
          </w:p>
        </w:tc>
        <w:tc>
          <w:tcPr>
            <w:tcW w:w="120" w:type="dxa"/>
            <w:vAlign w:val="bottom"/>
            <w:tcBorders>
              <w:top w:val="single" w:sz="8" w:color="CCEEFF"/>
            </w:tcBorders>
            <w:gridSpan w:val="2"/>
          </w:tcPr>
          <w:p>
            <w:pPr>
              <w:spacing w:after="0"/>
              <w:rPr>
                <w:sz w:val="12"/>
                <w:szCs w:val="12"/>
                <w:color w:val="auto"/>
              </w:rPr>
            </w:pPr>
          </w:p>
        </w:tc>
        <w:tc>
          <w:tcPr>
            <w:tcW w:w="700" w:type="dxa"/>
            <w:vAlign w:val="bottom"/>
            <w:tcBorders>
              <w:top w:val="single" w:sz="8" w:color="auto"/>
            </w:tcBorders>
            <w:gridSpan w:val="4"/>
          </w:tcPr>
          <w:p>
            <w:pPr>
              <w:spacing w:after="0"/>
              <w:rPr>
                <w:sz w:val="12"/>
                <w:szCs w:val="12"/>
                <w:color w:val="auto"/>
              </w:rPr>
            </w:pPr>
          </w:p>
        </w:tc>
        <w:tc>
          <w:tcPr>
            <w:tcW w:w="100" w:type="dxa"/>
            <w:vAlign w:val="bottom"/>
            <w:tcBorders>
              <w:top w:val="single" w:sz="8" w:color="CCEEFF"/>
            </w:tcBorders>
            <w:gridSpan w:val="2"/>
          </w:tcPr>
          <w:p>
            <w:pPr>
              <w:spacing w:after="0"/>
              <w:rPr>
                <w:sz w:val="12"/>
                <w:szCs w:val="12"/>
                <w:color w:val="auto"/>
              </w:rPr>
            </w:pPr>
          </w:p>
        </w:tc>
        <w:tc>
          <w:tcPr>
            <w:tcW w:w="520" w:type="dxa"/>
            <w:vAlign w:val="bottom"/>
            <w:tcBorders>
              <w:top w:val="single" w:sz="8" w:color="auto"/>
            </w:tcBorders>
            <w:gridSpan w:val="4"/>
          </w:tcPr>
          <w:p>
            <w:pPr>
              <w:spacing w:after="0"/>
              <w:rPr>
                <w:sz w:val="12"/>
                <w:szCs w:val="12"/>
                <w:color w:val="auto"/>
              </w:rPr>
            </w:pPr>
          </w:p>
        </w:tc>
        <w:tc>
          <w:tcPr>
            <w:tcW w:w="140" w:type="dxa"/>
            <w:vAlign w:val="bottom"/>
            <w:tcBorders>
              <w:top w:val="single" w:sz="8" w:color="CCEEFF"/>
            </w:tcBorders>
            <w:gridSpan w:val="2"/>
          </w:tcPr>
          <w:p>
            <w:pPr>
              <w:spacing w:after="0"/>
              <w:rPr>
                <w:sz w:val="12"/>
                <w:szCs w:val="12"/>
                <w:color w:val="auto"/>
              </w:rPr>
            </w:pPr>
          </w:p>
        </w:tc>
        <w:tc>
          <w:tcPr>
            <w:tcW w:w="660" w:type="dxa"/>
            <w:vAlign w:val="bottom"/>
            <w:tcBorders>
              <w:top w:val="single" w:sz="8" w:color="auto"/>
            </w:tcBorders>
            <w:gridSpan w:val="5"/>
          </w:tcPr>
          <w:p>
            <w:pPr>
              <w:spacing w:after="0"/>
              <w:rPr>
                <w:sz w:val="12"/>
                <w:szCs w:val="12"/>
                <w:color w:val="auto"/>
              </w:rPr>
            </w:pPr>
          </w:p>
        </w:tc>
        <w:tc>
          <w:tcPr>
            <w:tcW w:w="120" w:type="dxa"/>
            <w:vAlign w:val="bottom"/>
            <w:tcBorders>
              <w:top w:val="single" w:sz="8" w:color="CCEEFF"/>
            </w:tcBorders>
            <w:gridSpan w:val="2"/>
          </w:tcPr>
          <w:p>
            <w:pPr>
              <w:spacing w:after="0"/>
              <w:rPr>
                <w:sz w:val="12"/>
                <w:szCs w:val="12"/>
                <w:color w:val="auto"/>
              </w:rPr>
            </w:pPr>
          </w:p>
        </w:tc>
        <w:tc>
          <w:tcPr>
            <w:tcW w:w="1000" w:type="dxa"/>
            <w:vAlign w:val="bottom"/>
            <w:tcBorders>
              <w:top w:val="single" w:sz="8" w:color="auto"/>
            </w:tcBorders>
            <w:gridSpan w:val="3"/>
          </w:tcPr>
          <w:p>
            <w:pPr>
              <w:spacing w:after="0"/>
              <w:rPr>
                <w:sz w:val="12"/>
                <w:szCs w:val="12"/>
                <w:color w:val="auto"/>
              </w:rPr>
            </w:pPr>
          </w:p>
        </w:tc>
        <w:tc>
          <w:tcPr>
            <w:tcW w:w="120" w:type="dxa"/>
            <w:vAlign w:val="bottom"/>
            <w:tcBorders>
              <w:top w:val="single" w:sz="8" w:color="CCEEFF"/>
            </w:tcBorders>
            <w:gridSpan w:val="3"/>
          </w:tcPr>
          <w:p>
            <w:pPr>
              <w:spacing w:after="0"/>
              <w:rPr>
                <w:sz w:val="12"/>
                <w:szCs w:val="12"/>
                <w:color w:val="auto"/>
              </w:rPr>
            </w:pPr>
          </w:p>
        </w:tc>
        <w:tc>
          <w:tcPr>
            <w:tcW w:w="820" w:type="dxa"/>
            <w:vAlign w:val="bottom"/>
            <w:tcBorders>
              <w:top w:val="single" w:sz="8" w:color="auto"/>
            </w:tcBorders>
            <w:gridSpan w:val="3"/>
          </w:tcPr>
          <w:p>
            <w:pPr>
              <w:spacing w:after="0"/>
              <w:rPr>
                <w:sz w:val="12"/>
                <w:szCs w:val="12"/>
                <w:color w:val="auto"/>
              </w:rPr>
            </w:pPr>
          </w:p>
        </w:tc>
        <w:tc>
          <w:tcPr>
            <w:tcW w:w="140" w:type="dxa"/>
            <w:vAlign w:val="bottom"/>
            <w:tcBorders>
              <w:top w:val="single" w:sz="8" w:color="CCEEFF"/>
            </w:tcBorders>
            <w:gridSpan w:val="2"/>
          </w:tcPr>
          <w:p>
            <w:pPr>
              <w:spacing w:after="0"/>
              <w:rPr>
                <w:sz w:val="12"/>
                <w:szCs w:val="12"/>
                <w:color w:val="auto"/>
              </w:rPr>
            </w:pPr>
          </w:p>
        </w:tc>
        <w:tc>
          <w:tcPr>
            <w:tcW w:w="620" w:type="dxa"/>
            <w:vAlign w:val="bottom"/>
            <w:tcBorders>
              <w:top w:val="single" w:sz="8" w:color="auto"/>
            </w:tcBorders>
            <w:gridSpan w:val="3"/>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260" w:type="dxa"/>
            <w:vAlign w:val="bottom"/>
            <w:tcBorders>
              <w:right w:val="single" w:sz="8" w:color="auto"/>
            </w:tcBorders>
            <w:gridSpan w:val="10"/>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7980" w:type="dxa"/>
            <w:vAlign w:val="bottom"/>
            <w:gridSpan w:val="53"/>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9"/>
                <w:szCs w:val="19"/>
                <w:color w:val="auto"/>
              </w:rPr>
            </w:pPr>
          </w:p>
        </w:tc>
        <w:tc>
          <w:tcPr>
            <w:tcW w:w="70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156,266,549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w:t>
            </w:r>
          </w:p>
        </w:tc>
        <w:tc>
          <w:tcPr>
            <w:tcW w:w="82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40,396,600</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447,136</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(442,500) $</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4,656</w:t>
            </w:r>
          </w:p>
        </w:tc>
        <w:tc>
          <w:tcPr>
            <w:tcW w:w="0" w:type="dxa"/>
            <w:vAlign w:val="bottom"/>
          </w:tcPr>
          <w:p>
            <w:pPr>
              <w:spacing w:after="0"/>
              <w:rPr>
                <w:sz w:val="1"/>
                <w:szCs w:val="1"/>
                <w:color w:val="auto"/>
              </w:rPr>
            </w:pPr>
          </w:p>
        </w:tc>
      </w:tr>
      <w:tr>
        <w:trPr>
          <w:trHeight w:val="21"/>
        </w:trPr>
        <w:tc>
          <w:tcPr>
            <w:tcW w:w="1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5"/>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4"/>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5"/>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gridSpan w:val="3"/>
          </w:tcPr>
          <w:p>
            <w:pPr>
              <w:spacing w:after="0" w:line="20" w:lineRule="exact"/>
              <w:rPr>
                <w:sz w:val="1"/>
                <w:szCs w:val="1"/>
                <w:color w:val="auto"/>
              </w:rPr>
            </w:pPr>
          </w:p>
        </w:tc>
        <w:tc>
          <w:tcPr>
            <w:tcW w:w="82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1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80" w:type="dxa"/>
            <w:vAlign w:val="bottom"/>
            <w:gridSpan w:val="7"/>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Legacy SoundHound</w:t>
            </w:r>
          </w:p>
        </w:tc>
        <w:tc>
          <w:tcPr>
            <w:tcW w:w="1440" w:type="dxa"/>
            <w:vAlign w:val="bottom"/>
            <w:gridSpan w:val="8"/>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Legacy SoundHound</w:t>
            </w:r>
          </w:p>
        </w:tc>
        <w:tc>
          <w:tcPr>
            <w:tcW w:w="120" w:type="dxa"/>
            <w:vAlign w:val="bottom"/>
          </w:tcPr>
          <w:p>
            <w:pPr>
              <w:spacing w:after="0"/>
              <w:rPr>
                <w:sz w:val="11"/>
                <w:szCs w:val="11"/>
                <w:color w:val="auto"/>
              </w:rPr>
            </w:pPr>
          </w:p>
        </w:tc>
        <w:tc>
          <w:tcPr>
            <w:tcW w:w="1340" w:type="dxa"/>
            <w:vAlign w:val="bottom"/>
            <w:gridSpan w:val="9"/>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220" w:type="dxa"/>
            <w:vAlign w:val="bottom"/>
            <w:gridSpan w:val="9"/>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Class B Common</w:t>
            </w:r>
          </w:p>
        </w:tc>
        <w:tc>
          <w:tcPr>
            <w:tcW w:w="780" w:type="dxa"/>
            <w:vAlign w:val="bottom"/>
            <w:gridSpan w:val="7"/>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5"/>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gridSpan w:val="7"/>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Redeemable Convertible</w:t>
            </w:r>
          </w:p>
        </w:tc>
        <w:tc>
          <w:tcPr>
            <w:tcW w:w="1440" w:type="dxa"/>
            <w:vAlign w:val="bottom"/>
            <w:gridSpan w:val="8"/>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9"/>
            <w:vMerge w:val="continue"/>
          </w:tcPr>
          <w:p>
            <w:pPr>
              <w:spacing w:after="0"/>
              <w:rPr>
                <w:sz w:val="12"/>
                <w:szCs w:val="12"/>
                <w:color w:val="auto"/>
              </w:rPr>
            </w:pPr>
          </w:p>
        </w:tc>
        <w:tc>
          <w:tcPr>
            <w:tcW w:w="1220" w:type="dxa"/>
            <w:vAlign w:val="bottom"/>
            <w:gridSpan w:val="9"/>
            <w:vMerge w:val="continue"/>
          </w:tcPr>
          <w:p>
            <w:pPr>
              <w:spacing w:after="0"/>
              <w:rPr>
                <w:sz w:val="12"/>
                <w:szCs w:val="12"/>
                <w:color w:val="auto"/>
              </w:rPr>
            </w:pPr>
          </w:p>
        </w:tc>
        <w:tc>
          <w:tcPr>
            <w:tcW w:w="780" w:type="dxa"/>
            <w:vAlign w:val="bottom"/>
            <w:gridSpan w:val="7"/>
            <w:vMerge w:val="continue"/>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6"/>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8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180" w:type="dxa"/>
            <w:vAlign w:val="bottom"/>
            <w:gridSpan w:val="5"/>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5"/>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5"/>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6"/>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bottom w:val="single" w:sz="8" w:color="CCEEFF"/>
            </w:tcBorders>
          </w:tcPr>
          <w:p>
            <w:pPr>
              <w:spacing w:after="0"/>
              <w:rPr>
                <w:sz w:val="14"/>
                <w:szCs w:val="14"/>
                <w:color w:val="auto"/>
              </w:rPr>
            </w:pPr>
          </w:p>
        </w:tc>
        <w:tc>
          <w:tcPr>
            <w:tcW w:w="60" w:type="dxa"/>
            <w:vAlign w:val="bottom"/>
            <w:tcBorders>
              <w:top w:val="single" w:sz="8" w:color="auto"/>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bottom w:val="single" w:sz="8" w:color="CCEEFF"/>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CCEEFF"/>
            </w:tcBorders>
            <w:gridSpan w:val="2"/>
          </w:tcPr>
          <w:p>
            <w:pPr>
              <w:spacing w:after="0"/>
              <w:rPr>
                <w:sz w:val="14"/>
                <w:szCs w:val="14"/>
                <w:color w:val="auto"/>
              </w:rPr>
            </w:pPr>
          </w:p>
        </w:tc>
        <w:tc>
          <w:tcPr>
            <w:tcW w:w="48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bottom w:val="single" w:sz="8" w:color="CCEEFF"/>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Borders>
              <w:bottom w:val="single" w:sz="8" w:color="CCEEFF"/>
            </w:tcBorders>
            <w:gridSpan w:val="2"/>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Borders>
              <w:bottom w:val="single" w:sz="8" w:color="CCEEFF"/>
            </w:tcBorders>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340" w:type="dxa"/>
            <w:vAlign w:val="bottom"/>
            <w:gridSpan w:val="2"/>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 as of March</w:t>
            </w:r>
          </w:p>
        </w:tc>
        <w:tc>
          <w:tcPr>
            <w:tcW w:w="104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19,132,387</w:t>
            </w:r>
          </w:p>
        </w:tc>
        <w:tc>
          <w:tcPr>
            <w:tcW w:w="1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273,687</w:t>
            </w:r>
          </w:p>
        </w:tc>
        <w:tc>
          <w:tcPr>
            <w:tcW w:w="8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12,116,611</w:t>
            </w:r>
          </w:p>
        </w:tc>
        <w:tc>
          <w:tcPr>
            <w:tcW w:w="3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9"/>
                <w:szCs w:val="9"/>
                <w:color w:val="auto"/>
              </w:rPr>
            </w:pPr>
          </w:p>
        </w:tc>
        <w:tc>
          <w:tcPr>
            <w:tcW w:w="4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33,423</w:t>
            </w:r>
          </w:p>
        </w:tc>
        <w:tc>
          <w:tcPr>
            <w:tcW w:w="2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9"/>
                <w:szCs w:val="9"/>
                <w:color w:val="auto"/>
              </w:rPr>
            </w:pPr>
          </w:p>
        </w:tc>
        <w:tc>
          <w:tcPr>
            <w:tcW w:w="20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(326,449)</w:t>
            </w:r>
          </w:p>
        </w:tc>
        <w:tc>
          <w:tcPr>
            <w:tcW w:w="100" w:type="dxa"/>
            <w:vAlign w:val="bottom"/>
            <w:shd w:val="clear" w:color="auto" w:fill="CCEEFF"/>
          </w:tcPr>
          <w:p>
            <w:pPr>
              <w:spacing w:after="0"/>
              <w:rPr>
                <w:sz w:val="9"/>
                <w:szCs w:val="9"/>
                <w:color w:val="auto"/>
              </w:rPr>
            </w:pPr>
          </w:p>
        </w:tc>
        <w:tc>
          <w:tcPr>
            <w:tcW w:w="1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(293,026)</w:t>
            </w:r>
          </w:p>
        </w:tc>
        <w:tc>
          <w:tcPr>
            <w:tcW w:w="0" w:type="dxa"/>
            <w:vAlign w:val="bottom"/>
          </w:tcPr>
          <w:p>
            <w:pPr>
              <w:spacing w:after="0"/>
              <w:rPr>
                <w:sz w:val="1"/>
                <w:szCs w:val="1"/>
                <w:color w:val="auto"/>
              </w:rPr>
            </w:pPr>
          </w:p>
        </w:tc>
      </w:tr>
      <w:tr>
        <w:trPr>
          <w:trHeight w:val="17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100" w:type="dxa"/>
            <w:vAlign w:val="bottom"/>
            <w:shd w:val="clear" w:color="auto" w:fill="CCEEFF"/>
          </w:tcPr>
          <w:p>
            <w:pPr>
              <w:spacing w:after="0"/>
              <w:rPr>
                <w:sz w:val="15"/>
                <w:szCs w:val="15"/>
                <w:color w:val="auto"/>
              </w:rPr>
            </w:pPr>
          </w:p>
        </w:tc>
        <w:tc>
          <w:tcPr>
            <w:tcW w:w="1040" w:type="dxa"/>
            <w:vAlign w:val="bottom"/>
            <w:gridSpan w:val="4"/>
            <w:vMerge w:val="continue"/>
            <w:shd w:val="clear" w:color="auto" w:fill="CCEEFF"/>
          </w:tcPr>
          <w:p>
            <w:pPr>
              <w:spacing w:after="0"/>
              <w:rPr>
                <w:sz w:val="15"/>
                <w:szCs w:val="15"/>
                <w:color w:val="auto"/>
              </w:rPr>
            </w:pPr>
          </w:p>
        </w:tc>
        <w:tc>
          <w:tcPr>
            <w:tcW w:w="180" w:type="dxa"/>
            <w:vAlign w:val="bottom"/>
            <w:gridSpan w:val="2"/>
            <w:vMerge w:val="continue"/>
            <w:shd w:val="clear" w:color="auto" w:fill="CCEEFF"/>
          </w:tcPr>
          <w:p>
            <w:pPr>
              <w:spacing w:after="0"/>
              <w:rPr>
                <w:sz w:val="15"/>
                <w:szCs w:val="15"/>
                <w:color w:val="auto"/>
              </w:rPr>
            </w:pPr>
          </w:p>
        </w:tc>
        <w:tc>
          <w:tcPr>
            <w:tcW w:w="700" w:type="dxa"/>
            <w:vAlign w:val="bottom"/>
            <w:tcBorders>
              <w:right w:val="single" w:sz="8" w:color="auto"/>
            </w:tcBorders>
            <w:gridSpan w:val="2"/>
            <w:vMerge w:val="continue"/>
            <w:shd w:val="clear" w:color="auto" w:fill="CCEEFF"/>
          </w:tcPr>
          <w:p>
            <w:pPr>
              <w:spacing w:after="0"/>
              <w:rPr>
                <w:sz w:val="15"/>
                <w:szCs w:val="15"/>
                <w:color w:val="auto"/>
              </w:rPr>
            </w:pPr>
          </w:p>
        </w:tc>
        <w:tc>
          <w:tcPr>
            <w:tcW w:w="800" w:type="dxa"/>
            <w:vAlign w:val="bottom"/>
            <w:gridSpan w:val="3"/>
            <w:vMerge w:val="continue"/>
            <w:shd w:val="clear" w:color="auto" w:fill="CCEEFF"/>
          </w:tcPr>
          <w:p>
            <w:pPr>
              <w:spacing w:after="0"/>
              <w:rPr>
                <w:sz w:val="15"/>
                <w:szCs w:val="15"/>
                <w:color w:val="auto"/>
              </w:rPr>
            </w:pPr>
          </w:p>
        </w:tc>
        <w:tc>
          <w:tcPr>
            <w:tcW w:w="380" w:type="dxa"/>
            <w:vAlign w:val="bottom"/>
            <w:gridSpan w:val="2"/>
            <w:vMerge w:val="continue"/>
            <w:shd w:val="clear" w:color="auto" w:fill="CCEEFF"/>
          </w:tcPr>
          <w:p>
            <w:pPr>
              <w:spacing w:after="0"/>
              <w:rPr>
                <w:sz w:val="15"/>
                <w:szCs w:val="15"/>
                <w:color w:val="auto"/>
              </w:rPr>
            </w:pPr>
          </w:p>
        </w:tc>
        <w:tc>
          <w:tcPr>
            <w:tcW w:w="26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28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vMerge w:val="continue"/>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200" w:type="dxa"/>
            <w:vAlign w:val="bottom"/>
            <w:gridSpan w:val="3"/>
            <w:vMerge w:val="continue"/>
            <w:shd w:val="clear" w:color="auto" w:fill="CCEEFF"/>
          </w:tcPr>
          <w:p>
            <w:pPr>
              <w:spacing w:after="0"/>
              <w:rPr>
                <w:sz w:val="15"/>
                <w:szCs w:val="15"/>
                <w:color w:val="auto"/>
              </w:rPr>
            </w:pPr>
          </w:p>
        </w:tc>
        <w:tc>
          <w:tcPr>
            <w:tcW w:w="580" w:type="dxa"/>
            <w:vAlign w:val="bottom"/>
            <w:gridSpan w:val="4"/>
            <w:vMerge w:val="continue"/>
            <w:shd w:val="clear" w:color="auto" w:fill="CCEEFF"/>
          </w:tcPr>
          <w:p>
            <w:pPr>
              <w:spacing w:after="0"/>
              <w:rPr>
                <w:sz w:val="15"/>
                <w:szCs w:val="15"/>
                <w:color w:val="auto"/>
              </w:rPr>
            </w:pPr>
          </w:p>
        </w:tc>
        <w:tc>
          <w:tcPr>
            <w:tcW w:w="26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gridSpan w:val="3"/>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gridSpan w:val="2"/>
            <w:vMerge w:val="continue"/>
            <w:shd w:val="clear" w:color="auto" w:fill="CCEEFF"/>
          </w:tcPr>
          <w:p>
            <w:pPr>
              <w:spacing w:after="0"/>
              <w:rPr>
                <w:sz w:val="15"/>
                <w:szCs w:val="15"/>
                <w:color w:val="auto"/>
              </w:rPr>
            </w:pPr>
          </w:p>
        </w:tc>
        <w:tc>
          <w:tcPr>
            <w:tcW w:w="62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260" w:type="dxa"/>
            <w:vAlign w:val="bottom"/>
            <w:tcBorders>
              <w:right w:val="single" w:sz="8" w:color="auto"/>
            </w:tcBorders>
            <w:gridSpan w:val="10"/>
          </w:tcPr>
          <w:p>
            <w:pPr>
              <w:spacing w:after="0" w:line="126" w:lineRule="exact"/>
              <w:rPr>
                <w:sz w:val="20"/>
                <w:szCs w:val="20"/>
                <w:color w:val="auto"/>
              </w:rPr>
            </w:pPr>
            <w:r>
              <w:rPr>
                <w:rFonts w:ascii="Times New Roman" w:cs="Times New Roman" w:eastAsia="Times New Roman" w:hAnsi="Times New Roman"/>
                <w:sz w:val="14"/>
                <w:szCs w:val="14"/>
                <w:color w:val="auto"/>
              </w:rPr>
              <w:t>Retroactive</w:t>
            </w:r>
          </w:p>
        </w:tc>
        <w:tc>
          <w:tcPr>
            <w:tcW w:w="7980" w:type="dxa"/>
            <w:vAlign w:val="bottom"/>
            <w:gridSpan w:val="53"/>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60" w:type="dxa"/>
            <w:vAlign w:val="bottom"/>
            <w:tcBorders>
              <w:right w:val="single" w:sz="8" w:color="auto"/>
            </w:tcBorders>
            <w:gridSpan w:val="10"/>
          </w:tcPr>
          <w:p>
            <w:pPr>
              <w:ind w:left="180"/>
              <w:spacing w:after="0" w:line="149" w:lineRule="exact"/>
              <w:rPr>
                <w:sz w:val="20"/>
                <w:szCs w:val="20"/>
                <w:color w:val="auto"/>
              </w:rPr>
            </w:pPr>
            <w:r>
              <w:rPr>
                <w:rFonts w:ascii="Times New Roman" w:cs="Times New Roman" w:eastAsia="Times New Roman" w:hAnsi="Times New Roman"/>
                <w:sz w:val="14"/>
                <w:szCs w:val="14"/>
                <w:color w:val="auto"/>
              </w:rPr>
              <w:t>application of</w:t>
            </w:r>
          </w:p>
        </w:tc>
        <w:tc>
          <w:tcPr>
            <w:tcW w:w="7980" w:type="dxa"/>
            <w:vAlign w:val="bottom"/>
            <w:gridSpan w:val="5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Borders>
              <w:right w:val="single" w:sz="8" w:color="auto"/>
            </w:tcBorders>
            <w:gridSpan w:val="10"/>
          </w:tcPr>
          <w:p>
            <w:pPr>
              <w:ind w:left="180"/>
              <w:spacing w:after="0" w:line="149" w:lineRule="exact"/>
              <w:rPr>
                <w:sz w:val="20"/>
                <w:szCs w:val="20"/>
                <w:color w:val="auto"/>
              </w:rPr>
            </w:pPr>
            <w:r>
              <w:rPr>
                <w:rFonts w:ascii="Times New Roman" w:cs="Times New Roman" w:eastAsia="Times New Roman" w:hAnsi="Times New Roman"/>
                <w:sz w:val="14"/>
                <w:szCs w:val="14"/>
                <w:color w:val="auto"/>
              </w:rPr>
              <w:t>Business</w:t>
            </w:r>
          </w:p>
        </w:tc>
        <w:tc>
          <w:tcPr>
            <w:tcW w:w="7980" w:type="dxa"/>
            <w:vAlign w:val="bottom"/>
            <w:gridSpan w:val="5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Borders>
              <w:right w:val="single" w:sz="8" w:color="auto"/>
            </w:tcBorders>
            <w:gridSpan w:val="10"/>
          </w:tcPr>
          <w:p>
            <w:pPr>
              <w:ind w:left="180"/>
              <w:spacing w:after="0" w:line="149" w:lineRule="exact"/>
              <w:rPr>
                <w:sz w:val="20"/>
                <w:szCs w:val="20"/>
                <w:color w:val="auto"/>
              </w:rPr>
            </w:pPr>
            <w:r>
              <w:rPr>
                <w:rFonts w:ascii="Times New Roman" w:cs="Times New Roman" w:eastAsia="Times New Roman" w:hAnsi="Times New Roman"/>
                <w:sz w:val="14"/>
                <w:szCs w:val="14"/>
                <w:color w:val="auto"/>
              </w:rPr>
              <w:t>Combination (Note</w:t>
            </w:r>
          </w:p>
        </w:tc>
        <w:tc>
          <w:tcPr>
            <w:tcW w:w="7980" w:type="dxa"/>
            <w:vAlign w:val="bottom"/>
            <w:gridSpan w:val="53"/>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87,171,583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55,206,093</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8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0"/>
        </w:trPr>
        <w:tc>
          <w:tcPr>
            <w:tcW w:w="1380" w:type="dxa"/>
            <w:vAlign w:val="bottom"/>
            <w:tcBorders>
              <w:top w:val="single" w:sz="8" w:color="CCEEFF"/>
            </w:tcBorders>
            <w:gridSpan w:val="3"/>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Adjusted balance,</w:t>
            </w:r>
          </w:p>
        </w:tc>
        <w:tc>
          <w:tcPr>
            <w:tcW w:w="860" w:type="dxa"/>
            <w:vAlign w:val="bottom"/>
            <w:tcBorders>
              <w:top w:val="single" w:sz="8" w:color="auto"/>
            </w:tcBorders>
            <w:gridSpan w:val="2"/>
            <w:shd w:val="clear" w:color="auto" w:fill="CCEEFF"/>
          </w:tcPr>
          <w:p>
            <w:pPr>
              <w:spacing w:after="0"/>
              <w:rPr>
                <w:sz w:val="9"/>
                <w:szCs w:val="9"/>
                <w:color w:val="auto"/>
              </w:rPr>
            </w:pPr>
          </w:p>
        </w:tc>
        <w:tc>
          <w:tcPr>
            <w:tcW w:w="240" w:type="dxa"/>
            <w:vAlign w:val="bottom"/>
            <w:tcBorders>
              <w:top w:val="single" w:sz="8" w:color="CCEEFF"/>
            </w:tcBorders>
            <w:gridSpan w:val="2"/>
            <w:shd w:val="clear" w:color="auto" w:fill="CCEEFF"/>
          </w:tcPr>
          <w:p>
            <w:pPr>
              <w:spacing w:after="0"/>
              <w:rPr>
                <w:sz w:val="9"/>
                <w:szCs w:val="9"/>
                <w:color w:val="auto"/>
              </w:rPr>
            </w:pPr>
          </w:p>
        </w:tc>
        <w:tc>
          <w:tcPr>
            <w:tcW w:w="780" w:type="dxa"/>
            <w:vAlign w:val="bottom"/>
            <w:tcBorders>
              <w:top w:val="single" w:sz="8" w:color="auto"/>
              <w:right w:val="single" w:sz="8" w:color="auto"/>
            </w:tcBorders>
            <w:gridSpan w:val="3"/>
            <w:shd w:val="clear" w:color="auto" w:fill="CCEEFF"/>
          </w:tcPr>
          <w:p>
            <w:pPr>
              <w:spacing w:after="0"/>
              <w:rPr>
                <w:sz w:val="9"/>
                <w:szCs w:val="9"/>
                <w:color w:val="auto"/>
              </w:rPr>
            </w:pPr>
          </w:p>
        </w:tc>
        <w:tc>
          <w:tcPr>
            <w:tcW w:w="720" w:type="dxa"/>
            <w:vAlign w:val="bottom"/>
            <w:tcBorders>
              <w:top w:val="single" w:sz="8" w:color="auto"/>
            </w:tcBorders>
            <w:gridSpan w:val="2"/>
            <w:shd w:val="clear" w:color="auto" w:fill="CCEEFF"/>
          </w:tcPr>
          <w:p>
            <w:pPr>
              <w:spacing w:after="0"/>
              <w:rPr>
                <w:sz w:val="9"/>
                <w:szCs w:val="9"/>
                <w:color w:val="auto"/>
              </w:rPr>
            </w:pPr>
          </w:p>
        </w:tc>
        <w:tc>
          <w:tcPr>
            <w:tcW w:w="140" w:type="dxa"/>
            <w:vAlign w:val="bottom"/>
            <w:tcBorders>
              <w:top w:val="single" w:sz="8" w:color="CCEEFF"/>
            </w:tcBorders>
            <w:gridSpan w:val="2"/>
            <w:shd w:val="clear" w:color="auto" w:fill="CCEEFF"/>
          </w:tcPr>
          <w:p>
            <w:pPr>
              <w:spacing w:after="0"/>
              <w:rPr>
                <w:sz w:val="9"/>
                <w:szCs w:val="9"/>
                <w:color w:val="auto"/>
              </w:rPr>
            </w:pPr>
          </w:p>
        </w:tc>
        <w:tc>
          <w:tcPr>
            <w:tcW w:w="540" w:type="dxa"/>
            <w:vAlign w:val="bottom"/>
            <w:tcBorders>
              <w:top w:val="single" w:sz="8" w:color="auto"/>
            </w:tcBorders>
            <w:gridSpan w:val="3"/>
            <w:shd w:val="clear" w:color="auto" w:fill="CCEEFF"/>
          </w:tcPr>
          <w:p>
            <w:pPr>
              <w:spacing w:after="0"/>
              <w:rPr>
                <w:sz w:val="9"/>
                <w:szCs w:val="9"/>
                <w:color w:val="auto"/>
              </w:rPr>
            </w:pPr>
          </w:p>
        </w:tc>
        <w:tc>
          <w:tcPr>
            <w:tcW w:w="160" w:type="dxa"/>
            <w:vAlign w:val="bottom"/>
            <w:tcBorders>
              <w:top w:val="single" w:sz="8" w:color="CCEEFF"/>
            </w:tcBorders>
            <w:gridSpan w:val="2"/>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gridSpan w:val="2"/>
            <w:shd w:val="clear" w:color="auto" w:fill="CCEEFF"/>
          </w:tcPr>
          <w:p>
            <w:pPr>
              <w:spacing w:after="0"/>
              <w:rPr>
                <w:sz w:val="9"/>
                <w:szCs w:val="9"/>
                <w:color w:val="auto"/>
              </w:rPr>
            </w:pPr>
          </w:p>
        </w:tc>
        <w:tc>
          <w:tcPr>
            <w:tcW w:w="540" w:type="dxa"/>
            <w:vAlign w:val="bottom"/>
            <w:tcBorders>
              <w:top w:val="single" w:sz="8" w:color="auto"/>
            </w:tcBorders>
            <w:gridSpan w:val="4"/>
            <w:shd w:val="clear" w:color="auto" w:fill="CCEEFF"/>
          </w:tcPr>
          <w:p>
            <w:pPr>
              <w:spacing w:after="0"/>
              <w:rPr>
                <w:sz w:val="9"/>
                <w:szCs w:val="9"/>
                <w:color w:val="auto"/>
              </w:rPr>
            </w:pPr>
          </w:p>
        </w:tc>
        <w:tc>
          <w:tcPr>
            <w:tcW w:w="180" w:type="dxa"/>
            <w:vAlign w:val="bottom"/>
            <w:tcBorders>
              <w:top w:val="single" w:sz="8" w:color="CCEEFF"/>
            </w:tcBorders>
            <w:gridSpan w:val="2"/>
            <w:shd w:val="clear" w:color="auto" w:fill="CCEEFF"/>
          </w:tcPr>
          <w:p>
            <w:pPr>
              <w:spacing w:after="0"/>
              <w:rPr>
                <w:sz w:val="9"/>
                <w:szCs w:val="9"/>
                <w:color w:val="auto"/>
              </w:rPr>
            </w:pPr>
          </w:p>
        </w:tc>
        <w:tc>
          <w:tcPr>
            <w:tcW w:w="480" w:type="dxa"/>
            <w:vAlign w:val="bottom"/>
            <w:tcBorders>
              <w:top w:val="single" w:sz="8" w:color="auto"/>
            </w:tcBorders>
            <w:gridSpan w:val="2"/>
            <w:shd w:val="clear" w:color="auto" w:fill="CCEEFF"/>
          </w:tcPr>
          <w:p>
            <w:pPr>
              <w:spacing w:after="0"/>
              <w:rPr>
                <w:sz w:val="9"/>
                <w:szCs w:val="9"/>
                <w:color w:val="auto"/>
              </w:rPr>
            </w:pPr>
          </w:p>
        </w:tc>
        <w:tc>
          <w:tcPr>
            <w:tcW w:w="160" w:type="dxa"/>
            <w:vAlign w:val="bottom"/>
            <w:tcBorders>
              <w:top w:val="single" w:sz="8" w:color="CCEEFF"/>
            </w:tcBorders>
            <w:gridSpan w:val="2"/>
            <w:shd w:val="clear" w:color="auto" w:fill="CCEEFF"/>
          </w:tcPr>
          <w:p>
            <w:pPr>
              <w:spacing w:after="0"/>
              <w:rPr>
                <w:sz w:val="9"/>
                <w:szCs w:val="9"/>
                <w:color w:val="auto"/>
              </w:rPr>
            </w:pPr>
          </w:p>
        </w:tc>
        <w:tc>
          <w:tcPr>
            <w:tcW w:w="540" w:type="dxa"/>
            <w:vAlign w:val="bottom"/>
            <w:tcBorders>
              <w:top w:val="single" w:sz="8" w:color="auto"/>
            </w:tcBorders>
            <w:gridSpan w:val="4"/>
            <w:shd w:val="clear" w:color="auto" w:fill="CCEEFF"/>
          </w:tcPr>
          <w:p>
            <w:pPr>
              <w:spacing w:after="0"/>
              <w:rPr>
                <w:sz w:val="9"/>
                <w:szCs w:val="9"/>
                <w:color w:val="auto"/>
              </w:rPr>
            </w:pPr>
          </w:p>
        </w:tc>
        <w:tc>
          <w:tcPr>
            <w:tcW w:w="160" w:type="dxa"/>
            <w:vAlign w:val="bottom"/>
            <w:tcBorders>
              <w:top w:val="single" w:sz="8" w:color="CCEEFF"/>
            </w:tcBorders>
            <w:gridSpan w:val="2"/>
            <w:shd w:val="clear" w:color="auto" w:fill="CCEEFF"/>
          </w:tcPr>
          <w:p>
            <w:pPr>
              <w:spacing w:after="0"/>
              <w:rPr>
                <w:sz w:val="9"/>
                <w:szCs w:val="9"/>
                <w:color w:val="auto"/>
              </w:rPr>
            </w:pPr>
          </w:p>
        </w:tc>
        <w:tc>
          <w:tcPr>
            <w:tcW w:w="640" w:type="dxa"/>
            <w:vAlign w:val="bottom"/>
            <w:tcBorders>
              <w:top w:val="single" w:sz="8" w:color="auto"/>
            </w:tcBorders>
            <w:gridSpan w:val="5"/>
            <w:shd w:val="clear" w:color="auto" w:fill="CCEEFF"/>
          </w:tcPr>
          <w:p>
            <w:pPr>
              <w:spacing w:after="0"/>
              <w:rPr>
                <w:sz w:val="9"/>
                <w:szCs w:val="9"/>
                <w:color w:val="auto"/>
              </w:rPr>
            </w:pPr>
          </w:p>
        </w:tc>
        <w:tc>
          <w:tcPr>
            <w:tcW w:w="180" w:type="dxa"/>
            <w:vAlign w:val="bottom"/>
            <w:tcBorders>
              <w:top w:val="single" w:sz="8" w:color="CCEEFF"/>
            </w:tcBorders>
            <w:gridSpan w:val="2"/>
            <w:shd w:val="clear" w:color="auto" w:fill="CCEEFF"/>
          </w:tcPr>
          <w:p>
            <w:pPr>
              <w:spacing w:after="0"/>
              <w:rPr>
                <w:sz w:val="9"/>
                <w:szCs w:val="9"/>
                <w:color w:val="auto"/>
              </w:rPr>
            </w:pPr>
          </w:p>
        </w:tc>
        <w:tc>
          <w:tcPr>
            <w:tcW w:w="1080" w:type="dxa"/>
            <w:vAlign w:val="bottom"/>
            <w:tcBorders>
              <w:top w:val="single" w:sz="8" w:color="auto"/>
            </w:tcBorders>
            <w:gridSpan w:val="5"/>
            <w:shd w:val="clear" w:color="auto" w:fill="CCEEFF"/>
          </w:tcPr>
          <w:p>
            <w:pPr>
              <w:spacing w:after="0"/>
              <w:rPr>
                <w:sz w:val="9"/>
                <w:szCs w:val="9"/>
                <w:color w:val="auto"/>
              </w:rPr>
            </w:pPr>
          </w:p>
        </w:tc>
        <w:tc>
          <w:tcPr>
            <w:tcW w:w="160" w:type="dxa"/>
            <w:vAlign w:val="bottom"/>
            <w:tcBorders>
              <w:top w:val="single" w:sz="8" w:color="CCEEFF"/>
            </w:tcBorders>
            <w:gridSpan w:val="3"/>
            <w:shd w:val="clear" w:color="auto" w:fill="CCEEFF"/>
          </w:tcPr>
          <w:p>
            <w:pPr>
              <w:spacing w:after="0"/>
              <w:rPr>
                <w:sz w:val="9"/>
                <w:szCs w:val="9"/>
                <w:color w:val="auto"/>
              </w:rPr>
            </w:pPr>
          </w:p>
        </w:tc>
        <w:tc>
          <w:tcPr>
            <w:tcW w:w="800" w:type="dxa"/>
            <w:vAlign w:val="bottom"/>
            <w:tcBorders>
              <w:top w:val="single" w:sz="8" w:color="auto"/>
            </w:tcBorders>
            <w:gridSpan w:val="3"/>
            <w:shd w:val="clear" w:color="auto" w:fill="CCEEFF"/>
          </w:tcPr>
          <w:p>
            <w:pPr>
              <w:spacing w:after="0"/>
              <w:rPr>
                <w:sz w:val="9"/>
                <w:szCs w:val="9"/>
                <w:color w:val="auto"/>
              </w:rPr>
            </w:pPr>
          </w:p>
        </w:tc>
        <w:tc>
          <w:tcPr>
            <w:tcW w:w="160" w:type="dxa"/>
            <w:vAlign w:val="bottom"/>
            <w:tcBorders>
              <w:top w:val="single" w:sz="8" w:color="CCEEFF"/>
            </w:tcBorders>
            <w:gridSpan w:val="2"/>
            <w:shd w:val="clear" w:color="auto" w:fill="CCEEFF"/>
          </w:tcPr>
          <w:p>
            <w:pPr>
              <w:spacing w:after="0"/>
              <w:rPr>
                <w:sz w:val="9"/>
                <w:szCs w:val="9"/>
                <w:color w:val="auto"/>
              </w:rPr>
            </w:pPr>
          </w:p>
        </w:tc>
        <w:tc>
          <w:tcPr>
            <w:tcW w:w="620" w:type="dxa"/>
            <w:vAlign w:val="bottom"/>
            <w:tcBorders>
              <w:top w:val="single" w:sz="8" w:color="auto"/>
            </w:tcBorders>
            <w:gridSpan w:val="3"/>
            <w:shd w:val="clear" w:color="auto" w:fill="CCEEFF"/>
          </w:tcPr>
          <w:p>
            <w:pPr>
              <w:spacing w:after="0"/>
              <w:rPr>
                <w:sz w:val="9"/>
                <w:szCs w:val="9"/>
                <w:color w:val="auto"/>
              </w:rPr>
            </w:pPr>
          </w:p>
        </w:tc>
        <w:tc>
          <w:tcPr>
            <w:tcW w:w="100" w:type="dxa"/>
            <w:vAlign w:val="bottom"/>
            <w:tcBorders>
              <w:top w:val="single" w:sz="8" w:color="CCEEFF"/>
            </w:tcBorders>
            <w:gridSpan w:val="2"/>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3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04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106,303,970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273,687</w:t>
            </w:r>
          </w:p>
        </w:tc>
        <w:tc>
          <w:tcPr>
            <w:tcW w:w="8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67,322,704</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33,423</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(326,449)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(293,026)</w:t>
            </w:r>
          </w:p>
        </w:tc>
        <w:tc>
          <w:tcPr>
            <w:tcW w:w="0" w:type="dxa"/>
            <w:vAlign w:val="bottom"/>
          </w:tcPr>
          <w:p>
            <w:pPr>
              <w:spacing w:after="0"/>
              <w:rPr>
                <w:sz w:val="1"/>
                <w:szCs w:val="1"/>
                <w:color w:val="auto"/>
              </w:rPr>
            </w:pPr>
          </w:p>
        </w:tc>
      </w:tr>
      <w:tr>
        <w:trPr>
          <w:trHeight w:val="173"/>
        </w:trPr>
        <w:tc>
          <w:tcPr>
            <w:tcW w:w="1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40" w:type="dxa"/>
            <w:vAlign w:val="bottom"/>
            <w:gridSpan w:val="4"/>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vMerge w:val="continue"/>
            <w:shd w:val="clear" w:color="auto" w:fill="CCEEFF"/>
          </w:tcPr>
          <w:p>
            <w:pPr>
              <w:spacing w:after="0"/>
              <w:rPr>
                <w:sz w:val="15"/>
                <w:szCs w:val="15"/>
                <w:color w:val="auto"/>
              </w:rPr>
            </w:pPr>
          </w:p>
        </w:tc>
        <w:tc>
          <w:tcPr>
            <w:tcW w:w="80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gridSpan w:val="4"/>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260" w:type="dxa"/>
            <w:vAlign w:val="bottom"/>
            <w:tcBorders>
              <w:right w:val="single" w:sz="8" w:color="auto"/>
            </w:tcBorders>
            <w:gridSpan w:val="10"/>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w:t>
            </w:r>
          </w:p>
        </w:tc>
        <w:tc>
          <w:tcPr>
            <w:tcW w:w="7980" w:type="dxa"/>
            <w:vAlign w:val="bottom"/>
            <w:gridSpan w:val="53"/>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 upon exercise</w:t>
            </w:r>
          </w:p>
        </w:tc>
        <w:tc>
          <w:tcPr>
            <w:tcW w:w="40" w:type="dxa"/>
            <w:vAlign w:val="bottom"/>
          </w:tcPr>
          <w:p>
            <w:pPr>
              <w:spacing w:after="0"/>
              <w:rPr>
                <w:sz w:val="12"/>
                <w:szCs w:val="12"/>
                <w:color w:val="auto"/>
              </w:rPr>
            </w:pPr>
          </w:p>
        </w:tc>
        <w:tc>
          <w:tcPr>
            <w:tcW w:w="10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311,187</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80" w:type="dxa"/>
            <w:vAlign w:val="bottom"/>
            <w:gridSpan w:val="2"/>
            <w:vMerge w:val="restart"/>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473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of stock options</w:t>
            </w:r>
          </w:p>
        </w:tc>
        <w:tc>
          <w:tcPr>
            <w:tcW w:w="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right w:val="single" w:sz="8" w:color="auto"/>
            </w:tcBorders>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w:t>
            </w:r>
          </w:p>
        </w:tc>
        <w:tc>
          <w:tcPr>
            <w:tcW w:w="40" w:type="dxa"/>
            <w:vAlign w:val="bottom"/>
            <w:shd w:val="clear" w:color="auto" w:fill="CCEEFF"/>
          </w:tcPr>
          <w:p>
            <w:pPr>
              <w:spacing w:after="0"/>
              <w:rPr>
                <w:sz w:val="10"/>
                <w:szCs w:val="10"/>
                <w:color w:val="auto"/>
              </w:rPr>
            </w:pPr>
          </w:p>
        </w:tc>
        <w:tc>
          <w:tcPr>
            <w:tcW w:w="10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3,842</w:t>
            </w: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3,842</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warrants</w:t>
            </w:r>
          </w:p>
        </w:tc>
        <w:tc>
          <w:tcPr>
            <w:tcW w:w="40" w:type="dxa"/>
            <w:vAlign w:val="bottom"/>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vMerge w:val="continue"/>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Other comprehensive</w:t>
            </w:r>
          </w:p>
        </w:tc>
        <w:tc>
          <w:tcPr>
            <w:tcW w:w="40" w:type="dxa"/>
            <w:vAlign w:val="bottom"/>
          </w:tcPr>
          <w:p>
            <w:pPr>
              <w:spacing w:after="0"/>
              <w:rPr>
                <w:sz w:val="10"/>
                <w:szCs w:val="10"/>
                <w:color w:val="auto"/>
              </w:rPr>
            </w:pPr>
          </w:p>
        </w:tc>
        <w:tc>
          <w:tcPr>
            <w:tcW w:w="10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480" w:type="dxa"/>
            <w:vAlign w:val="bottom"/>
            <w:gridSpan w:val="2"/>
            <w:vMerge w:val="restart"/>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gain, net of tax</w:t>
            </w:r>
          </w:p>
        </w:tc>
        <w:tc>
          <w:tcPr>
            <w:tcW w:w="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right w:val="single" w:sz="8" w:color="auto"/>
            </w:tcBorders>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40" w:type="dxa"/>
            <w:vAlign w:val="bottom"/>
            <w:shd w:val="clear" w:color="auto" w:fill="CCEEFF"/>
          </w:tcPr>
          <w:p>
            <w:pPr>
              <w:spacing w:after="0"/>
              <w:rPr>
                <w:sz w:val="10"/>
                <w:szCs w:val="10"/>
                <w:color w:val="auto"/>
              </w:rPr>
            </w:pPr>
          </w:p>
        </w:tc>
        <w:tc>
          <w:tcPr>
            <w:tcW w:w="10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1,346</w:t>
            </w: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compensation</w:t>
            </w:r>
          </w:p>
        </w:tc>
        <w:tc>
          <w:tcPr>
            <w:tcW w:w="40" w:type="dxa"/>
            <w:vAlign w:val="bottom"/>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vMerge w:val="continue"/>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40" w:type="dxa"/>
            <w:vAlign w:val="bottom"/>
          </w:tcPr>
          <w:p>
            <w:pPr>
              <w:spacing w:after="0"/>
              <w:rPr>
                <w:sz w:val="14"/>
                <w:szCs w:val="14"/>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8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(14,652)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(14,652)</w:t>
            </w:r>
          </w:p>
        </w:tc>
        <w:tc>
          <w:tcPr>
            <w:tcW w:w="0" w:type="dxa"/>
            <w:vAlign w:val="bottom"/>
          </w:tcPr>
          <w:p>
            <w:pPr>
              <w:spacing w:after="0"/>
              <w:rPr>
                <w:sz w:val="1"/>
                <w:szCs w:val="1"/>
                <w:color w:val="auto"/>
              </w:rPr>
            </w:pPr>
          </w:p>
        </w:tc>
      </w:tr>
      <w:tr>
        <w:trPr>
          <w:trHeight w:val="149"/>
        </w:trPr>
        <w:tc>
          <w:tcPr>
            <w:tcW w:w="1380" w:type="dxa"/>
            <w:vAlign w:val="bottom"/>
            <w:tcBorders>
              <w:top w:val="single" w:sz="8" w:color="CCEEFF"/>
            </w:tcBorders>
            <w:gridSpan w:val="3"/>
            <w:shd w:val="clear" w:color="auto" w:fill="CCEEFF"/>
          </w:tcPr>
          <w:p>
            <w:pPr>
              <w:spacing w:after="0"/>
              <w:rPr>
                <w:sz w:val="12"/>
                <w:szCs w:val="12"/>
                <w:color w:val="auto"/>
              </w:rPr>
            </w:pPr>
          </w:p>
        </w:tc>
        <w:tc>
          <w:tcPr>
            <w:tcW w:w="860" w:type="dxa"/>
            <w:vAlign w:val="bottom"/>
            <w:tcBorders>
              <w:top w:val="single" w:sz="8" w:color="auto"/>
            </w:tcBorders>
            <w:gridSpan w:val="2"/>
            <w:shd w:val="clear" w:color="auto" w:fill="CCEEFF"/>
          </w:tcPr>
          <w:p>
            <w:pPr>
              <w:spacing w:after="0"/>
              <w:rPr>
                <w:sz w:val="12"/>
                <w:szCs w:val="12"/>
                <w:color w:val="auto"/>
              </w:rPr>
            </w:pPr>
          </w:p>
        </w:tc>
        <w:tc>
          <w:tcPr>
            <w:tcW w:w="240" w:type="dxa"/>
            <w:vAlign w:val="bottom"/>
            <w:tcBorders>
              <w:top w:val="single" w:sz="8" w:color="CCEEFF"/>
            </w:tcBorders>
            <w:gridSpan w:val="2"/>
            <w:shd w:val="clear" w:color="auto" w:fill="CCEEFF"/>
          </w:tcPr>
          <w:p>
            <w:pPr>
              <w:spacing w:after="0"/>
              <w:rPr>
                <w:sz w:val="12"/>
                <w:szCs w:val="12"/>
                <w:color w:val="auto"/>
              </w:rPr>
            </w:pPr>
          </w:p>
        </w:tc>
        <w:tc>
          <w:tcPr>
            <w:tcW w:w="780" w:type="dxa"/>
            <w:vAlign w:val="bottom"/>
            <w:tcBorders>
              <w:top w:val="single" w:sz="8" w:color="auto"/>
              <w:right w:val="single" w:sz="8" w:color="auto"/>
            </w:tcBorders>
            <w:gridSpan w:val="3"/>
            <w:shd w:val="clear" w:color="auto" w:fill="CCEEFF"/>
          </w:tcPr>
          <w:p>
            <w:pPr>
              <w:spacing w:after="0"/>
              <w:rPr>
                <w:sz w:val="12"/>
                <w:szCs w:val="12"/>
                <w:color w:val="auto"/>
              </w:rPr>
            </w:pPr>
          </w:p>
        </w:tc>
        <w:tc>
          <w:tcPr>
            <w:tcW w:w="720" w:type="dxa"/>
            <w:vAlign w:val="bottom"/>
            <w:tcBorders>
              <w:top w:val="single" w:sz="8" w:color="auto"/>
            </w:tcBorders>
            <w:gridSpan w:val="2"/>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540" w:type="dxa"/>
            <w:vAlign w:val="bottom"/>
            <w:tcBorders>
              <w:top w:val="single" w:sz="8" w:color="auto"/>
            </w:tcBorders>
            <w:gridSpan w:val="3"/>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spacing w:after="0"/>
              <w:rPr>
                <w:sz w:val="12"/>
                <w:szCs w:val="12"/>
                <w:color w:val="auto"/>
              </w:rPr>
            </w:pPr>
          </w:p>
        </w:tc>
        <w:tc>
          <w:tcPr>
            <w:tcW w:w="540" w:type="dxa"/>
            <w:vAlign w:val="bottom"/>
            <w:tcBorders>
              <w:top w:val="single" w:sz="8" w:color="auto"/>
            </w:tcBorders>
            <w:gridSpan w:val="4"/>
            <w:shd w:val="clear" w:color="auto" w:fill="CCEEFF"/>
          </w:tcPr>
          <w:p>
            <w:pPr>
              <w:spacing w:after="0"/>
              <w:rPr>
                <w:sz w:val="12"/>
                <w:szCs w:val="12"/>
                <w:color w:val="auto"/>
              </w:rPr>
            </w:pPr>
          </w:p>
        </w:tc>
        <w:tc>
          <w:tcPr>
            <w:tcW w:w="180" w:type="dxa"/>
            <w:vAlign w:val="bottom"/>
            <w:tcBorders>
              <w:top w:val="single" w:sz="8" w:color="CCEEFF"/>
            </w:tcBorders>
            <w:gridSpan w:val="2"/>
            <w:shd w:val="clear" w:color="auto" w:fill="CCEEFF"/>
          </w:tcPr>
          <w:p>
            <w:pPr>
              <w:spacing w:after="0"/>
              <w:rPr>
                <w:sz w:val="12"/>
                <w:szCs w:val="12"/>
                <w:color w:val="auto"/>
              </w:rPr>
            </w:pPr>
          </w:p>
        </w:tc>
        <w:tc>
          <w:tcPr>
            <w:tcW w:w="480" w:type="dxa"/>
            <w:vAlign w:val="bottom"/>
            <w:tcBorders>
              <w:top w:val="single" w:sz="8" w:color="auto"/>
            </w:tcBorders>
            <w:gridSpan w:val="2"/>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spacing w:after="0"/>
              <w:rPr>
                <w:sz w:val="12"/>
                <w:szCs w:val="12"/>
                <w:color w:val="auto"/>
              </w:rPr>
            </w:pPr>
          </w:p>
        </w:tc>
        <w:tc>
          <w:tcPr>
            <w:tcW w:w="540" w:type="dxa"/>
            <w:vAlign w:val="bottom"/>
            <w:tcBorders>
              <w:top w:val="single" w:sz="8" w:color="auto"/>
            </w:tcBorders>
            <w:gridSpan w:val="4"/>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spacing w:after="0"/>
              <w:rPr>
                <w:sz w:val="12"/>
                <w:szCs w:val="12"/>
                <w:color w:val="auto"/>
              </w:rPr>
            </w:pPr>
          </w:p>
        </w:tc>
        <w:tc>
          <w:tcPr>
            <w:tcW w:w="640" w:type="dxa"/>
            <w:vAlign w:val="bottom"/>
            <w:tcBorders>
              <w:top w:val="single" w:sz="8" w:color="auto"/>
            </w:tcBorders>
            <w:gridSpan w:val="5"/>
            <w:shd w:val="clear" w:color="auto" w:fill="CCEEFF"/>
          </w:tcPr>
          <w:p>
            <w:pPr>
              <w:spacing w:after="0"/>
              <w:rPr>
                <w:sz w:val="12"/>
                <w:szCs w:val="12"/>
                <w:color w:val="auto"/>
              </w:rPr>
            </w:pPr>
          </w:p>
        </w:tc>
        <w:tc>
          <w:tcPr>
            <w:tcW w:w="180" w:type="dxa"/>
            <w:vAlign w:val="bottom"/>
            <w:tcBorders>
              <w:top w:val="single" w:sz="8" w:color="CCEEFF"/>
            </w:tcBorders>
            <w:gridSpan w:val="2"/>
            <w:shd w:val="clear" w:color="auto" w:fill="CCEEFF"/>
          </w:tcPr>
          <w:p>
            <w:pPr>
              <w:spacing w:after="0"/>
              <w:rPr>
                <w:sz w:val="12"/>
                <w:szCs w:val="12"/>
                <w:color w:val="auto"/>
              </w:rPr>
            </w:pPr>
          </w:p>
        </w:tc>
        <w:tc>
          <w:tcPr>
            <w:tcW w:w="1080" w:type="dxa"/>
            <w:vAlign w:val="bottom"/>
            <w:tcBorders>
              <w:top w:val="single" w:sz="8" w:color="auto"/>
            </w:tcBorders>
            <w:gridSpan w:val="5"/>
            <w:shd w:val="clear" w:color="auto" w:fill="CCEEFF"/>
          </w:tcPr>
          <w:p>
            <w:pPr>
              <w:spacing w:after="0"/>
              <w:rPr>
                <w:sz w:val="12"/>
                <w:szCs w:val="12"/>
                <w:color w:val="auto"/>
              </w:rPr>
            </w:pPr>
          </w:p>
        </w:tc>
        <w:tc>
          <w:tcPr>
            <w:tcW w:w="160" w:type="dxa"/>
            <w:vAlign w:val="bottom"/>
            <w:tcBorders>
              <w:top w:val="single" w:sz="8" w:color="CCEEFF"/>
            </w:tcBorders>
            <w:gridSpan w:val="3"/>
            <w:shd w:val="clear" w:color="auto" w:fill="CCEEFF"/>
          </w:tcPr>
          <w:p>
            <w:pPr>
              <w:spacing w:after="0"/>
              <w:rPr>
                <w:sz w:val="12"/>
                <w:szCs w:val="12"/>
                <w:color w:val="auto"/>
              </w:rPr>
            </w:pPr>
          </w:p>
        </w:tc>
        <w:tc>
          <w:tcPr>
            <w:tcW w:w="800" w:type="dxa"/>
            <w:vAlign w:val="bottom"/>
            <w:tcBorders>
              <w:top w:val="single" w:sz="8" w:color="auto"/>
            </w:tcBorders>
            <w:gridSpan w:val="3"/>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spacing w:after="0"/>
              <w:rPr>
                <w:sz w:val="12"/>
                <w:szCs w:val="12"/>
                <w:color w:val="auto"/>
              </w:rPr>
            </w:pPr>
          </w:p>
        </w:tc>
        <w:tc>
          <w:tcPr>
            <w:tcW w:w="620" w:type="dxa"/>
            <w:vAlign w:val="bottom"/>
            <w:tcBorders>
              <w:top w:val="single" w:sz="8" w:color="auto"/>
            </w:tcBorders>
            <w:gridSpan w:val="3"/>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260" w:type="dxa"/>
            <w:vAlign w:val="bottom"/>
            <w:tcBorders>
              <w:right w:val="single" w:sz="8" w:color="auto"/>
            </w:tcBorders>
            <w:gridSpan w:val="10"/>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7980" w:type="dxa"/>
            <w:vAlign w:val="bottom"/>
            <w:gridSpan w:val="53"/>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0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106,303,970</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273,687</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67,633,891</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9"/>
                <w:szCs w:val="19"/>
                <w:color w:val="auto"/>
              </w:rPr>
            </w:pPr>
          </w:p>
        </w:tc>
        <w:tc>
          <w:tcPr>
            <w:tcW w:w="5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48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39,084</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(341,101)</w:t>
            </w:r>
          </w:p>
        </w:tc>
        <w:tc>
          <w:tcPr>
            <w:tcW w:w="100" w:type="dxa"/>
            <w:vAlign w:val="bottom"/>
          </w:tcPr>
          <w:p>
            <w:pPr>
              <w:spacing w:after="0"/>
              <w:rPr>
                <w:sz w:val="19"/>
                <w:szCs w:val="19"/>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(302,016)</w:t>
            </w:r>
          </w:p>
        </w:tc>
        <w:tc>
          <w:tcPr>
            <w:tcW w:w="0" w:type="dxa"/>
            <w:vAlign w:val="bottom"/>
          </w:tcPr>
          <w:p>
            <w:pPr>
              <w:spacing w:after="0"/>
              <w:rPr>
                <w:sz w:val="1"/>
                <w:szCs w:val="1"/>
                <w:color w:val="auto"/>
              </w:rPr>
            </w:pPr>
          </w:p>
        </w:tc>
      </w:tr>
      <w:tr>
        <w:trPr>
          <w:trHeight w:val="21"/>
        </w:trPr>
        <w:tc>
          <w:tcPr>
            <w:tcW w:w="1380" w:type="dxa"/>
            <w:vAlign w:val="bottom"/>
            <w:gridSpan w:val="3"/>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00" w:type="dxa"/>
            <w:vAlign w:val="bottom"/>
            <w:tcBorders>
              <w:top w:val="single" w:sz="8" w:color="auto"/>
              <w:bottom w:val="single" w:sz="8" w:color="auto"/>
            </w:tcBorders>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AND STOCKHOLDERS’ EQUITY (DEFICIT)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7"/>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Legacy SoundHound</w:t>
            </w:r>
          </w:p>
        </w:tc>
        <w:tc>
          <w:tcPr>
            <w:tcW w:w="1560" w:type="dxa"/>
            <w:vAlign w:val="bottom"/>
            <w:tcBorders>
              <w:top w:val="single" w:sz="8" w:color="auto"/>
            </w:tcBorders>
            <w:gridSpan w:val="10"/>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Legacy SoundHound</w:t>
            </w:r>
          </w:p>
        </w:tc>
        <w:tc>
          <w:tcPr>
            <w:tcW w:w="1500" w:type="dxa"/>
            <w:vAlign w:val="bottom"/>
            <w:tcBorders>
              <w:top w:val="single" w:sz="8" w:color="auto"/>
            </w:tcBorders>
            <w:gridSpan w:val="10"/>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200" w:type="dxa"/>
            <w:vAlign w:val="bottom"/>
            <w:tcBorders>
              <w:top w:val="single" w:sz="8" w:color="auto"/>
            </w:tcBorders>
            <w:gridSpan w:val="6"/>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Class B Common</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4"/>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8"/>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Redeemable Convertible</w:t>
            </w:r>
          </w:p>
        </w:tc>
        <w:tc>
          <w:tcPr>
            <w:tcW w:w="1560" w:type="dxa"/>
            <w:vAlign w:val="bottom"/>
            <w:gridSpan w:val="10"/>
            <w:vMerge w:val="continue"/>
          </w:tcPr>
          <w:p>
            <w:pPr>
              <w:spacing w:after="0"/>
              <w:rPr>
                <w:sz w:val="12"/>
                <w:szCs w:val="12"/>
                <w:color w:val="auto"/>
              </w:rPr>
            </w:pPr>
          </w:p>
        </w:tc>
        <w:tc>
          <w:tcPr>
            <w:tcW w:w="1500" w:type="dxa"/>
            <w:vAlign w:val="bottom"/>
            <w:gridSpan w:val="10"/>
            <w:vMerge w:val="continue"/>
          </w:tcPr>
          <w:p>
            <w:pPr>
              <w:spacing w:after="0"/>
              <w:rPr>
                <w:sz w:val="12"/>
                <w:szCs w:val="12"/>
                <w:color w:val="auto"/>
              </w:rPr>
            </w:pPr>
          </w:p>
        </w:tc>
        <w:tc>
          <w:tcPr>
            <w:tcW w:w="120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5"/>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4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6"/>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5"/>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9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4"/>
                <w:szCs w:val="14"/>
                <w:color w:val="auto"/>
              </w:rPr>
            </w:pPr>
          </w:p>
        </w:tc>
        <w:tc>
          <w:tcPr>
            <w:tcW w:w="8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0"/>
        </w:trPr>
        <w:tc>
          <w:tcPr>
            <w:tcW w:w="1240" w:type="dxa"/>
            <w:vAlign w:val="bottom"/>
            <w:tcBorders>
              <w:top w:val="single" w:sz="8" w:color="CCEEFF"/>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 as of</w:t>
            </w:r>
          </w:p>
        </w:tc>
        <w:tc>
          <w:tcPr>
            <w:tcW w:w="900" w:type="dxa"/>
            <w:vAlign w:val="bottom"/>
            <w:tcBorders>
              <w:top w:val="single" w:sz="8" w:color="auto"/>
            </w:tcBorders>
            <w:gridSpan w:val="3"/>
            <w:shd w:val="clear" w:color="auto" w:fill="CCEEFF"/>
          </w:tcPr>
          <w:p>
            <w:pPr>
              <w:spacing w:after="0"/>
              <w:rPr>
                <w:sz w:val="9"/>
                <w:szCs w:val="9"/>
                <w:color w:val="auto"/>
              </w:rPr>
            </w:pPr>
          </w:p>
        </w:tc>
        <w:tc>
          <w:tcPr>
            <w:tcW w:w="240" w:type="dxa"/>
            <w:vAlign w:val="bottom"/>
            <w:tcBorders>
              <w:top w:val="single" w:sz="8" w:color="CCEEFF"/>
            </w:tcBorders>
            <w:gridSpan w:val="2"/>
            <w:shd w:val="clear" w:color="auto" w:fill="CCEEFF"/>
          </w:tcPr>
          <w:p>
            <w:pPr>
              <w:spacing w:after="0"/>
              <w:rPr>
                <w:sz w:val="9"/>
                <w:szCs w:val="9"/>
                <w:color w:val="auto"/>
              </w:rPr>
            </w:pPr>
          </w:p>
        </w:tc>
        <w:tc>
          <w:tcPr>
            <w:tcW w:w="660" w:type="dxa"/>
            <w:vAlign w:val="bottom"/>
            <w:tcBorders>
              <w:top w:val="single" w:sz="8" w:color="auto"/>
            </w:tcBorders>
            <w:gridSpan w:val="3"/>
            <w:shd w:val="clear" w:color="auto" w:fill="CCEEFF"/>
          </w:tcPr>
          <w:p>
            <w:pPr>
              <w:spacing w:after="0"/>
              <w:rPr>
                <w:sz w:val="9"/>
                <w:szCs w:val="9"/>
                <w:color w:val="auto"/>
              </w:rPr>
            </w:pPr>
          </w:p>
        </w:tc>
        <w:tc>
          <w:tcPr>
            <w:tcW w:w="140" w:type="dxa"/>
            <w:vAlign w:val="bottom"/>
            <w:tcBorders>
              <w:top w:val="single" w:sz="8" w:color="CCEEFF"/>
              <w:right w:val="single" w:sz="8" w:color="auto"/>
            </w:tcBorders>
            <w:shd w:val="clear" w:color="auto" w:fill="CCEEFF"/>
          </w:tcPr>
          <w:p>
            <w:pPr>
              <w:spacing w:after="0"/>
              <w:rPr>
                <w:sz w:val="9"/>
                <w:szCs w:val="9"/>
                <w:color w:val="auto"/>
              </w:rPr>
            </w:pPr>
          </w:p>
        </w:tc>
        <w:tc>
          <w:tcPr>
            <w:tcW w:w="140" w:type="dxa"/>
            <w:vAlign w:val="bottom"/>
            <w:tcBorders>
              <w:top w:val="single" w:sz="8" w:color="auto"/>
              <w:right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gridSpan w:val="2"/>
            <w:shd w:val="clear" w:color="auto" w:fill="CCEEFF"/>
          </w:tcPr>
          <w:p>
            <w:pPr>
              <w:spacing w:after="0"/>
              <w:rPr>
                <w:sz w:val="9"/>
                <w:szCs w:val="9"/>
                <w:color w:val="auto"/>
              </w:rPr>
            </w:pPr>
          </w:p>
        </w:tc>
        <w:tc>
          <w:tcPr>
            <w:tcW w:w="520" w:type="dxa"/>
            <w:vAlign w:val="bottom"/>
            <w:tcBorders>
              <w:top w:val="single" w:sz="8" w:color="auto"/>
            </w:tcBorders>
            <w:gridSpan w:val="3"/>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gridSpan w:val="5"/>
            <w:shd w:val="clear" w:color="auto" w:fill="CCEEFF"/>
          </w:tcPr>
          <w:p>
            <w:pPr>
              <w:spacing w:after="0"/>
              <w:rPr>
                <w:sz w:val="9"/>
                <w:szCs w:val="9"/>
                <w:color w:val="auto"/>
              </w:rPr>
            </w:pPr>
          </w:p>
        </w:tc>
        <w:tc>
          <w:tcPr>
            <w:tcW w:w="120" w:type="dxa"/>
            <w:vAlign w:val="bottom"/>
            <w:tcBorders>
              <w:top w:val="single" w:sz="8" w:color="CCEEFF"/>
            </w:tcBorders>
            <w:gridSpan w:val="3"/>
            <w:shd w:val="clear" w:color="auto" w:fill="CCEEFF"/>
          </w:tcPr>
          <w:p>
            <w:pPr>
              <w:spacing w:after="0"/>
              <w:rPr>
                <w:sz w:val="9"/>
                <w:szCs w:val="9"/>
                <w:color w:val="auto"/>
              </w:rPr>
            </w:pPr>
          </w:p>
        </w:tc>
        <w:tc>
          <w:tcPr>
            <w:tcW w:w="520" w:type="dxa"/>
            <w:vAlign w:val="bottom"/>
            <w:tcBorders>
              <w:top w:val="single" w:sz="8" w:color="auto"/>
            </w:tcBorders>
            <w:gridSpan w:val="3"/>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gridSpan w:val="3"/>
            <w:shd w:val="clear" w:color="auto" w:fill="CCEEFF"/>
          </w:tcPr>
          <w:p>
            <w:pPr>
              <w:spacing w:after="0"/>
              <w:rPr>
                <w:sz w:val="9"/>
                <w:szCs w:val="9"/>
                <w:color w:val="auto"/>
              </w:rPr>
            </w:pPr>
          </w:p>
        </w:tc>
        <w:tc>
          <w:tcPr>
            <w:tcW w:w="120" w:type="dxa"/>
            <w:vAlign w:val="bottom"/>
            <w:tcBorders>
              <w:top w:val="single" w:sz="8" w:color="CCEEFF"/>
            </w:tcBorders>
            <w:gridSpan w:val="2"/>
            <w:shd w:val="clear" w:color="auto" w:fill="CCEEFF"/>
          </w:tcPr>
          <w:p>
            <w:pPr>
              <w:spacing w:after="0"/>
              <w:rPr>
                <w:sz w:val="9"/>
                <w:szCs w:val="9"/>
                <w:color w:val="auto"/>
              </w:rPr>
            </w:pPr>
          </w:p>
        </w:tc>
        <w:tc>
          <w:tcPr>
            <w:tcW w:w="540" w:type="dxa"/>
            <w:vAlign w:val="bottom"/>
            <w:tcBorders>
              <w:top w:val="single" w:sz="8" w:color="auto"/>
            </w:tcBorders>
            <w:gridSpan w:val="2"/>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gridSpan w:val="3"/>
            <w:shd w:val="clear" w:color="auto" w:fill="CCEEFF"/>
          </w:tcPr>
          <w:p>
            <w:pPr>
              <w:spacing w:after="0"/>
              <w:rPr>
                <w:sz w:val="9"/>
                <w:szCs w:val="9"/>
                <w:color w:val="auto"/>
              </w:rPr>
            </w:pPr>
          </w:p>
        </w:tc>
        <w:tc>
          <w:tcPr>
            <w:tcW w:w="140" w:type="dxa"/>
            <w:vAlign w:val="bottom"/>
            <w:tcBorders>
              <w:top w:val="single" w:sz="8" w:color="CCEEFF"/>
            </w:tcBorders>
            <w:gridSpan w:val="2"/>
            <w:shd w:val="clear" w:color="auto" w:fill="CCEEFF"/>
          </w:tcPr>
          <w:p>
            <w:pPr>
              <w:spacing w:after="0"/>
              <w:rPr>
                <w:sz w:val="9"/>
                <w:szCs w:val="9"/>
                <w:color w:val="auto"/>
              </w:rPr>
            </w:pPr>
          </w:p>
        </w:tc>
        <w:tc>
          <w:tcPr>
            <w:tcW w:w="940" w:type="dxa"/>
            <w:vAlign w:val="bottom"/>
            <w:tcBorders>
              <w:top w:val="single" w:sz="8" w:color="auto"/>
            </w:tcBorders>
            <w:gridSpan w:val="3"/>
            <w:shd w:val="clear" w:color="auto" w:fill="CCEEFF"/>
          </w:tcPr>
          <w:p>
            <w:pPr>
              <w:spacing w:after="0"/>
              <w:rPr>
                <w:sz w:val="9"/>
                <w:szCs w:val="9"/>
                <w:color w:val="auto"/>
              </w:rPr>
            </w:pPr>
          </w:p>
        </w:tc>
        <w:tc>
          <w:tcPr>
            <w:tcW w:w="140" w:type="dxa"/>
            <w:vAlign w:val="bottom"/>
            <w:tcBorders>
              <w:top w:val="single" w:sz="8" w:color="CCEEFF"/>
            </w:tcBorders>
            <w:gridSpan w:val="3"/>
            <w:shd w:val="clear" w:color="auto" w:fill="CCEEFF"/>
          </w:tcPr>
          <w:p>
            <w:pPr>
              <w:spacing w:after="0"/>
              <w:rPr>
                <w:sz w:val="9"/>
                <w:szCs w:val="9"/>
                <w:color w:val="auto"/>
              </w:rPr>
            </w:pPr>
          </w:p>
        </w:tc>
        <w:tc>
          <w:tcPr>
            <w:tcW w:w="800" w:type="dxa"/>
            <w:vAlign w:val="bottom"/>
            <w:tcBorders>
              <w:top w:val="single" w:sz="8" w:color="auto"/>
            </w:tcBorders>
            <w:gridSpan w:val="3"/>
            <w:shd w:val="clear" w:color="auto" w:fill="CCEEFF"/>
          </w:tcPr>
          <w:p>
            <w:pPr>
              <w:spacing w:after="0"/>
              <w:rPr>
                <w:sz w:val="9"/>
                <w:szCs w:val="9"/>
                <w:color w:val="auto"/>
              </w:rPr>
            </w:pPr>
          </w:p>
        </w:tc>
        <w:tc>
          <w:tcPr>
            <w:tcW w:w="140" w:type="dxa"/>
            <w:vAlign w:val="bottom"/>
            <w:tcBorders>
              <w:top w:val="single" w:sz="8" w:color="CCEEFF"/>
            </w:tcBorders>
            <w:gridSpan w:val="2"/>
            <w:shd w:val="clear" w:color="auto" w:fill="CCEEFF"/>
          </w:tcPr>
          <w:p>
            <w:pPr>
              <w:spacing w:after="0"/>
              <w:rPr>
                <w:sz w:val="9"/>
                <w:szCs w:val="9"/>
                <w:color w:val="auto"/>
              </w:rPr>
            </w:pPr>
          </w:p>
        </w:tc>
        <w:tc>
          <w:tcPr>
            <w:tcW w:w="620" w:type="dxa"/>
            <w:vAlign w:val="bottom"/>
            <w:tcBorders>
              <w:top w:val="single" w:sz="8" w:color="auto"/>
            </w:tcBorders>
            <w:gridSpan w:val="3"/>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3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19,248,537</w:t>
            </w:r>
          </w:p>
        </w:tc>
        <w:tc>
          <w:tcPr>
            <w:tcW w:w="12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279,503</w:t>
            </w:r>
          </w:p>
        </w:tc>
        <w:tc>
          <w:tcPr>
            <w:tcW w:w="84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12,280,051</w:t>
            </w:r>
          </w:p>
        </w:tc>
        <w:tc>
          <w:tcPr>
            <w:tcW w:w="4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3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43,491</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(386,729)</w:t>
            </w: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(343,237)</w:t>
            </w:r>
          </w:p>
        </w:tc>
        <w:tc>
          <w:tcPr>
            <w:tcW w:w="0" w:type="dxa"/>
            <w:vAlign w:val="bottom"/>
          </w:tcPr>
          <w:p>
            <w:pPr>
              <w:spacing w:after="0"/>
              <w:rPr>
                <w:sz w:val="1"/>
                <w:szCs w:val="1"/>
                <w:color w:val="auto"/>
              </w:rPr>
            </w:pPr>
          </w:p>
        </w:tc>
      </w:tr>
      <w:tr>
        <w:trPr>
          <w:trHeight w:val="17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shd w:val="clear" w:color="auto" w:fill="CCEEFF"/>
          </w:tcPr>
          <w:p>
            <w:pPr>
              <w:spacing w:after="0"/>
              <w:rPr>
                <w:sz w:val="15"/>
                <w:szCs w:val="15"/>
                <w:color w:val="auto"/>
              </w:rPr>
            </w:pPr>
          </w:p>
        </w:tc>
        <w:tc>
          <w:tcPr>
            <w:tcW w:w="92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tcBorders>
              <w:right w:val="single" w:sz="8" w:color="auto"/>
            </w:tcBorders>
            <w:gridSpan w:val="4"/>
            <w:vMerge w:val="continue"/>
            <w:shd w:val="clear" w:color="auto" w:fill="CCEEFF"/>
          </w:tcPr>
          <w:p>
            <w:pPr>
              <w:spacing w:after="0"/>
              <w:rPr>
                <w:sz w:val="15"/>
                <w:szCs w:val="15"/>
                <w:color w:val="auto"/>
              </w:rPr>
            </w:pPr>
          </w:p>
        </w:tc>
        <w:tc>
          <w:tcPr>
            <w:tcW w:w="84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gridSpan w:val="3"/>
            <w:vMerge w:val="continue"/>
            <w:shd w:val="clear" w:color="auto" w:fill="CCEEFF"/>
          </w:tcPr>
          <w:p>
            <w:pPr>
              <w:spacing w:after="0"/>
              <w:rPr>
                <w:sz w:val="15"/>
                <w:szCs w:val="15"/>
                <w:color w:val="auto"/>
              </w:rPr>
            </w:pPr>
          </w:p>
        </w:tc>
        <w:tc>
          <w:tcPr>
            <w:tcW w:w="300" w:type="dxa"/>
            <w:vAlign w:val="bottom"/>
            <w:gridSpan w:val="3"/>
            <w:vMerge w:val="continue"/>
            <w:shd w:val="clear" w:color="auto" w:fill="CCEEFF"/>
          </w:tcPr>
          <w:p>
            <w:pPr>
              <w:spacing w:after="0"/>
              <w:rPr>
                <w:sz w:val="15"/>
                <w:szCs w:val="15"/>
                <w:color w:val="auto"/>
              </w:rPr>
            </w:pPr>
          </w:p>
        </w:tc>
        <w:tc>
          <w:tcPr>
            <w:tcW w:w="440" w:type="dxa"/>
            <w:vAlign w:val="bottom"/>
            <w:gridSpan w:val="3"/>
            <w:vMerge w:val="continue"/>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gridSpan w:val="3"/>
            <w:vMerge w:val="continue"/>
            <w:shd w:val="clear" w:color="auto" w:fill="CCEEFF"/>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580" w:type="dxa"/>
            <w:vAlign w:val="bottom"/>
            <w:gridSpan w:val="3"/>
            <w:vMerge w:val="continue"/>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860" w:type="dxa"/>
            <w:vAlign w:val="bottom"/>
            <w:gridSpan w:val="3"/>
            <w:vMerge w:val="continue"/>
            <w:shd w:val="clear" w:color="auto" w:fill="CCEEFF"/>
          </w:tcPr>
          <w:p>
            <w:pPr>
              <w:spacing w:after="0"/>
              <w:rPr>
                <w:sz w:val="15"/>
                <w:szCs w:val="15"/>
                <w:color w:val="auto"/>
              </w:rPr>
            </w:pPr>
          </w:p>
        </w:tc>
        <w:tc>
          <w:tcPr>
            <w:tcW w:w="200" w:type="dxa"/>
            <w:vAlign w:val="bottom"/>
            <w:gridSpan w:val="3"/>
            <w:vMerge w:val="continue"/>
            <w:shd w:val="clear" w:color="auto" w:fill="CCEEFF"/>
          </w:tcPr>
          <w:p>
            <w:pPr>
              <w:spacing w:after="0"/>
              <w:rPr>
                <w:sz w:val="15"/>
                <w:szCs w:val="15"/>
                <w:color w:val="auto"/>
              </w:rPr>
            </w:pPr>
          </w:p>
        </w:tc>
        <w:tc>
          <w:tcPr>
            <w:tcW w:w="820" w:type="dxa"/>
            <w:vAlign w:val="bottom"/>
            <w:gridSpan w:val="3"/>
            <w:vMerge w:val="continue"/>
            <w:shd w:val="clear" w:color="auto" w:fill="CCEEFF"/>
          </w:tcPr>
          <w:p>
            <w:pPr>
              <w:spacing w:after="0"/>
              <w:rPr>
                <w:sz w:val="15"/>
                <w:szCs w:val="15"/>
                <w:color w:val="auto"/>
              </w:rPr>
            </w:pPr>
          </w:p>
        </w:tc>
        <w:tc>
          <w:tcPr>
            <w:tcW w:w="100" w:type="dxa"/>
            <w:vAlign w:val="bottom"/>
            <w:gridSpan w:val="2"/>
            <w:vMerge w:val="continue"/>
            <w:shd w:val="clear" w:color="auto" w:fill="CCEEFF"/>
          </w:tcPr>
          <w:p>
            <w:pPr>
              <w:spacing w:after="0"/>
              <w:rPr>
                <w:sz w:val="15"/>
                <w:szCs w:val="15"/>
                <w:color w:val="auto"/>
              </w:rPr>
            </w:pPr>
          </w:p>
        </w:tc>
        <w:tc>
          <w:tcPr>
            <w:tcW w:w="62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180" w:type="dxa"/>
            <w:vAlign w:val="bottom"/>
            <w:tcBorders>
              <w:right w:val="single" w:sz="8" w:color="auto"/>
            </w:tcBorders>
            <w:gridSpan w:val="10"/>
          </w:tcPr>
          <w:p>
            <w:pPr>
              <w:spacing w:after="0" w:line="126" w:lineRule="exact"/>
              <w:rPr>
                <w:sz w:val="20"/>
                <w:szCs w:val="20"/>
                <w:color w:val="auto"/>
              </w:rPr>
            </w:pPr>
            <w:r>
              <w:rPr>
                <w:rFonts w:ascii="Times New Roman" w:cs="Times New Roman" w:eastAsia="Times New Roman" w:hAnsi="Times New Roman"/>
                <w:sz w:val="14"/>
                <w:szCs w:val="14"/>
                <w:color w:val="auto"/>
              </w:rPr>
              <w:t>Retroactive</w:t>
            </w:r>
          </w:p>
        </w:tc>
        <w:tc>
          <w:tcPr>
            <w:tcW w:w="8060" w:type="dxa"/>
            <w:vAlign w:val="bottom"/>
            <w:gridSpan w:val="48"/>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80" w:type="dxa"/>
            <w:vAlign w:val="bottom"/>
            <w:tcBorders>
              <w:right w:val="single" w:sz="8" w:color="auto"/>
            </w:tcBorders>
            <w:gridSpan w:val="10"/>
          </w:tcPr>
          <w:p>
            <w:pPr>
              <w:ind w:left="180"/>
              <w:spacing w:after="0" w:line="149" w:lineRule="exact"/>
              <w:rPr>
                <w:sz w:val="20"/>
                <w:szCs w:val="20"/>
                <w:color w:val="auto"/>
              </w:rPr>
            </w:pPr>
            <w:r>
              <w:rPr>
                <w:rFonts w:ascii="Times New Roman" w:cs="Times New Roman" w:eastAsia="Times New Roman" w:hAnsi="Times New Roman"/>
                <w:sz w:val="14"/>
                <w:szCs w:val="14"/>
                <w:color w:val="auto"/>
              </w:rPr>
              <w:t>application of</w:t>
            </w:r>
          </w:p>
        </w:tc>
        <w:tc>
          <w:tcPr>
            <w:tcW w:w="8060" w:type="dxa"/>
            <w:vAlign w:val="bottom"/>
            <w:gridSpan w:val="4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Borders>
              <w:right w:val="single" w:sz="8" w:color="auto"/>
            </w:tcBorders>
            <w:gridSpan w:val="10"/>
          </w:tcPr>
          <w:p>
            <w:pPr>
              <w:ind w:left="180"/>
              <w:spacing w:after="0" w:line="149" w:lineRule="exact"/>
              <w:rPr>
                <w:sz w:val="20"/>
                <w:szCs w:val="20"/>
                <w:color w:val="auto"/>
              </w:rPr>
            </w:pPr>
            <w:r>
              <w:rPr>
                <w:rFonts w:ascii="Times New Roman" w:cs="Times New Roman" w:eastAsia="Times New Roman" w:hAnsi="Times New Roman"/>
                <w:sz w:val="14"/>
                <w:szCs w:val="14"/>
                <w:color w:val="auto"/>
              </w:rPr>
              <w:t>Business</w:t>
            </w:r>
          </w:p>
        </w:tc>
        <w:tc>
          <w:tcPr>
            <w:tcW w:w="8060" w:type="dxa"/>
            <w:vAlign w:val="bottom"/>
            <w:gridSpan w:val="4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Borders>
              <w:right w:val="single" w:sz="8" w:color="auto"/>
            </w:tcBorders>
            <w:gridSpan w:val="10"/>
          </w:tcPr>
          <w:p>
            <w:pPr>
              <w:ind w:left="180"/>
              <w:spacing w:after="0" w:line="149" w:lineRule="exact"/>
              <w:rPr>
                <w:sz w:val="20"/>
                <w:szCs w:val="20"/>
                <w:color w:val="auto"/>
              </w:rPr>
            </w:pPr>
            <w:r>
              <w:rPr>
                <w:rFonts w:ascii="Times New Roman" w:cs="Times New Roman" w:eastAsia="Times New Roman" w:hAnsi="Times New Roman"/>
                <w:sz w:val="14"/>
                <w:szCs w:val="14"/>
                <w:color w:val="auto"/>
              </w:rPr>
              <w:t>Combination</w:t>
            </w:r>
          </w:p>
        </w:tc>
        <w:tc>
          <w:tcPr>
            <w:tcW w:w="8060" w:type="dxa"/>
            <w:vAlign w:val="bottom"/>
            <w:gridSpan w:val="48"/>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(Note 3)</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87,700,789</w:t>
            </w:r>
          </w:p>
        </w:tc>
        <w:tc>
          <w:tcPr>
            <w:tcW w:w="120" w:type="dxa"/>
            <w:vAlign w:val="bottom"/>
          </w:tcPr>
          <w:p>
            <w:pPr>
              <w:spacing w:after="0"/>
              <w:rPr>
                <w:sz w:val="16"/>
                <w:szCs w:val="16"/>
                <w:color w:val="auto"/>
              </w:rPr>
            </w:pPr>
          </w:p>
        </w:tc>
        <w:tc>
          <w:tcPr>
            <w:tcW w:w="800" w:type="dxa"/>
            <w:vAlign w:val="bottom"/>
            <w:tcBorders>
              <w:right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(279,503)</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55,978,505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279,504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279,502</w:t>
            </w:r>
          </w:p>
        </w:tc>
        <w:tc>
          <w:tcPr>
            <w:tcW w:w="0" w:type="dxa"/>
            <w:vAlign w:val="bottom"/>
          </w:tcPr>
          <w:p>
            <w:pPr>
              <w:spacing w:after="0"/>
              <w:rPr>
                <w:sz w:val="1"/>
                <w:szCs w:val="1"/>
                <w:color w:val="auto"/>
              </w:rPr>
            </w:pPr>
          </w:p>
        </w:tc>
      </w:tr>
      <w:tr>
        <w:trPr>
          <w:trHeight w:val="110"/>
        </w:trPr>
        <w:tc>
          <w:tcPr>
            <w:tcW w:w="1240" w:type="dxa"/>
            <w:vAlign w:val="bottom"/>
            <w:tcBorders>
              <w:top w:val="single" w:sz="8" w:color="CCEEFF"/>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Adjusted balance,</w:t>
            </w:r>
          </w:p>
        </w:tc>
        <w:tc>
          <w:tcPr>
            <w:tcW w:w="900" w:type="dxa"/>
            <w:vAlign w:val="bottom"/>
            <w:tcBorders>
              <w:top w:val="single" w:sz="8" w:color="auto"/>
            </w:tcBorders>
            <w:gridSpan w:val="3"/>
            <w:shd w:val="clear" w:color="auto" w:fill="CCEEFF"/>
          </w:tcPr>
          <w:p>
            <w:pPr>
              <w:spacing w:after="0"/>
              <w:rPr>
                <w:sz w:val="9"/>
                <w:szCs w:val="9"/>
                <w:color w:val="auto"/>
              </w:rPr>
            </w:pPr>
          </w:p>
        </w:tc>
        <w:tc>
          <w:tcPr>
            <w:tcW w:w="240" w:type="dxa"/>
            <w:vAlign w:val="bottom"/>
            <w:tcBorders>
              <w:top w:val="single" w:sz="8" w:color="CCEEFF"/>
            </w:tcBorders>
            <w:gridSpan w:val="2"/>
            <w:shd w:val="clear" w:color="auto" w:fill="CCEEFF"/>
          </w:tcPr>
          <w:p>
            <w:pPr>
              <w:spacing w:after="0"/>
              <w:rPr>
                <w:sz w:val="9"/>
                <w:szCs w:val="9"/>
                <w:color w:val="auto"/>
              </w:rPr>
            </w:pPr>
          </w:p>
        </w:tc>
        <w:tc>
          <w:tcPr>
            <w:tcW w:w="660" w:type="dxa"/>
            <w:vAlign w:val="bottom"/>
            <w:tcBorders>
              <w:top w:val="single" w:sz="8" w:color="auto"/>
            </w:tcBorders>
            <w:gridSpan w:val="3"/>
            <w:shd w:val="clear" w:color="auto" w:fill="CCEEFF"/>
          </w:tcPr>
          <w:p>
            <w:pPr>
              <w:spacing w:after="0"/>
              <w:rPr>
                <w:sz w:val="9"/>
                <w:szCs w:val="9"/>
                <w:color w:val="auto"/>
              </w:rPr>
            </w:pPr>
          </w:p>
        </w:tc>
        <w:tc>
          <w:tcPr>
            <w:tcW w:w="140" w:type="dxa"/>
            <w:vAlign w:val="bottom"/>
            <w:tcBorders>
              <w:top w:val="single" w:sz="8" w:color="CCEEFF"/>
              <w:right w:val="single" w:sz="8" w:color="auto"/>
            </w:tcBorders>
            <w:shd w:val="clear" w:color="auto" w:fill="CCEEFF"/>
          </w:tcPr>
          <w:p>
            <w:pPr>
              <w:spacing w:after="0"/>
              <w:rPr>
                <w:sz w:val="9"/>
                <w:szCs w:val="9"/>
                <w:color w:val="auto"/>
              </w:rPr>
            </w:pPr>
          </w:p>
        </w:tc>
        <w:tc>
          <w:tcPr>
            <w:tcW w:w="140" w:type="dxa"/>
            <w:vAlign w:val="bottom"/>
            <w:tcBorders>
              <w:top w:val="single" w:sz="8" w:color="auto"/>
              <w:right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gridSpan w:val="2"/>
            <w:shd w:val="clear" w:color="auto" w:fill="CCEEFF"/>
          </w:tcPr>
          <w:p>
            <w:pPr>
              <w:spacing w:after="0"/>
              <w:rPr>
                <w:sz w:val="9"/>
                <w:szCs w:val="9"/>
                <w:color w:val="auto"/>
              </w:rPr>
            </w:pPr>
          </w:p>
        </w:tc>
        <w:tc>
          <w:tcPr>
            <w:tcW w:w="520" w:type="dxa"/>
            <w:vAlign w:val="bottom"/>
            <w:tcBorders>
              <w:top w:val="single" w:sz="8" w:color="auto"/>
            </w:tcBorders>
            <w:gridSpan w:val="3"/>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gridSpan w:val="5"/>
            <w:shd w:val="clear" w:color="auto" w:fill="CCEEFF"/>
          </w:tcPr>
          <w:p>
            <w:pPr>
              <w:spacing w:after="0"/>
              <w:rPr>
                <w:sz w:val="9"/>
                <w:szCs w:val="9"/>
                <w:color w:val="auto"/>
              </w:rPr>
            </w:pPr>
          </w:p>
        </w:tc>
        <w:tc>
          <w:tcPr>
            <w:tcW w:w="120" w:type="dxa"/>
            <w:vAlign w:val="bottom"/>
            <w:tcBorders>
              <w:top w:val="single" w:sz="8" w:color="CCEEFF"/>
            </w:tcBorders>
            <w:gridSpan w:val="3"/>
            <w:shd w:val="clear" w:color="auto" w:fill="CCEEFF"/>
          </w:tcPr>
          <w:p>
            <w:pPr>
              <w:spacing w:after="0"/>
              <w:rPr>
                <w:sz w:val="9"/>
                <w:szCs w:val="9"/>
                <w:color w:val="auto"/>
              </w:rPr>
            </w:pPr>
          </w:p>
        </w:tc>
        <w:tc>
          <w:tcPr>
            <w:tcW w:w="520" w:type="dxa"/>
            <w:vAlign w:val="bottom"/>
            <w:tcBorders>
              <w:top w:val="single" w:sz="8" w:color="auto"/>
            </w:tcBorders>
            <w:gridSpan w:val="3"/>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gridSpan w:val="3"/>
            <w:shd w:val="clear" w:color="auto" w:fill="CCEEFF"/>
          </w:tcPr>
          <w:p>
            <w:pPr>
              <w:spacing w:after="0"/>
              <w:rPr>
                <w:sz w:val="9"/>
                <w:szCs w:val="9"/>
                <w:color w:val="auto"/>
              </w:rPr>
            </w:pPr>
          </w:p>
        </w:tc>
        <w:tc>
          <w:tcPr>
            <w:tcW w:w="120" w:type="dxa"/>
            <w:vAlign w:val="bottom"/>
            <w:tcBorders>
              <w:top w:val="single" w:sz="8" w:color="CCEEFF"/>
            </w:tcBorders>
            <w:gridSpan w:val="2"/>
            <w:shd w:val="clear" w:color="auto" w:fill="CCEEFF"/>
          </w:tcPr>
          <w:p>
            <w:pPr>
              <w:spacing w:after="0"/>
              <w:rPr>
                <w:sz w:val="9"/>
                <w:szCs w:val="9"/>
                <w:color w:val="auto"/>
              </w:rPr>
            </w:pPr>
          </w:p>
        </w:tc>
        <w:tc>
          <w:tcPr>
            <w:tcW w:w="540" w:type="dxa"/>
            <w:vAlign w:val="bottom"/>
            <w:tcBorders>
              <w:top w:val="single" w:sz="8" w:color="auto"/>
            </w:tcBorders>
            <w:gridSpan w:val="2"/>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gridSpan w:val="3"/>
            <w:shd w:val="clear" w:color="auto" w:fill="CCEEFF"/>
          </w:tcPr>
          <w:p>
            <w:pPr>
              <w:spacing w:after="0"/>
              <w:rPr>
                <w:sz w:val="9"/>
                <w:szCs w:val="9"/>
                <w:color w:val="auto"/>
              </w:rPr>
            </w:pPr>
          </w:p>
        </w:tc>
        <w:tc>
          <w:tcPr>
            <w:tcW w:w="140" w:type="dxa"/>
            <w:vAlign w:val="bottom"/>
            <w:tcBorders>
              <w:top w:val="single" w:sz="8" w:color="CCEEFF"/>
            </w:tcBorders>
            <w:gridSpan w:val="2"/>
            <w:shd w:val="clear" w:color="auto" w:fill="CCEEFF"/>
          </w:tcPr>
          <w:p>
            <w:pPr>
              <w:spacing w:after="0"/>
              <w:rPr>
                <w:sz w:val="9"/>
                <w:szCs w:val="9"/>
                <w:color w:val="auto"/>
              </w:rPr>
            </w:pPr>
          </w:p>
        </w:tc>
        <w:tc>
          <w:tcPr>
            <w:tcW w:w="940" w:type="dxa"/>
            <w:vAlign w:val="bottom"/>
            <w:tcBorders>
              <w:top w:val="single" w:sz="8" w:color="auto"/>
            </w:tcBorders>
            <w:gridSpan w:val="3"/>
            <w:shd w:val="clear" w:color="auto" w:fill="CCEEFF"/>
          </w:tcPr>
          <w:p>
            <w:pPr>
              <w:spacing w:after="0"/>
              <w:rPr>
                <w:sz w:val="9"/>
                <w:szCs w:val="9"/>
                <w:color w:val="auto"/>
              </w:rPr>
            </w:pPr>
          </w:p>
        </w:tc>
        <w:tc>
          <w:tcPr>
            <w:tcW w:w="140" w:type="dxa"/>
            <w:vAlign w:val="bottom"/>
            <w:tcBorders>
              <w:top w:val="single" w:sz="8" w:color="CCEEFF"/>
            </w:tcBorders>
            <w:gridSpan w:val="3"/>
            <w:shd w:val="clear" w:color="auto" w:fill="CCEEFF"/>
          </w:tcPr>
          <w:p>
            <w:pPr>
              <w:spacing w:after="0"/>
              <w:rPr>
                <w:sz w:val="9"/>
                <w:szCs w:val="9"/>
                <w:color w:val="auto"/>
              </w:rPr>
            </w:pPr>
          </w:p>
        </w:tc>
        <w:tc>
          <w:tcPr>
            <w:tcW w:w="800" w:type="dxa"/>
            <w:vAlign w:val="bottom"/>
            <w:tcBorders>
              <w:top w:val="single" w:sz="8" w:color="auto"/>
            </w:tcBorders>
            <w:gridSpan w:val="3"/>
            <w:shd w:val="clear" w:color="auto" w:fill="CCEEFF"/>
          </w:tcPr>
          <w:p>
            <w:pPr>
              <w:spacing w:after="0"/>
              <w:rPr>
                <w:sz w:val="9"/>
                <w:szCs w:val="9"/>
                <w:color w:val="auto"/>
              </w:rPr>
            </w:pPr>
          </w:p>
        </w:tc>
        <w:tc>
          <w:tcPr>
            <w:tcW w:w="140" w:type="dxa"/>
            <w:vAlign w:val="bottom"/>
            <w:tcBorders>
              <w:top w:val="single" w:sz="8" w:color="CCEEFF"/>
            </w:tcBorders>
            <w:gridSpan w:val="2"/>
            <w:shd w:val="clear" w:color="auto" w:fill="CCEEFF"/>
          </w:tcPr>
          <w:p>
            <w:pPr>
              <w:spacing w:after="0"/>
              <w:rPr>
                <w:sz w:val="9"/>
                <w:szCs w:val="9"/>
                <w:color w:val="auto"/>
              </w:rPr>
            </w:pPr>
          </w:p>
        </w:tc>
        <w:tc>
          <w:tcPr>
            <w:tcW w:w="620" w:type="dxa"/>
            <w:vAlign w:val="bottom"/>
            <w:tcBorders>
              <w:top w:val="single" w:sz="8" w:color="auto"/>
            </w:tcBorders>
            <w:gridSpan w:val="3"/>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3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9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106,949,326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68,258,556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3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322,995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(386,729)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(63,734)</w:t>
            </w:r>
          </w:p>
        </w:tc>
        <w:tc>
          <w:tcPr>
            <w:tcW w:w="0" w:type="dxa"/>
            <w:vAlign w:val="bottom"/>
          </w:tcPr>
          <w:p>
            <w:pPr>
              <w:spacing w:after="0"/>
              <w:rPr>
                <w:sz w:val="1"/>
                <w:szCs w:val="1"/>
                <w:color w:val="auto"/>
              </w:rPr>
            </w:pPr>
          </w:p>
        </w:tc>
      </w:tr>
      <w:tr>
        <w:trPr>
          <w:trHeight w:val="173"/>
        </w:trPr>
        <w:tc>
          <w:tcPr>
            <w:tcW w:w="1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92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tcBorders>
              <w:right w:val="single" w:sz="8" w:color="auto"/>
            </w:tcBorders>
            <w:gridSpan w:val="2"/>
            <w:vMerge w:val="continue"/>
            <w:shd w:val="clear" w:color="auto" w:fill="CCEEFF"/>
          </w:tcPr>
          <w:p>
            <w:pPr>
              <w:spacing w:after="0"/>
              <w:rPr>
                <w:sz w:val="15"/>
                <w:szCs w:val="15"/>
                <w:color w:val="auto"/>
              </w:rPr>
            </w:pPr>
          </w:p>
        </w:tc>
        <w:tc>
          <w:tcPr>
            <w:tcW w:w="84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gridSpan w:val="4"/>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gridSpan w:val="3"/>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gridSpan w:val="3"/>
            <w:vMerge w:val="continue"/>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gridSpan w:val="3"/>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3"/>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3"/>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180" w:type="dxa"/>
            <w:vAlign w:val="bottom"/>
            <w:tcBorders>
              <w:right w:val="single" w:sz="8" w:color="auto"/>
            </w:tcBorders>
            <w:gridSpan w:val="10"/>
          </w:tcPr>
          <w:p>
            <w:pPr>
              <w:spacing w:after="0" w:line="126" w:lineRule="exact"/>
              <w:rPr>
                <w:sz w:val="20"/>
                <w:szCs w:val="20"/>
                <w:color w:val="auto"/>
              </w:rPr>
            </w:pPr>
            <w:r>
              <w:rPr>
                <w:rFonts w:ascii="Times New Roman" w:cs="Times New Roman" w:eastAsia="Times New Roman" w:hAnsi="Times New Roman"/>
                <w:sz w:val="14"/>
                <w:szCs w:val="14"/>
                <w:color w:val="auto"/>
              </w:rPr>
              <w:t>Issuance of</w:t>
            </w:r>
          </w:p>
        </w:tc>
        <w:tc>
          <w:tcPr>
            <w:tcW w:w="8060" w:type="dxa"/>
            <w:vAlign w:val="bottom"/>
            <w:gridSpan w:val="48"/>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80" w:type="dxa"/>
            <w:vAlign w:val="bottom"/>
            <w:tcBorders>
              <w:right w:val="single" w:sz="8" w:color="auto"/>
            </w:tcBorders>
            <w:gridSpan w:val="10"/>
          </w:tcPr>
          <w:p>
            <w:pPr>
              <w:ind w:left="18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8060" w:type="dxa"/>
            <w:vAlign w:val="bottom"/>
            <w:gridSpan w:val="4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upon exercise of</w:t>
            </w:r>
          </w:p>
        </w:tc>
        <w:tc>
          <w:tcPr>
            <w:tcW w:w="80" w:type="dxa"/>
            <w:vAlign w:val="bottom"/>
          </w:tcPr>
          <w:p>
            <w:pPr>
              <w:spacing w:after="0"/>
              <w:rPr>
                <w:sz w:val="12"/>
                <w:szCs w:val="12"/>
                <w:color w:val="auto"/>
              </w:rPr>
            </w:pPr>
          </w:p>
        </w:tc>
        <w:tc>
          <w:tcPr>
            <w:tcW w:w="9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2,582,535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3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2,840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2,840</w:t>
            </w:r>
          </w:p>
        </w:tc>
        <w:tc>
          <w:tcPr>
            <w:tcW w:w="0" w:type="dxa"/>
            <w:vAlign w:val="bottom"/>
          </w:tcPr>
          <w:p>
            <w:pPr>
              <w:spacing w:after="0"/>
              <w:rPr>
                <w:sz w:val="1"/>
                <w:szCs w:val="1"/>
                <w:color w:val="auto"/>
              </w:rPr>
            </w:pPr>
          </w:p>
        </w:tc>
      </w:tr>
      <w:tr>
        <w:trPr>
          <w:trHeight w:val="171"/>
        </w:trPr>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stock options</w:t>
            </w:r>
          </w:p>
        </w:tc>
        <w:tc>
          <w:tcPr>
            <w:tcW w:w="8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right w:val="single" w:sz="8" w:color="auto"/>
            </w:tcBorders>
            <w:gridSpan w:val="2"/>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80" w:type="dxa"/>
            <w:vAlign w:val="bottom"/>
            <w:tcBorders>
              <w:right w:val="single" w:sz="8" w:color="auto"/>
            </w:tcBorders>
            <w:gridSpan w:val="10"/>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exercise of</w:t>
            </w:r>
          </w:p>
        </w:tc>
        <w:tc>
          <w:tcPr>
            <w:tcW w:w="140" w:type="dxa"/>
            <w:vAlign w:val="bottom"/>
            <w:tcBorders>
              <w:right w:val="single" w:sz="8" w:color="CCEEFF"/>
            </w:tcBorders>
            <w:shd w:val="clear" w:color="auto" w:fill="CCEEFF"/>
          </w:tcPr>
          <w:p>
            <w:pPr>
              <w:spacing w:after="0"/>
              <w:rPr>
                <w:sz w:val="10"/>
                <w:szCs w:val="10"/>
                <w:color w:val="auto"/>
              </w:rPr>
            </w:pPr>
          </w:p>
        </w:tc>
        <w:tc>
          <w:tcPr>
            <w:tcW w:w="7920" w:type="dxa"/>
            <w:vAlign w:val="bottom"/>
            <w:gridSpan w:val="47"/>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outstanding</w:t>
            </w:r>
          </w:p>
        </w:tc>
        <w:tc>
          <w:tcPr>
            <w:tcW w:w="80" w:type="dxa"/>
            <w:vAlign w:val="bottom"/>
            <w:shd w:val="clear" w:color="auto" w:fill="CCEEFF"/>
          </w:tcPr>
          <w:p>
            <w:pPr>
              <w:spacing w:after="0"/>
              <w:rPr>
                <w:sz w:val="12"/>
                <w:szCs w:val="12"/>
                <w:color w:val="auto"/>
              </w:rPr>
            </w:pPr>
          </w:p>
        </w:tc>
        <w:tc>
          <w:tcPr>
            <w:tcW w:w="96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673,416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3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warrants</w:t>
            </w:r>
          </w:p>
        </w:tc>
        <w:tc>
          <w:tcPr>
            <w:tcW w:w="80" w:type="dxa"/>
            <w:vAlign w:val="bottom"/>
            <w:shd w:val="clear" w:color="auto" w:fill="CCEEFF"/>
          </w:tcPr>
          <w:p>
            <w:pPr>
              <w:spacing w:after="0"/>
              <w:rPr>
                <w:sz w:val="14"/>
                <w:szCs w:val="14"/>
                <w:color w:val="auto"/>
              </w:rPr>
            </w:pPr>
          </w:p>
        </w:tc>
        <w:tc>
          <w:tcPr>
            <w:tcW w:w="96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tcBorders>
              <w:right w:val="single" w:sz="8" w:color="auto"/>
            </w:tcBorders>
            <w:gridSpan w:val="2"/>
            <w:vMerge w:val="continue"/>
            <w:shd w:val="clear" w:color="auto" w:fill="CCEEFF"/>
          </w:tcPr>
          <w:p>
            <w:pPr>
              <w:spacing w:after="0"/>
              <w:rPr>
                <w:sz w:val="14"/>
                <w:szCs w:val="14"/>
                <w:color w:val="auto"/>
              </w:rPr>
            </w:pPr>
          </w:p>
        </w:tc>
        <w:tc>
          <w:tcPr>
            <w:tcW w:w="8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gridSpan w:val="4"/>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gridSpan w:val="3"/>
            <w:vMerge w:val="continue"/>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Conversion of</w:t>
            </w:r>
          </w:p>
        </w:tc>
        <w:tc>
          <w:tcPr>
            <w:tcW w:w="80" w:type="dxa"/>
            <w:vAlign w:val="bottom"/>
          </w:tcPr>
          <w:p>
            <w:pPr>
              <w:spacing w:after="0"/>
              <w:rPr>
                <w:sz w:val="10"/>
                <w:szCs w:val="10"/>
                <w:color w:val="auto"/>
              </w:rPr>
            </w:pPr>
          </w:p>
        </w:tc>
        <w:tc>
          <w:tcPr>
            <w:tcW w:w="9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2,046,827</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0"/>
                <w:szCs w:val="10"/>
                <w:color w:val="auto"/>
              </w:rPr>
            </w:pPr>
          </w:p>
        </w:tc>
        <w:tc>
          <w:tcPr>
            <w:tcW w:w="3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20,239</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3"/>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20,239</w:t>
            </w:r>
          </w:p>
        </w:tc>
        <w:tc>
          <w:tcPr>
            <w:tcW w:w="0" w:type="dxa"/>
            <w:vAlign w:val="bottom"/>
          </w:tcPr>
          <w:p>
            <w:pPr>
              <w:spacing w:after="0"/>
              <w:rPr>
                <w:sz w:val="1"/>
                <w:szCs w:val="1"/>
                <w:color w:val="auto"/>
              </w:rPr>
            </w:pPr>
          </w:p>
        </w:tc>
      </w:tr>
      <w:tr>
        <w:trPr>
          <w:trHeight w:val="171"/>
        </w:trPr>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convertible note</w:t>
            </w:r>
          </w:p>
        </w:tc>
        <w:tc>
          <w:tcPr>
            <w:tcW w:w="8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right w:val="single" w:sz="8" w:color="auto"/>
            </w:tcBorders>
            <w:gridSpan w:val="2"/>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80" w:type="dxa"/>
            <w:vAlign w:val="bottom"/>
            <w:tcBorders>
              <w:right w:val="single" w:sz="8" w:color="auto"/>
            </w:tcBorders>
            <w:gridSpan w:val="10"/>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Effect of reverse</w:t>
            </w:r>
          </w:p>
        </w:tc>
        <w:tc>
          <w:tcPr>
            <w:tcW w:w="140" w:type="dxa"/>
            <w:vAlign w:val="bottom"/>
            <w:tcBorders>
              <w:right w:val="single" w:sz="8" w:color="CCEEFF"/>
            </w:tcBorders>
            <w:shd w:val="clear" w:color="auto" w:fill="CCEEFF"/>
          </w:tcPr>
          <w:p>
            <w:pPr>
              <w:spacing w:after="0"/>
              <w:rPr>
                <w:sz w:val="10"/>
                <w:szCs w:val="10"/>
                <w:color w:val="auto"/>
              </w:rPr>
            </w:pPr>
          </w:p>
        </w:tc>
        <w:tc>
          <w:tcPr>
            <w:tcW w:w="7920" w:type="dxa"/>
            <w:vAlign w:val="bottom"/>
            <w:gridSpan w:val="47"/>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80" w:type="dxa"/>
            <w:vAlign w:val="bottom"/>
            <w:tcBorders>
              <w:right w:val="single" w:sz="8" w:color="auto"/>
            </w:tcBorders>
            <w:gridSpan w:val="10"/>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recapitalization,</w:t>
            </w:r>
          </w:p>
        </w:tc>
        <w:tc>
          <w:tcPr>
            <w:tcW w:w="140" w:type="dxa"/>
            <w:vAlign w:val="bottom"/>
            <w:tcBorders>
              <w:right w:val="single" w:sz="8" w:color="CCEEFF"/>
            </w:tcBorders>
            <w:shd w:val="clear" w:color="auto" w:fill="CCEEFF"/>
          </w:tcPr>
          <w:p>
            <w:pPr>
              <w:spacing w:after="0"/>
              <w:rPr>
                <w:sz w:val="12"/>
                <w:szCs w:val="12"/>
                <w:color w:val="auto"/>
              </w:rPr>
            </w:pPr>
          </w:p>
        </w:tc>
        <w:tc>
          <w:tcPr>
            <w:tcW w:w="7920" w:type="dxa"/>
            <w:vAlign w:val="bottom"/>
            <w:gridSpan w:val="47"/>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of costs (Note</w:t>
            </w:r>
          </w:p>
        </w:tc>
        <w:tc>
          <w:tcPr>
            <w:tcW w:w="9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(106,949,326)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(73,561,334)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140,114,060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w:t>
            </w:r>
          </w:p>
        </w:tc>
        <w:tc>
          <w:tcPr>
            <w:tcW w:w="80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40,396,600</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4"/>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4"/>
                <w:szCs w:val="14"/>
                <w:color w:val="auto"/>
              </w:rPr>
            </w:pPr>
          </w:p>
        </w:tc>
        <w:tc>
          <w:tcPr>
            <w:tcW w:w="92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tcBorders>
              <w:right w:val="single" w:sz="8" w:color="auto"/>
            </w:tcBorders>
            <w:gridSpan w:val="2"/>
            <w:vMerge w:val="continue"/>
            <w:shd w:val="clear" w:color="auto" w:fill="CCEEFF"/>
          </w:tcPr>
          <w:p>
            <w:pPr>
              <w:spacing w:after="0"/>
              <w:rPr>
                <w:sz w:val="14"/>
                <w:szCs w:val="14"/>
                <w:color w:val="auto"/>
              </w:rPr>
            </w:pPr>
          </w:p>
        </w:tc>
        <w:tc>
          <w:tcPr>
            <w:tcW w:w="8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gridSpan w:val="4"/>
            <w:vMerge w:val="continue"/>
            <w:shd w:val="clear" w:color="auto" w:fill="CCEEFF"/>
          </w:tcPr>
          <w:p>
            <w:pPr>
              <w:spacing w:after="0"/>
              <w:rPr>
                <w:sz w:val="14"/>
                <w:szCs w:val="14"/>
                <w:color w:val="auto"/>
              </w:rPr>
            </w:pPr>
          </w:p>
        </w:tc>
        <w:tc>
          <w:tcPr>
            <w:tcW w:w="760" w:type="dxa"/>
            <w:vAlign w:val="bottom"/>
            <w:gridSpan w:val="4"/>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gridSpan w:val="3"/>
            <w:vMerge w:val="continue"/>
            <w:shd w:val="clear" w:color="auto" w:fill="CCEEFF"/>
          </w:tcPr>
          <w:p>
            <w:pPr>
              <w:spacing w:after="0"/>
              <w:rPr>
                <w:sz w:val="14"/>
                <w:szCs w:val="14"/>
                <w:color w:val="auto"/>
              </w:rPr>
            </w:pPr>
          </w:p>
        </w:tc>
        <w:tc>
          <w:tcPr>
            <w:tcW w:w="800" w:type="dxa"/>
            <w:vAlign w:val="bottom"/>
            <w:gridSpan w:val="4"/>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4"/>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PIPE financing</w:t>
            </w:r>
          </w:p>
        </w:tc>
        <w:tc>
          <w:tcPr>
            <w:tcW w:w="80" w:type="dxa"/>
            <w:vAlign w:val="bottom"/>
          </w:tcPr>
          <w:p>
            <w:pPr>
              <w:spacing w:after="0"/>
              <w:rPr>
                <w:sz w:val="12"/>
                <w:szCs w:val="12"/>
                <w:color w:val="auto"/>
              </w:rPr>
            </w:pPr>
          </w:p>
        </w:tc>
        <w:tc>
          <w:tcPr>
            <w:tcW w:w="96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right w:val="single" w:sz="8" w:color="auto"/>
            </w:tcBorders>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gridSpan w:val="4"/>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4"/>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11,300,000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500" w:type="dxa"/>
            <w:vAlign w:val="bottom"/>
          </w:tcPr>
          <w:p>
            <w:pPr>
              <w:spacing w:after="0"/>
              <w:rPr>
                <w:sz w:val="12"/>
                <w:szCs w:val="12"/>
                <w:color w:val="auto"/>
              </w:rPr>
            </w:pPr>
          </w:p>
        </w:tc>
        <w:tc>
          <w:tcPr>
            <w:tcW w:w="3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86,584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86,585</w:t>
            </w:r>
          </w:p>
        </w:tc>
        <w:tc>
          <w:tcPr>
            <w:tcW w:w="0" w:type="dxa"/>
            <w:vAlign w:val="bottom"/>
          </w:tcPr>
          <w:p>
            <w:pPr>
              <w:spacing w:after="0"/>
              <w:rPr>
                <w:sz w:val="1"/>
                <w:szCs w:val="1"/>
                <w:color w:val="auto"/>
              </w:rPr>
            </w:pPr>
          </w:p>
        </w:tc>
      </w:tr>
      <w:tr>
        <w:trPr>
          <w:trHeight w:val="126"/>
        </w:trPr>
        <w:tc>
          <w:tcPr>
            <w:tcW w:w="3180" w:type="dxa"/>
            <w:vAlign w:val="bottom"/>
            <w:tcBorders>
              <w:right w:val="single" w:sz="8" w:color="auto"/>
            </w:tcBorders>
            <w:gridSpan w:val="10"/>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w:t>
            </w:r>
          </w:p>
        </w:tc>
        <w:tc>
          <w:tcPr>
            <w:tcW w:w="140" w:type="dxa"/>
            <w:vAlign w:val="bottom"/>
            <w:tcBorders>
              <w:right w:val="single" w:sz="8" w:color="CCEEFF"/>
            </w:tcBorders>
            <w:shd w:val="clear" w:color="auto" w:fill="CCEEFF"/>
          </w:tcPr>
          <w:p>
            <w:pPr>
              <w:spacing w:after="0"/>
              <w:rPr>
                <w:sz w:val="10"/>
                <w:szCs w:val="10"/>
                <w:color w:val="auto"/>
              </w:rPr>
            </w:pPr>
          </w:p>
        </w:tc>
        <w:tc>
          <w:tcPr>
            <w:tcW w:w="7920" w:type="dxa"/>
            <w:vAlign w:val="bottom"/>
            <w:gridSpan w:val="47"/>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80" w:type="dxa"/>
            <w:vAlign w:val="bottom"/>
            <w:tcBorders>
              <w:right w:val="single" w:sz="8" w:color="auto"/>
            </w:tcBorders>
            <w:gridSpan w:val="10"/>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common shares</w:t>
            </w:r>
          </w:p>
        </w:tc>
        <w:tc>
          <w:tcPr>
            <w:tcW w:w="140" w:type="dxa"/>
            <w:vAlign w:val="bottom"/>
            <w:tcBorders>
              <w:right w:val="single" w:sz="8" w:color="CCEEFF"/>
            </w:tcBorders>
            <w:shd w:val="clear" w:color="auto" w:fill="CCEEFF"/>
          </w:tcPr>
          <w:p>
            <w:pPr>
              <w:spacing w:after="0"/>
              <w:rPr>
                <w:sz w:val="12"/>
                <w:szCs w:val="12"/>
                <w:color w:val="auto"/>
              </w:rPr>
            </w:pPr>
          </w:p>
        </w:tc>
        <w:tc>
          <w:tcPr>
            <w:tcW w:w="7920" w:type="dxa"/>
            <w:vAlign w:val="bottom"/>
            <w:gridSpan w:val="47"/>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Borders>
              <w:right w:val="single" w:sz="8" w:color="auto"/>
            </w:tcBorders>
            <w:gridSpan w:val="10"/>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pursuant to the</w:t>
            </w:r>
          </w:p>
        </w:tc>
        <w:tc>
          <w:tcPr>
            <w:tcW w:w="140" w:type="dxa"/>
            <w:vAlign w:val="bottom"/>
            <w:tcBorders>
              <w:right w:val="single" w:sz="8" w:color="CCEEFF"/>
            </w:tcBorders>
            <w:shd w:val="clear" w:color="auto" w:fill="CCEEFF"/>
          </w:tcPr>
          <w:p>
            <w:pPr>
              <w:spacing w:after="0"/>
              <w:rPr>
                <w:sz w:val="12"/>
                <w:szCs w:val="12"/>
                <w:color w:val="auto"/>
              </w:rPr>
            </w:pPr>
          </w:p>
        </w:tc>
        <w:tc>
          <w:tcPr>
            <w:tcW w:w="7920" w:type="dxa"/>
            <w:vAlign w:val="bottom"/>
            <w:gridSpan w:val="47"/>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Business</w:t>
            </w:r>
          </w:p>
        </w:tc>
        <w:tc>
          <w:tcPr>
            <w:tcW w:w="80" w:type="dxa"/>
            <w:vAlign w:val="bottom"/>
            <w:shd w:val="clear" w:color="auto" w:fill="CCEEFF"/>
          </w:tcPr>
          <w:p>
            <w:pPr>
              <w:spacing w:after="0"/>
              <w:rPr>
                <w:sz w:val="12"/>
                <w:szCs w:val="12"/>
                <w:color w:val="auto"/>
              </w:rPr>
            </w:pPr>
          </w:p>
        </w:tc>
        <w:tc>
          <w:tcPr>
            <w:tcW w:w="96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4,693,050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500" w:type="dxa"/>
            <w:vAlign w:val="bottom"/>
            <w:shd w:val="clear" w:color="auto" w:fill="CCEEFF"/>
          </w:tcPr>
          <w:p>
            <w:pPr>
              <w:spacing w:after="0"/>
              <w:rPr>
                <w:sz w:val="12"/>
                <w:szCs w:val="12"/>
                <w:color w:val="auto"/>
              </w:rPr>
            </w:pPr>
          </w:p>
        </w:tc>
        <w:tc>
          <w:tcPr>
            <w:tcW w:w="3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4,105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4,106</w:t>
            </w:r>
          </w:p>
        </w:tc>
        <w:tc>
          <w:tcPr>
            <w:tcW w:w="0" w:type="dxa"/>
            <w:vAlign w:val="bottom"/>
          </w:tcPr>
          <w:p>
            <w:pPr>
              <w:spacing w:after="0"/>
              <w:rPr>
                <w:sz w:val="1"/>
                <w:szCs w:val="1"/>
                <w:color w:val="auto"/>
              </w:rPr>
            </w:pPr>
          </w:p>
        </w:tc>
      </w:tr>
      <w:tr>
        <w:trPr>
          <w:trHeight w:val="171"/>
        </w:trPr>
        <w:tc>
          <w:tcPr>
            <w:tcW w:w="1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Combination</w:t>
            </w:r>
          </w:p>
        </w:tc>
        <w:tc>
          <w:tcPr>
            <w:tcW w:w="80" w:type="dxa"/>
            <w:vAlign w:val="bottom"/>
            <w:shd w:val="clear" w:color="auto" w:fill="CCEEFF"/>
          </w:tcPr>
          <w:p>
            <w:pPr>
              <w:spacing w:after="0"/>
              <w:rPr>
                <w:sz w:val="14"/>
                <w:szCs w:val="14"/>
                <w:color w:val="auto"/>
              </w:rPr>
            </w:pPr>
          </w:p>
        </w:tc>
        <w:tc>
          <w:tcPr>
            <w:tcW w:w="96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tcBorders>
              <w:right w:val="single" w:sz="8" w:color="auto"/>
            </w:tcBorders>
            <w:gridSpan w:val="2"/>
            <w:vMerge w:val="continue"/>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gridSpan w:val="4"/>
            <w:vMerge w:val="continue"/>
            <w:shd w:val="clear" w:color="auto" w:fill="CCEEFF"/>
          </w:tcPr>
          <w:p>
            <w:pPr>
              <w:spacing w:after="0"/>
              <w:rPr>
                <w:sz w:val="14"/>
                <w:szCs w:val="14"/>
                <w:color w:val="auto"/>
              </w:rPr>
            </w:pPr>
          </w:p>
        </w:tc>
        <w:tc>
          <w:tcPr>
            <w:tcW w:w="760" w:type="dxa"/>
            <w:vAlign w:val="bottom"/>
            <w:gridSpan w:val="4"/>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gridSpan w:val="3"/>
            <w:vMerge w:val="continue"/>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80" w:type="dxa"/>
            <w:vAlign w:val="bottom"/>
            <w:tcBorders>
              <w:right w:val="single" w:sz="8" w:color="auto"/>
            </w:tcBorders>
            <w:gridSpan w:val="10"/>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w:t>
            </w:r>
          </w:p>
        </w:tc>
        <w:tc>
          <w:tcPr>
            <w:tcW w:w="8060" w:type="dxa"/>
            <w:vAlign w:val="bottom"/>
            <w:gridSpan w:val="48"/>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80" w:type="dxa"/>
            <w:vAlign w:val="bottom"/>
            <w:tcBorders>
              <w:right w:val="single" w:sz="8" w:color="auto"/>
            </w:tcBorders>
            <w:gridSpan w:val="10"/>
          </w:tcPr>
          <w:p>
            <w:pPr>
              <w:ind w:left="180"/>
              <w:spacing w:after="0" w:line="149" w:lineRule="exact"/>
              <w:rPr>
                <w:sz w:val="20"/>
                <w:szCs w:val="20"/>
                <w:color w:val="auto"/>
              </w:rPr>
            </w:pPr>
            <w:r>
              <w:rPr>
                <w:rFonts w:ascii="Times New Roman" w:cs="Times New Roman" w:eastAsia="Times New Roman" w:hAnsi="Times New Roman"/>
                <w:sz w:val="14"/>
                <w:szCs w:val="14"/>
                <w:color w:val="auto"/>
              </w:rPr>
              <w:t>common shares</w:t>
            </w:r>
          </w:p>
        </w:tc>
        <w:tc>
          <w:tcPr>
            <w:tcW w:w="8060" w:type="dxa"/>
            <w:vAlign w:val="bottom"/>
            <w:gridSpan w:val="4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upon exercise of</w:t>
            </w:r>
          </w:p>
        </w:tc>
        <w:tc>
          <w:tcPr>
            <w:tcW w:w="80" w:type="dxa"/>
            <w:vAlign w:val="bottom"/>
          </w:tcPr>
          <w:p>
            <w:pPr>
              <w:spacing w:after="0"/>
              <w:rPr>
                <w:sz w:val="12"/>
                <w:szCs w:val="12"/>
                <w:color w:val="auto"/>
              </w:rPr>
            </w:pPr>
          </w:p>
        </w:tc>
        <w:tc>
          <w:tcPr>
            <w:tcW w:w="9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42,099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3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71"/>
        </w:trPr>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stock options</w:t>
            </w:r>
          </w:p>
        </w:tc>
        <w:tc>
          <w:tcPr>
            <w:tcW w:w="8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right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gridSpan w:val="4"/>
            <w:vMerge w:val="continue"/>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80" w:type="dxa"/>
            <w:vAlign w:val="bottom"/>
            <w:tcBorders>
              <w:right w:val="single" w:sz="8" w:color="auto"/>
            </w:tcBorders>
            <w:gridSpan w:val="10"/>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w:t>
            </w:r>
          </w:p>
        </w:tc>
        <w:tc>
          <w:tcPr>
            <w:tcW w:w="140" w:type="dxa"/>
            <w:vAlign w:val="bottom"/>
            <w:tcBorders>
              <w:right w:val="single" w:sz="8" w:color="CCEEFF"/>
            </w:tcBorders>
            <w:shd w:val="clear" w:color="auto" w:fill="CCEEFF"/>
          </w:tcPr>
          <w:p>
            <w:pPr>
              <w:spacing w:after="0"/>
              <w:rPr>
                <w:sz w:val="10"/>
                <w:szCs w:val="10"/>
                <w:color w:val="auto"/>
              </w:rPr>
            </w:pPr>
          </w:p>
        </w:tc>
        <w:tc>
          <w:tcPr>
            <w:tcW w:w="7920" w:type="dxa"/>
            <w:vAlign w:val="bottom"/>
            <w:gridSpan w:val="47"/>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80" w:type="dxa"/>
            <w:vAlign w:val="bottom"/>
            <w:tcBorders>
              <w:right w:val="single" w:sz="8" w:color="auto"/>
            </w:tcBorders>
            <w:gridSpan w:val="10"/>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Borders>
              <w:right w:val="single" w:sz="8" w:color="CCEEFF"/>
            </w:tcBorders>
            <w:shd w:val="clear" w:color="auto" w:fill="CCEEFF"/>
          </w:tcPr>
          <w:p>
            <w:pPr>
              <w:spacing w:after="0"/>
              <w:rPr>
                <w:sz w:val="12"/>
                <w:szCs w:val="12"/>
                <w:color w:val="auto"/>
              </w:rPr>
            </w:pPr>
          </w:p>
        </w:tc>
        <w:tc>
          <w:tcPr>
            <w:tcW w:w="7920" w:type="dxa"/>
            <w:vAlign w:val="bottom"/>
            <w:gridSpan w:val="47"/>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Borders>
              <w:right w:val="single" w:sz="8" w:color="auto"/>
            </w:tcBorders>
            <w:gridSpan w:val="10"/>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upon release of</w:t>
            </w:r>
          </w:p>
        </w:tc>
        <w:tc>
          <w:tcPr>
            <w:tcW w:w="140" w:type="dxa"/>
            <w:vAlign w:val="bottom"/>
            <w:tcBorders>
              <w:right w:val="single" w:sz="8" w:color="CCEEFF"/>
            </w:tcBorders>
            <w:shd w:val="clear" w:color="auto" w:fill="CCEEFF"/>
          </w:tcPr>
          <w:p>
            <w:pPr>
              <w:spacing w:after="0"/>
              <w:rPr>
                <w:sz w:val="12"/>
                <w:szCs w:val="12"/>
                <w:color w:val="auto"/>
              </w:rPr>
            </w:pPr>
          </w:p>
        </w:tc>
        <w:tc>
          <w:tcPr>
            <w:tcW w:w="7920" w:type="dxa"/>
            <w:vAlign w:val="bottom"/>
            <w:gridSpan w:val="47"/>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stock</w:t>
            </w:r>
          </w:p>
        </w:tc>
        <w:tc>
          <w:tcPr>
            <w:tcW w:w="80" w:type="dxa"/>
            <w:vAlign w:val="bottom"/>
            <w:shd w:val="clear" w:color="auto" w:fill="CCEEFF"/>
          </w:tcPr>
          <w:p>
            <w:pPr>
              <w:spacing w:after="0"/>
              <w:rPr>
                <w:sz w:val="12"/>
                <w:szCs w:val="12"/>
                <w:color w:val="auto"/>
              </w:rPr>
            </w:pPr>
          </w:p>
        </w:tc>
        <w:tc>
          <w:tcPr>
            <w:tcW w:w="96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117,340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3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units</w:t>
            </w:r>
          </w:p>
        </w:tc>
        <w:tc>
          <w:tcPr>
            <w:tcW w:w="80" w:type="dxa"/>
            <w:vAlign w:val="bottom"/>
            <w:shd w:val="clear" w:color="auto" w:fill="CCEEFF"/>
          </w:tcPr>
          <w:p>
            <w:pPr>
              <w:spacing w:after="0"/>
              <w:rPr>
                <w:sz w:val="14"/>
                <w:szCs w:val="14"/>
                <w:color w:val="auto"/>
              </w:rPr>
            </w:pPr>
          </w:p>
        </w:tc>
        <w:tc>
          <w:tcPr>
            <w:tcW w:w="96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tcBorders>
              <w:right w:val="single" w:sz="8" w:color="auto"/>
            </w:tcBorders>
            <w:gridSpan w:val="2"/>
            <w:vMerge w:val="continue"/>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gridSpan w:val="4"/>
            <w:vMerge w:val="continue"/>
            <w:shd w:val="clear" w:color="auto" w:fill="CCEEFF"/>
          </w:tcPr>
          <w:p>
            <w:pPr>
              <w:spacing w:after="0"/>
              <w:rPr>
                <w:sz w:val="14"/>
                <w:szCs w:val="14"/>
                <w:color w:val="auto"/>
              </w:rPr>
            </w:pPr>
          </w:p>
        </w:tc>
        <w:tc>
          <w:tcPr>
            <w:tcW w:w="760" w:type="dxa"/>
            <w:vAlign w:val="bottom"/>
            <w:gridSpan w:val="4"/>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gridSpan w:val="3"/>
            <w:vMerge w:val="continue"/>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80" w:type="dxa"/>
            <w:vAlign w:val="bottom"/>
          </w:tcPr>
          <w:p>
            <w:pPr>
              <w:spacing w:after="0"/>
              <w:rPr>
                <w:sz w:val="10"/>
                <w:szCs w:val="10"/>
                <w:color w:val="auto"/>
              </w:rPr>
            </w:pPr>
          </w:p>
        </w:tc>
        <w:tc>
          <w:tcPr>
            <w:tcW w:w="9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0"/>
                <w:szCs w:val="10"/>
                <w:color w:val="auto"/>
              </w:rPr>
            </w:pPr>
          </w:p>
        </w:tc>
        <w:tc>
          <w:tcPr>
            <w:tcW w:w="3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10,327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3"/>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10,327</w:t>
            </w:r>
          </w:p>
        </w:tc>
        <w:tc>
          <w:tcPr>
            <w:tcW w:w="0" w:type="dxa"/>
            <w:vAlign w:val="bottom"/>
          </w:tcPr>
          <w:p>
            <w:pPr>
              <w:spacing w:after="0"/>
              <w:rPr>
                <w:sz w:val="1"/>
                <w:szCs w:val="1"/>
                <w:color w:val="auto"/>
              </w:rPr>
            </w:pPr>
          </w:p>
        </w:tc>
      </w:tr>
      <w:tr>
        <w:trPr>
          <w:trHeight w:val="171"/>
        </w:trPr>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compensation</w:t>
            </w:r>
          </w:p>
        </w:tc>
        <w:tc>
          <w:tcPr>
            <w:tcW w:w="8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right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spacing w:after="0"/>
              <w:rPr>
                <w:sz w:val="14"/>
                <w:szCs w:val="14"/>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4"/>
                <w:szCs w:val="14"/>
                <w:color w:val="auto"/>
              </w:rPr>
            </w:pP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(55,771)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(55,771)</w:t>
            </w:r>
          </w:p>
        </w:tc>
        <w:tc>
          <w:tcPr>
            <w:tcW w:w="0" w:type="dxa"/>
            <w:vAlign w:val="bottom"/>
          </w:tcPr>
          <w:p>
            <w:pPr>
              <w:spacing w:after="0"/>
              <w:rPr>
                <w:sz w:val="1"/>
                <w:szCs w:val="1"/>
                <w:color w:val="auto"/>
              </w:rPr>
            </w:pPr>
          </w:p>
        </w:tc>
      </w:tr>
      <w:tr>
        <w:trPr>
          <w:trHeight w:val="148"/>
        </w:trPr>
        <w:tc>
          <w:tcPr>
            <w:tcW w:w="1240" w:type="dxa"/>
            <w:vAlign w:val="bottom"/>
            <w:tcBorders>
              <w:top w:val="single" w:sz="8" w:color="CCEEFF"/>
            </w:tcBorders>
          </w:tcPr>
          <w:p>
            <w:pPr>
              <w:spacing w:after="0"/>
              <w:rPr>
                <w:sz w:val="12"/>
                <w:szCs w:val="12"/>
                <w:color w:val="auto"/>
              </w:rPr>
            </w:pPr>
          </w:p>
        </w:tc>
        <w:tc>
          <w:tcPr>
            <w:tcW w:w="900" w:type="dxa"/>
            <w:vAlign w:val="bottom"/>
            <w:tcBorders>
              <w:top w:val="single" w:sz="8" w:color="auto"/>
            </w:tcBorders>
            <w:gridSpan w:val="3"/>
          </w:tcPr>
          <w:p>
            <w:pPr>
              <w:spacing w:after="0"/>
              <w:rPr>
                <w:sz w:val="12"/>
                <w:szCs w:val="12"/>
                <w:color w:val="auto"/>
              </w:rPr>
            </w:pPr>
          </w:p>
        </w:tc>
        <w:tc>
          <w:tcPr>
            <w:tcW w:w="240" w:type="dxa"/>
            <w:vAlign w:val="bottom"/>
            <w:tcBorders>
              <w:top w:val="single" w:sz="8" w:color="CCEEFF"/>
            </w:tcBorders>
            <w:gridSpan w:val="2"/>
          </w:tcPr>
          <w:p>
            <w:pPr>
              <w:spacing w:after="0"/>
              <w:rPr>
                <w:sz w:val="12"/>
                <w:szCs w:val="12"/>
                <w:color w:val="auto"/>
              </w:rPr>
            </w:pPr>
          </w:p>
        </w:tc>
        <w:tc>
          <w:tcPr>
            <w:tcW w:w="660" w:type="dxa"/>
            <w:vAlign w:val="bottom"/>
            <w:tcBorders>
              <w:top w:val="single" w:sz="8" w:color="auto"/>
            </w:tcBorders>
            <w:gridSpan w:val="3"/>
          </w:tcPr>
          <w:p>
            <w:pPr>
              <w:spacing w:after="0"/>
              <w:rPr>
                <w:sz w:val="12"/>
                <w:szCs w:val="12"/>
                <w:color w:val="auto"/>
              </w:rPr>
            </w:pPr>
          </w:p>
        </w:tc>
        <w:tc>
          <w:tcPr>
            <w:tcW w:w="140" w:type="dxa"/>
            <w:vAlign w:val="bottom"/>
            <w:tcBorders>
              <w:top w:val="single" w:sz="8" w:color="CCEEFF"/>
              <w:right w:val="single" w:sz="8" w:color="auto"/>
            </w:tcBorders>
          </w:tcPr>
          <w:p>
            <w:pPr>
              <w:spacing w:after="0"/>
              <w:rPr>
                <w:sz w:val="12"/>
                <w:szCs w:val="12"/>
                <w:color w:val="auto"/>
              </w:rPr>
            </w:pPr>
          </w:p>
        </w:tc>
        <w:tc>
          <w:tcPr>
            <w:tcW w:w="760" w:type="dxa"/>
            <w:vAlign w:val="bottom"/>
            <w:tcBorders>
              <w:top w:val="single" w:sz="8" w:color="auto"/>
            </w:tcBorders>
            <w:gridSpan w:val="2"/>
          </w:tcPr>
          <w:p>
            <w:pPr>
              <w:spacing w:after="0"/>
              <w:rPr>
                <w:sz w:val="12"/>
                <w:szCs w:val="12"/>
                <w:color w:val="auto"/>
              </w:rPr>
            </w:pPr>
          </w:p>
        </w:tc>
        <w:tc>
          <w:tcPr>
            <w:tcW w:w="120" w:type="dxa"/>
            <w:vAlign w:val="bottom"/>
            <w:tcBorders>
              <w:top w:val="single" w:sz="8" w:color="CCEEFF"/>
            </w:tcBorders>
            <w:gridSpan w:val="2"/>
          </w:tcPr>
          <w:p>
            <w:pPr>
              <w:spacing w:after="0"/>
              <w:rPr>
                <w:sz w:val="12"/>
                <w:szCs w:val="12"/>
                <w:color w:val="auto"/>
              </w:rPr>
            </w:pPr>
          </w:p>
        </w:tc>
        <w:tc>
          <w:tcPr>
            <w:tcW w:w="520" w:type="dxa"/>
            <w:vAlign w:val="bottom"/>
            <w:tcBorders>
              <w:top w:val="single" w:sz="8" w:color="auto"/>
            </w:tcBorders>
            <w:gridSpan w:val="3"/>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gridSpan w:val="5"/>
          </w:tcPr>
          <w:p>
            <w:pPr>
              <w:spacing w:after="0"/>
              <w:rPr>
                <w:sz w:val="12"/>
                <w:szCs w:val="12"/>
                <w:color w:val="auto"/>
              </w:rPr>
            </w:pPr>
          </w:p>
        </w:tc>
        <w:tc>
          <w:tcPr>
            <w:tcW w:w="120" w:type="dxa"/>
            <w:vAlign w:val="bottom"/>
            <w:tcBorders>
              <w:top w:val="single" w:sz="8" w:color="CCEEFF"/>
            </w:tcBorders>
            <w:gridSpan w:val="3"/>
          </w:tcPr>
          <w:p>
            <w:pPr>
              <w:spacing w:after="0"/>
              <w:rPr>
                <w:sz w:val="12"/>
                <w:szCs w:val="12"/>
                <w:color w:val="auto"/>
              </w:rPr>
            </w:pPr>
          </w:p>
        </w:tc>
        <w:tc>
          <w:tcPr>
            <w:tcW w:w="520" w:type="dxa"/>
            <w:vAlign w:val="bottom"/>
            <w:tcBorders>
              <w:top w:val="single" w:sz="8" w:color="auto"/>
            </w:tcBorders>
            <w:gridSpan w:val="3"/>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00" w:type="dxa"/>
            <w:vAlign w:val="bottom"/>
            <w:tcBorders>
              <w:top w:val="single" w:sz="8" w:color="auto"/>
            </w:tcBorders>
            <w:gridSpan w:val="3"/>
          </w:tcPr>
          <w:p>
            <w:pPr>
              <w:spacing w:after="0"/>
              <w:rPr>
                <w:sz w:val="12"/>
                <w:szCs w:val="12"/>
                <w:color w:val="auto"/>
              </w:rPr>
            </w:pPr>
          </w:p>
        </w:tc>
        <w:tc>
          <w:tcPr>
            <w:tcW w:w="120" w:type="dxa"/>
            <w:vAlign w:val="bottom"/>
            <w:tcBorders>
              <w:top w:val="single" w:sz="8" w:color="CCEEFF"/>
            </w:tcBorders>
            <w:gridSpan w:val="2"/>
          </w:tcPr>
          <w:p>
            <w:pPr>
              <w:spacing w:after="0"/>
              <w:rPr>
                <w:sz w:val="12"/>
                <w:szCs w:val="12"/>
                <w:color w:val="auto"/>
              </w:rPr>
            </w:pPr>
          </w:p>
        </w:tc>
        <w:tc>
          <w:tcPr>
            <w:tcW w:w="540" w:type="dxa"/>
            <w:vAlign w:val="bottom"/>
            <w:tcBorders>
              <w:top w:val="single" w:sz="8" w:color="auto"/>
            </w:tcBorders>
            <w:gridSpan w:val="2"/>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60" w:type="dxa"/>
            <w:vAlign w:val="bottom"/>
            <w:tcBorders>
              <w:top w:val="single" w:sz="8" w:color="auto"/>
            </w:tcBorders>
            <w:gridSpan w:val="3"/>
          </w:tcPr>
          <w:p>
            <w:pPr>
              <w:spacing w:after="0"/>
              <w:rPr>
                <w:sz w:val="12"/>
                <w:szCs w:val="12"/>
                <w:color w:val="auto"/>
              </w:rPr>
            </w:pPr>
          </w:p>
        </w:tc>
        <w:tc>
          <w:tcPr>
            <w:tcW w:w="140" w:type="dxa"/>
            <w:vAlign w:val="bottom"/>
            <w:tcBorders>
              <w:top w:val="single" w:sz="8" w:color="CCEEFF"/>
            </w:tcBorders>
            <w:gridSpan w:val="2"/>
          </w:tcPr>
          <w:p>
            <w:pPr>
              <w:spacing w:after="0"/>
              <w:rPr>
                <w:sz w:val="12"/>
                <w:szCs w:val="12"/>
                <w:color w:val="auto"/>
              </w:rPr>
            </w:pPr>
          </w:p>
        </w:tc>
        <w:tc>
          <w:tcPr>
            <w:tcW w:w="940" w:type="dxa"/>
            <w:vAlign w:val="bottom"/>
            <w:tcBorders>
              <w:top w:val="single" w:sz="8" w:color="auto"/>
            </w:tcBorders>
            <w:gridSpan w:val="3"/>
          </w:tcPr>
          <w:p>
            <w:pPr>
              <w:spacing w:after="0"/>
              <w:rPr>
                <w:sz w:val="12"/>
                <w:szCs w:val="12"/>
                <w:color w:val="auto"/>
              </w:rPr>
            </w:pPr>
          </w:p>
        </w:tc>
        <w:tc>
          <w:tcPr>
            <w:tcW w:w="140" w:type="dxa"/>
            <w:vAlign w:val="bottom"/>
            <w:tcBorders>
              <w:top w:val="single" w:sz="8" w:color="CCEEFF"/>
            </w:tcBorders>
            <w:gridSpan w:val="3"/>
          </w:tcPr>
          <w:p>
            <w:pPr>
              <w:spacing w:after="0"/>
              <w:rPr>
                <w:sz w:val="12"/>
                <w:szCs w:val="12"/>
                <w:color w:val="auto"/>
              </w:rPr>
            </w:pPr>
          </w:p>
        </w:tc>
        <w:tc>
          <w:tcPr>
            <w:tcW w:w="800" w:type="dxa"/>
            <w:vAlign w:val="bottom"/>
            <w:tcBorders>
              <w:top w:val="single" w:sz="8" w:color="auto"/>
            </w:tcBorders>
            <w:gridSpan w:val="3"/>
          </w:tcPr>
          <w:p>
            <w:pPr>
              <w:spacing w:after="0"/>
              <w:rPr>
                <w:sz w:val="12"/>
                <w:szCs w:val="12"/>
                <w:color w:val="auto"/>
              </w:rPr>
            </w:pPr>
          </w:p>
        </w:tc>
        <w:tc>
          <w:tcPr>
            <w:tcW w:w="140" w:type="dxa"/>
            <w:vAlign w:val="bottom"/>
            <w:tcBorders>
              <w:top w:val="single" w:sz="8" w:color="CCEEFF"/>
            </w:tcBorders>
            <w:gridSpan w:val="2"/>
          </w:tcPr>
          <w:p>
            <w:pPr>
              <w:spacing w:after="0"/>
              <w:rPr>
                <w:sz w:val="12"/>
                <w:szCs w:val="12"/>
                <w:color w:val="auto"/>
              </w:rPr>
            </w:pPr>
          </w:p>
        </w:tc>
        <w:tc>
          <w:tcPr>
            <w:tcW w:w="620" w:type="dxa"/>
            <w:vAlign w:val="bottom"/>
            <w:tcBorders>
              <w:top w:val="single" w:sz="8" w:color="auto"/>
            </w:tcBorders>
            <w:gridSpan w:val="3"/>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180" w:type="dxa"/>
            <w:vAlign w:val="bottom"/>
            <w:tcBorders>
              <w:right w:val="single" w:sz="8" w:color="auto"/>
            </w:tcBorders>
            <w:gridSpan w:val="10"/>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140" w:type="dxa"/>
            <w:vAlign w:val="bottom"/>
            <w:tcBorders>
              <w:right w:val="single" w:sz="8" w:color="CCEEFF"/>
            </w:tcBorders>
            <w:shd w:val="clear" w:color="auto" w:fill="CCEEFF"/>
          </w:tcPr>
          <w:p>
            <w:pPr>
              <w:spacing w:after="0"/>
              <w:rPr>
                <w:sz w:val="10"/>
                <w:szCs w:val="10"/>
                <w:color w:val="auto"/>
              </w:rPr>
            </w:pPr>
          </w:p>
        </w:tc>
        <w:tc>
          <w:tcPr>
            <w:tcW w:w="7920" w:type="dxa"/>
            <w:vAlign w:val="bottom"/>
            <w:gridSpan w:val="47"/>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9"/>
                <w:szCs w:val="19"/>
                <w:color w:val="auto"/>
              </w:rPr>
            </w:pPr>
          </w:p>
        </w:tc>
        <w:tc>
          <w:tcPr>
            <w:tcW w:w="5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9"/>
                <w:szCs w:val="19"/>
                <w:color w:val="auto"/>
              </w:rPr>
            </w:pPr>
          </w:p>
        </w:tc>
        <w:tc>
          <w:tcPr>
            <w:tcW w:w="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156,266,549</w:t>
            </w:r>
          </w:p>
        </w:tc>
        <w:tc>
          <w:tcPr>
            <w:tcW w:w="3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w:t>
            </w:r>
          </w:p>
        </w:tc>
        <w:tc>
          <w:tcPr>
            <w:tcW w:w="8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40,396,600</w:t>
            </w: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447,136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(442,500) $</w:t>
            </w: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4,656</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14"/>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gridSpan w:val="7"/>
          </w:tcPr>
          <w:p>
            <w:pPr>
              <w:jc w:val="right"/>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Legacy SoundHound</w:t>
            </w:r>
          </w:p>
        </w:tc>
        <w:tc>
          <w:tcPr>
            <w:tcW w:w="140" w:type="dxa"/>
            <w:vAlign w:val="bottom"/>
          </w:tcPr>
          <w:p>
            <w:pPr>
              <w:spacing w:after="0"/>
              <w:rPr>
                <w:sz w:val="11"/>
                <w:szCs w:val="11"/>
                <w:color w:val="auto"/>
              </w:rPr>
            </w:pPr>
          </w:p>
        </w:tc>
        <w:tc>
          <w:tcPr>
            <w:tcW w:w="1420" w:type="dxa"/>
            <w:vAlign w:val="bottom"/>
            <w:gridSpan w:val="9"/>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Legacy SoundHound</w:t>
            </w:r>
          </w:p>
        </w:tc>
        <w:tc>
          <w:tcPr>
            <w:tcW w:w="140" w:type="dxa"/>
            <w:vAlign w:val="bottom"/>
          </w:tcPr>
          <w:p>
            <w:pPr>
              <w:spacing w:after="0"/>
              <w:rPr>
                <w:sz w:val="11"/>
                <w:szCs w:val="11"/>
                <w:color w:val="auto"/>
              </w:rPr>
            </w:pPr>
          </w:p>
        </w:tc>
        <w:tc>
          <w:tcPr>
            <w:tcW w:w="1360" w:type="dxa"/>
            <w:vAlign w:val="bottom"/>
            <w:gridSpan w:val="9"/>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200" w:type="dxa"/>
            <w:vAlign w:val="bottom"/>
            <w:gridSpan w:val="6"/>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B Common</w:t>
            </w:r>
          </w:p>
        </w:tc>
        <w:tc>
          <w:tcPr>
            <w:tcW w:w="160" w:type="dxa"/>
            <w:vAlign w:val="bottom"/>
          </w:tcPr>
          <w:p>
            <w:pPr>
              <w:spacing w:after="0"/>
              <w:rPr>
                <w:sz w:val="11"/>
                <w:szCs w:val="11"/>
                <w:color w:val="auto"/>
              </w:rPr>
            </w:pPr>
          </w:p>
        </w:tc>
        <w:tc>
          <w:tcPr>
            <w:tcW w:w="8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00" w:type="dxa"/>
            <w:vAlign w:val="bottom"/>
            <w:gridSpan w:val="5"/>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7"/>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Redeemable Convertible</w:t>
            </w:r>
          </w:p>
        </w:tc>
        <w:tc>
          <w:tcPr>
            <w:tcW w:w="140" w:type="dxa"/>
            <w:vAlign w:val="bottom"/>
          </w:tcPr>
          <w:p>
            <w:pPr>
              <w:spacing w:after="0"/>
              <w:rPr>
                <w:sz w:val="12"/>
                <w:szCs w:val="12"/>
                <w:color w:val="auto"/>
              </w:rPr>
            </w:pPr>
          </w:p>
        </w:tc>
        <w:tc>
          <w:tcPr>
            <w:tcW w:w="1420" w:type="dxa"/>
            <w:vAlign w:val="bottom"/>
            <w:gridSpan w:val="9"/>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9"/>
            <w:vMerge w:val="continue"/>
          </w:tcPr>
          <w:p>
            <w:pPr>
              <w:spacing w:after="0"/>
              <w:rPr>
                <w:sz w:val="12"/>
                <w:szCs w:val="12"/>
                <w:color w:val="auto"/>
              </w:rPr>
            </w:pPr>
          </w:p>
        </w:tc>
        <w:tc>
          <w:tcPr>
            <w:tcW w:w="120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7"/>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40" w:type="dxa"/>
            <w:vAlign w:val="bottom"/>
          </w:tcPr>
          <w:p>
            <w:pPr>
              <w:spacing w:after="0"/>
              <w:rPr>
                <w:sz w:val="15"/>
                <w:szCs w:val="15"/>
                <w:color w:val="auto"/>
              </w:rPr>
            </w:pPr>
          </w:p>
        </w:tc>
        <w:tc>
          <w:tcPr>
            <w:tcW w:w="1420" w:type="dxa"/>
            <w:vAlign w:val="bottom"/>
            <w:gridSpan w:val="9"/>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920" w:type="dxa"/>
            <w:vAlign w:val="bottom"/>
            <w:gridSpan w:val="6"/>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gridSpan w:val="6"/>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bottom w:val="single" w:sz="8" w:color="CCEEFF"/>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CCEEFF"/>
            </w:tcBorders>
          </w:tcPr>
          <w:p>
            <w:pPr>
              <w:spacing w:after="0"/>
              <w:rPr>
                <w:sz w:val="14"/>
                <w:szCs w:val="14"/>
                <w:color w:val="auto"/>
              </w:rPr>
            </w:pPr>
          </w:p>
        </w:tc>
        <w:tc>
          <w:tcPr>
            <w:tcW w:w="70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bottom w:val="single" w:sz="8" w:color="CCEEFF"/>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bottom w:val="single" w:sz="8" w:color="CCEEFF"/>
            </w:tcBorders>
            <w:gridSpan w:val="2"/>
          </w:tcPr>
          <w:p>
            <w:pPr>
              <w:spacing w:after="0"/>
              <w:rPr>
                <w:sz w:val="14"/>
                <w:szCs w:val="14"/>
                <w:color w:val="auto"/>
              </w:rPr>
            </w:pPr>
          </w:p>
        </w:tc>
        <w:tc>
          <w:tcPr>
            <w:tcW w:w="20" w:type="dxa"/>
            <w:vAlign w:val="bottom"/>
            <w:tcBorders>
              <w:top w:val="single" w:sz="8" w:color="auto"/>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CCEEFF"/>
            </w:tcBorders>
            <w:gridSpan w:val="2"/>
          </w:tcPr>
          <w:p>
            <w:pPr>
              <w:spacing w:after="0"/>
              <w:rPr>
                <w:sz w:val="14"/>
                <w:szCs w:val="14"/>
                <w:color w:val="auto"/>
              </w:rPr>
            </w:pPr>
          </w:p>
        </w:tc>
        <w:tc>
          <w:tcPr>
            <w:tcW w:w="5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Borders>
              <w:bottom w:val="single" w:sz="8" w:color="CCEEFF"/>
            </w:tcBorders>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340" w:type="dxa"/>
            <w:vAlign w:val="bottom"/>
            <w:gridSpan w:val="2"/>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 as of</w:t>
            </w:r>
          </w:p>
        </w:tc>
        <w:tc>
          <w:tcPr>
            <w:tcW w:w="1040" w:type="dxa"/>
            <w:vAlign w:val="bottom"/>
            <w:gridSpan w:val="4"/>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19,132,387</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273,687</w:t>
            </w:r>
          </w:p>
        </w:tc>
        <w:tc>
          <w:tcPr>
            <w:tcW w:w="140" w:type="dxa"/>
            <w:vAlign w:val="bottom"/>
            <w:tcBorders>
              <w:right w:val="single" w:sz="8" w:color="auto"/>
            </w:tcBorders>
            <w:shd w:val="clear" w:color="auto" w:fill="CCEEFF"/>
          </w:tcPr>
          <w:p>
            <w:pPr>
              <w:spacing w:after="0"/>
              <w:rPr>
                <w:sz w:val="9"/>
                <w:szCs w:val="9"/>
                <w:color w:val="auto"/>
              </w:rPr>
            </w:pPr>
          </w:p>
        </w:tc>
        <w:tc>
          <w:tcPr>
            <w:tcW w:w="7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11,818,761</w:t>
            </w:r>
          </w:p>
        </w:tc>
        <w:tc>
          <w:tcPr>
            <w:tcW w:w="3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9"/>
                <w:szCs w:val="9"/>
                <w:color w:val="auto"/>
              </w:rPr>
            </w:pPr>
          </w:p>
        </w:tc>
        <w:tc>
          <w:tcPr>
            <w:tcW w:w="6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gridSpan w:val="3"/>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30,836</w:t>
            </w:r>
          </w:p>
        </w:tc>
        <w:tc>
          <w:tcPr>
            <w:tcW w:w="2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9"/>
                <w:szCs w:val="9"/>
                <w:color w:val="auto"/>
              </w:rPr>
            </w:pPr>
          </w:p>
        </w:tc>
        <w:tc>
          <w:tcPr>
            <w:tcW w:w="20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(307,189)</w:t>
            </w:r>
          </w:p>
        </w:tc>
        <w:tc>
          <w:tcPr>
            <w:tcW w:w="120" w:type="dxa"/>
            <w:vAlign w:val="bottom"/>
            <w:shd w:val="clear" w:color="auto" w:fill="CCEEFF"/>
          </w:tcPr>
          <w:p>
            <w:pPr>
              <w:spacing w:after="0"/>
              <w:rPr>
                <w:sz w:val="9"/>
                <w:szCs w:val="9"/>
                <w:color w:val="auto"/>
              </w:rPr>
            </w:pPr>
          </w:p>
        </w:tc>
        <w:tc>
          <w:tcPr>
            <w:tcW w:w="1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(276,353)</w:t>
            </w:r>
          </w:p>
        </w:tc>
        <w:tc>
          <w:tcPr>
            <w:tcW w:w="0" w:type="dxa"/>
            <w:vAlign w:val="bottom"/>
          </w:tcPr>
          <w:p>
            <w:pPr>
              <w:spacing w:after="0"/>
              <w:rPr>
                <w:sz w:val="1"/>
                <w:szCs w:val="1"/>
                <w:color w:val="auto"/>
              </w:rPr>
            </w:pPr>
          </w:p>
        </w:tc>
      </w:tr>
      <w:tr>
        <w:trPr>
          <w:trHeight w:val="173"/>
        </w:trPr>
        <w:tc>
          <w:tcPr>
            <w:tcW w:w="1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40" w:type="dxa"/>
            <w:vAlign w:val="bottom"/>
            <w:gridSpan w:val="4"/>
            <w:vMerge w:val="continue"/>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540" w:type="dxa"/>
            <w:vAlign w:val="bottom"/>
            <w:tcBorders>
              <w:right w:val="single" w:sz="8" w:color="CCEEFF"/>
            </w:tcBorders>
            <w:gridSpan w:val="2"/>
            <w:vMerge w:val="continue"/>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740" w:type="dxa"/>
            <w:vAlign w:val="bottom"/>
            <w:gridSpan w:val="3"/>
            <w:vMerge w:val="continue"/>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340" w:type="dxa"/>
            <w:vAlign w:val="bottom"/>
            <w:gridSpan w:val="4"/>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gridSpan w:val="3"/>
            <w:vMerge w:val="continue"/>
            <w:shd w:val="clear" w:color="auto" w:fill="CCEEFF"/>
          </w:tcPr>
          <w:p>
            <w:pPr>
              <w:spacing w:after="0"/>
              <w:rPr>
                <w:sz w:val="15"/>
                <w:szCs w:val="15"/>
                <w:color w:val="auto"/>
              </w:rPr>
            </w:pPr>
          </w:p>
        </w:tc>
        <w:tc>
          <w:tcPr>
            <w:tcW w:w="300" w:type="dxa"/>
            <w:vAlign w:val="bottom"/>
            <w:gridSpan w:val="3"/>
            <w:vMerge w:val="continue"/>
            <w:shd w:val="clear" w:color="auto" w:fill="CCEEFF"/>
          </w:tcPr>
          <w:p>
            <w:pPr>
              <w:spacing w:after="0"/>
              <w:rPr>
                <w:sz w:val="15"/>
                <w:szCs w:val="15"/>
                <w:color w:val="auto"/>
              </w:rPr>
            </w:pPr>
          </w:p>
        </w:tc>
        <w:tc>
          <w:tcPr>
            <w:tcW w:w="440" w:type="dxa"/>
            <w:vAlign w:val="bottom"/>
            <w:gridSpan w:val="3"/>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300" w:type="dxa"/>
            <w:vAlign w:val="bottom"/>
            <w:gridSpan w:val="3"/>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gridSpan w:val="3"/>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gridSpan w:val="2"/>
            <w:vMerge w:val="continue"/>
            <w:shd w:val="clear" w:color="auto" w:fill="CCEEFF"/>
          </w:tcPr>
          <w:p>
            <w:pPr>
              <w:spacing w:after="0"/>
              <w:rPr>
                <w:sz w:val="15"/>
                <w:szCs w:val="15"/>
                <w:color w:val="auto"/>
              </w:rPr>
            </w:pPr>
          </w:p>
        </w:tc>
        <w:tc>
          <w:tcPr>
            <w:tcW w:w="62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320" w:type="dxa"/>
            <w:vAlign w:val="bottom"/>
            <w:tcBorders>
              <w:right w:val="single" w:sz="8" w:color="auto"/>
            </w:tcBorders>
            <w:gridSpan w:val="11"/>
          </w:tcPr>
          <w:p>
            <w:pPr>
              <w:spacing w:after="0" w:line="126" w:lineRule="exact"/>
              <w:rPr>
                <w:sz w:val="20"/>
                <w:szCs w:val="20"/>
                <w:color w:val="auto"/>
              </w:rPr>
            </w:pPr>
            <w:r>
              <w:rPr>
                <w:rFonts w:ascii="Times New Roman" w:cs="Times New Roman" w:eastAsia="Times New Roman" w:hAnsi="Times New Roman"/>
                <w:sz w:val="14"/>
                <w:szCs w:val="14"/>
                <w:color w:val="auto"/>
              </w:rPr>
              <w:t>Retroactive</w:t>
            </w:r>
          </w:p>
        </w:tc>
        <w:tc>
          <w:tcPr>
            <w:tcW w:w="7920" w:type="dxa"/>
            <w:vAlign w:val="bottom"/>
            <w:gridSpan w:val="47"/>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20" w:type="dxa"/>
            <w:vAlign w:val="bottom"/>
            <w:tcBorders>
              <w:right w:val="single" w:sz="8" w:color="auto"/>
            </w:tcBorders>
            <w:gridSpan w:val="11"/>
          </w:tcPr>
          <w:p>
            <w:pPr>
              <w:ind w:left="180"/>
              <w:spacing w:after="0" w:line="149" w:lineRule="exact"/>
              <w:rPr>
                <w:sz w:val="20"/>
                <w:szCs w:val="20"/>
                <w:color w:val="auto"/>
              </w:rPr>
            </w:pPr>
            <w:r>
              <w:rPr>
                <w:rFonts w:ascii="Times New Roman" w:cs="Times New Roman" w:eastAsia="Times New Roman" w:hAnsi="Times New Roman"/>
                <w:sz w:val="14"/>
                <w:szCs w:val="14"/>
                <w:color w:val="auto"/>
              </w:rPr>
              <w:t>application of</w:t>
            </w:r>
          </w:p>
        </w:tc>
        <w:tc>
          <w:tcPr>
            <w:tcW w:w="7920" w:type="dxa"/>
            <w:vAlign w:val="bottom"/>
            <w:gridSpan w:val="47"/>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Borders>
              <w:right w:val="single" w:sz="8" w:color="auto"/>
            </w:tcBorders>
            <w:gridSpan w:val="11"/>
          </w:tcPr>
          <w:p>
            <w:pPr>
              <w:ind w:left="180"/>
              <w:spacing w:after="0" w:line="149" w:lineRule="exact"/>
              <w:rPr>
                <w:sz w:val="20"/>
                <w:szCs w:val="20"/>
                <w:color w:val="auto"/>
              </w:rPr>
            </w:pPr>
            <w:r>
              <w:rPr>
                <w:rFonts w:ascii="Times New Roman" w:cs="Times New Roman" w:eastAsia="Times New Roman" w:hAnsi="Times New Roman"/>
                <w:sz w:val="14"/>
                <w:szCs w:val="14"/>
                <w:color w:val="auto"/>
              </w:rPr>
              <w:t>Business</w:t>
            </w:r>
          </w:p>
        </w:tc>
        <w:tc>
          <w:tcPr>
            <w:tcW w:w="7920" w:type="dxa"/>
            <w:vAlign w:val="bottom"/>
            <w:gridSpan w:val="47"/>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tcBorders>
              <w:right w:val="single" w:sz="8" w:color="auto"/>
            </w:tcBorders>
            <w:gridSpan w:val="11"/>
          </w:tcPr>
          <w:p>
            <w:pPr>
              <w:ind w:left="180"/>
              <w:spacing w:after="0" w:line="149" w:lineRule="exact"/>
              <w:rPr>
                <w:sz w:val="20"/>
                <w:szCs w:val="20"/>
                <w:color w:val="auto"/>
              </w:rPr>
            </w:pPr>
            <w:r>
              <w:rPr>
                <w:rFonts w:ascii="Times New Roman" w:cs="Times New Roman" w:eastAsia="Times New Roman" w:hAnsi="Times New Roman"/>
                <w:sz w:val="14"/>
                <w:szCs w:val="14"/>
                <w:color w:val="auto"/>
              </w:rPr>
              <w:t>Combination (Note</w:t>
            </w:r>
          </w:p>
        </w:tc>
        <w:tc>
          <w:tcPr>
            <w:tcW w:w="7920" w:type="dxa"/>
            <w:vAlign w:val="bottom"/>
            <w:gridSpan w:val="47"/>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87,171,583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spacing w:after="0"/>
              <w:rPr>
                <w:sz w:val="16"/>
                <w:szCs w:val="16"/>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53,849,015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0"/>
        </w:trPr>
        <w:tc>
          <w:tcPr>
            <w:tcW w:w="1420" w:type="dxa"/>
            <w:vAlign w:val="bottom"/>
            <w:tcBorders>
              <w:top w:val="single" w:sz="8" w:color="CCEEFF"/>
            </w:tcBorders>
            <w:gridSpan w:val="3"/>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Adjusted balance,</w:t>
            </w:r>
          </w:p>
        </w:tc>
        <w:tc>
          <w:tcPr>
            <w:tcW w:w="840" w:type="dxa"/>
            <w:vAlign w:val="bottom"/>
            <w:tcBorders>
              <w:top w:val="single" w:sz="8" w:color="auto"/>
            </w:tcBorders>
            <w:gridSpan w:val="2"/>
            <w:shd w:val="clear" w:color="auto" w:fill="CCEEFF"/>
          </w:tcPr>
          <w:p>
            <w:pPr>
              <w:spacing w:after="0"/>
              <w:rPr>
                <w:sz w:val="9"/>
                <w:szCs w:val="9"/>
                <w:color w:val="auto"/>
              </w:rPr>
            </w:pPr>
          </w:p>
        </w:tc>
        <w:tc>
          <w:tcPr>
            <w:tcW w:w="240" w:type="dxa"/>
            <w:vAlign w:val="bottom"/>
            <w:tcBorders>
              <w:top w:val="single" w:sz="8" w:color="CCEEFF"/>
            </w:tcBorders>
            <w:gridSpan w:val="2"/>
            <w:shd w:val="clear" w:color="auto" w:fill="CCEEFF"/>
          </w:tcPr>
          <w:p>
            <w:pPr>
              <w:spacing w:after="0"/>
              <w:rPr>
                <w:sz w:val="9"/>
                <w:szCs w:val="9"/>
                <w:color w:val="auto"/>
              </w:rPr>
            </w:pPr>
          </w:p>
        </w:tc>
        <w:tc>
          <w:tcPr>
            <w:tcW w:w="680" w:type="dxa"/>
            <w:vAlign w:val="bottom"/>
            <w:tcBorders>
              <w:top w:val="single" w:sz="8" w:color="auto"/>
              <w:right w:val="single" w:sz="8" w:color="CCEEFF"/>
            </w:tcBorders>
            <w:gridSpan w:val="3"/>
            <w:shd w:val="clear" w:color="auto" w:fill="CCEEFF"/>
          </w:tcPr>
          <w:p>
            <w:pPr>
              <w:spacing w:after="0"/>
              <w:rPr>
                <w:sz w:val="9"/>
                <w:szCs w:val="9"/>
                <w:color w:val="auto"/>
              </w:rPr>
            </w:pPr>
          </w:p>
        </w:tc>
        <w:tc>
          <w:tcPr>
            <w:tcW w:w="140" w:type="dxa"/>
            <w:vAlign w:val="bottom"/>
            <w:tcBorders>
              <w:top w:val="single" w:sz="8" w:color="CCEEFF"/>
              <w:right w:val="single" w:sz="8" w:color="auto"/>
            </w:tcBorders>
            <w:shd w:val="clear" w:color="auto" w:fill="CCEEFF"/>
          </w:tcPr>
          <w:p>
            <w:pPr>
              <w:spacing w:after="0"/>
              <w:rPr>
                <w:sz w:val="9"/>
                <w:szCs w:val="9"/>
                <w:color w:val="auto"/>
              </w:rPr>
            </w:pPr>
          </w:p>
        </w:tc>
        <w:tc>
          <w:tcPr>
            <w:tcW w:w="700" w:type="dxa"/>
            <w:vAlign w:val="bottom"/>
            <w:tcBorders>
              <w:top w:val="single" w:sz="8" w:color="auto"/>
            </w:tcBorders>
            <w:gridSpan w:val="2"/>
            <w:shd w:val="clear" w:color="auto" w:fill="CCEEFF"/>
          </w:tcPr>
          <w:p>
            <w:pPr>
              <w:spacing w:after="0"/>
              <w:rPr>
                <w:sz w:val="9"/>
                <w:szCs w:val="9"/>
                <w:color w:val="auto"/>
              </w:rPr>
            </w:pPr>
          </w:p>
        </w:tc>
        <w:tc>
          <w:tcPr>
            <w:tcW w:w="160" w:type="dxa"/>
            <w:vAlign w:val="bottom"/>
            <w:tcBorders>
              <w:top w:val="single" w:sz="8" w:color="CCEEFF"/>
            </w:tcBorders>
            <w:gridSpan w:val="2"/>
            <w:shd w:val="clear" w:color="auto" w:fill="CCEEFF"/>
          </w:tcPr>
          <w:p>
            <w:pPr>
              <w:spacing w:after="0"/>
              <w:rPr>
                <w:sz w:val="9"/>
                <w:szCs w:val="9"/>
                <w:color w:val="auto"/>
              </w:rPr>
            </w:pPr>
          </w:p>
        </w:tc>
        <w:tc>
          <w:tcPr>
            <w:tcW w:w="540" w:type="dxa"/>
            <w:vAlign w:val="bottom"/>
            <w:tcBorders>
              <w:top w:val="single" w:sz="8" w:color="auto"/>
            </w:tcBorders>
            <w:gridSpan w:val="4"/>
            <w:shd w:val="clear" w:color="auto" w:fill="CCEEFF"/>
          </w:tcPr>
          <w:p>
            <w:pPr>
              <w:spacing w:after="0"/>
              <w:rPr>
                <w:sz w:val="9"/>
                <w:szCs w:val="9"/>
                <w:color w:val="auto"/>
              </w:rPr>
            </w:pPr>
          </w:p>
        </w:tc>
        <w:tc>
          <w:tcPr>
            <w:tcW w:w="160" w:type="dxa"/>
            <w:vAlign w:val="bottom"/>
            <w:tcBorders>
              <w:top w:val="single" w:sz="8" w:color="CCEEFF"/>
            </w:tcBorders>
            <w:gridSpan w:val="2"/>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gridSpan w:val="3"/>
            <w:shd w:val="clear" w:color="auto" w:fill="CCEEFF"/>
          </w:tcPr>
          <w:p>
            <w:pPr>
              <w:spacing w:after="0"/>
              <w:rPr>
                <w:sz w:val="9"/>
                <w:szCs w:val="9"/>
                <w:color w:val="auto"/>
              </w:rPr>
            </w:pPr>
          </w:p>
        </w:tc>
        <w:tc>
          <w:tcPr>
            <w:tcW w:w="540" w:type="dxa"/>
            <w:vAlign w:val="bottom"/>
            <w:tcBorders>
              <w:top w:val="single" w:sz="8" w:color="auto"/>
            </w:tcBorders>
            <w:gridSpan w:val="3"/>
            <w:shd w:val="clear" w:color="auto" w:fill="CCEEFF"/>
          </w:tcPr>
          <w:p>
            <w:pPr>
              <w:spacing w:after="0"/>
              <w:rPr>
                <w:sz w:val="9"/>
                <w:szCs w:val="9"/>
                <w:color w:val="auto"/>
              </w:rPr>
            </w:pPr>
          </w:p>
        </w:tc>
        <w:tc>
          <w:tcPr>
            <w:tcW w:w="180" w:type="dxa"/>
            <w:vAlign w:val="bottom"/>
            <w:tcBorders>
              <w:top w:val="single" w:sz="8" w:color="CCEEFF"/>
            </w:tcBorders>
            <w:gridSpan w:val="2"/>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gridSpan w:val="4"/>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gridSpan w:val="3"/>
            <w:shd w:val="clear" w:color="auto" w:fill="CCEEFF"/>
          </w:tcPr>
          <w:p>
            <w:pPr>
              <w:spacing w:after="0"/>
              <w:rPr>
                <w:sz w:val="9"/>
                <w:szCs w:val="9"/>
                <w:color w:val="auto"/>
              </w:rPr>
            </w:pPr>
          </w:p>
        </w:tc>
        <w:tc>
          <w:tcPr>
            <w:tcW w:w="160" w:type="dxa"/>
            <w:vAlign w:val="bottom"/>
            <w:tcBorders>
              <w:top w:val="single" w:sz="8" w:color="CCEEFF"/>
            </w:tcBorders>
            <w:gridSpan w:val="2"/>
            <w:shd w:val="clear" w:color="auto" w:fill="CCEEFF"/>
          </w:tcPr>
          <w:p>
            <w:pPr>
              <w:spacing w:after="0"/>
              <w:rPr>
                <w:sz w:val="9"/>
                <w:szCs w:val="9"/>
                <w:color w:val="auto"/>
              </w:rPr>
            </w:pPr>
          </w:p>
        </w:tc>
        <w:tc>
          <w:tcPr>
            <w:tcW w:w="940" w:type="dxa"/>
            <w:vAlign w:val="bottom"/>
            <w:tcBorders>
              <w:top w:val="single" w:sz="8" w:color="auto"/>
            </w:tcBorders>
            <w:gridSpan w:val="3"/>
            <w:shd w:val="clear" w:color="auto" w:fill="CCEEFF"/>
          </w:tcPr>
          <w:p>
            <w:pPr>
              <w:spacing w:after="0"/>
              <w:rPr>
                <w:sz w:val="9"/>
                <w:szCs w:val="9"/>
                <w:color w:val="auto"/>
              </w:rPr>
            </w:pPr>
          </w:p>
        </w:tc>
        <w:tc>
          <w:tcPr>
            <w:tcW w:w="180" w:type="dxa"/>
            <w:vAlign w:val="bottom"/>
            <w:tcBorders>
              <w:top w:val="single" w:sz="8" w:color="CCEEFF"/>
            </w:tcBorders>
            <w:gridSpan w:val="3"/>
            <w:shd w:val="clear" w:color="auto" w:fill="CCEEFF"/>
          </w:tcPr>
          <w:p>
            <w:pPr>
              <w:spacing w:after="0"/>
              <w:rPr>
                <w:sz w:val="9"/>
                <w:szCs w:val="9"/>
                <w:color w:val="auto"/>
              </w:rPr>
            </w:pPr>
          </w:p>
        </w:tc>
        <w:tc>
          <w:tcPr>
            <w:tcW w:w="820" w:type="dxa"/>
            <w:vAlign w:val="bottom"/>
            <w:tcBorders>
              <w:top w:val="single" w:sz="8" w:color="auto"/>
            </w:tcBorders>
            <w:gridSpan w:val="3"/>
            <w:shd w:val="clear" w:color="auto" w:fill="CCEEFF"/>
          </w:tcPr>
          <w:p>
            <w:pPr>
              <w:spacing w:after="0"/>
              <w:rPr>
                <w:sz w:val="9"/>
                <w:szCs w:val="9"/>
                <w:color w:val="auto"/>
              </w:rPr>
            </w:pPr>
          </w:p>
        </w:tc>
        <w:tc>
          <w:tcPr>
            <w:tcW w:w="180" w:type="dxa"/>
            <w:vAlign w:val="bottom"/>
            <w:tcBorders>
              <w:top w:val="single" w:sz="8" w:color="CCEEFF"/>
            </w:tcBorders>
            <w:gridSpan w:val="2"/>
            <w:shd w:val="clear" w:color="auto" w:fill="CCEEFF"/>
          </w:tcPr>
          <w:p>
            <w:pPr>
              <w:spacing w:after="0"/>
              <w:rPr>
                <w:sz w:val="9"/>
                <w:szCs w:val="9"/>
                <w:color w:val="auto"/>
              </w:rPr>
            </w:pPr>
          </w:p>
        </w:tc>
        <w:tc>
          <w:tcPr>
            <w:tcW w:w="620" w:type="dxa"/>
            <w:vAlign w:val="bottom"/>
            <w:tcBorders>
              <w:top w:val="single" w:sz="8" w:color="auto"/>
            </w:tcBorders>
            <w:gridSpan w:val="3"/>
            <w:shd w:val="clear" w:color="auto" w:fill="CCEEFF"/>
          </w:tcPr>
          <w:p>
            <w:pPr>
              <w:spacing w:after="0"/>
              <w:rPr>
                <w:sz w:val="9"/>
                <w:szCs w:val="9"/>
                <w:color w:val="auto"/>
              </w:rPr>
            </w:pPr>
          </w:p>
        </w:tc>
        <w:tc>
          <w:tcPr>
            <w:tcW w:w="100" w:type="dxa"/>
            <w:vAlign w:val="bottom"/>
            <w:tcBorders>
              <w:top w:val="single" w:sz="8" w:color="CCEEFF"/>
            </w:tcBorders>
            <w:gridSpan w:val="2"/>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3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040" w:type="dxa"/>
            <w:vAlign w:val="bottom"/>
            <w:gridSpan w:val="4"/>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106,303,970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273,687</w:t>
            </w:r>
          </w:p>
        </w:tc>
        <w:tc>
          <w:tcPr>
            <w:tcW w:w="140" w:type="dxa"/>
            <w:vAlign w:val="bottom"/>
            <w:tcBorders>
              <w:right w:val="single" w:sz="8" w:color="auto"/>
            </w:tcBorders>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65,667,776</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6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30,836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(307,189)</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(276,353)</w:t>
            </w:r>
          </w:p>
        </w:tc>
        <w:tc>
          <w:tcPr>
            <w:tcW w:w="0" w:type="dxa"/>
            <w:vAlign w:val="bottom"/>
          </w:tcPr>
          <w:p>
            <w:pPr>
              <w:spacing w:after="0"/>
              <w:rPr>
                <w:sz w:val="1"/>
                <w:szCs w:val="1"/>
                <w:color w:val="auto"/>
              </w:rPr>
            </w:pPr>
          </w:p>
        </w:tc>
      </w:tr>
      <w:tr>
        <w:trPr>
          <w:trHeight w:val="173"/>
        </w:trPr>
        <w:tc>
          <w:tcPr>
            <w:tcW w:w="1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40" w:type="dxa"/>
            <w:vAlign w:val="bottom"/>
            <w:gridSpan w:val="4"/>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tcBorders>
              <w:right w:val="single" w:sz="8" w:color="CCEEFF"/>
            </w:tcBorders>
            <w:gridSpan w:val="2"/>
            <w:vMerge w:val="continue"/>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74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gridSpan w:val="4"/>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gridSpan w:val="3"/>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gridSpan w:val="3"/>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320" w:type="dxa"/>
            <w:vAlign w:val="bottom"/>
            <w:tcBorders>
              <w:right w:val="single" w:sz="8" w:color="auto"/>
            </w:tcBorders>
            <w:gridSpan w:val="11"/>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w:t>
            </w:r>
          </w:p>
        </w:tc>
        <w:tc>
          <w:tcPr>
            <w:tcW w:w="7920" w:type="dxa"/>
            <w:vAlign w:val="bottom"/>
            <w:gridSpan w:val="47"/>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 upon exercise</w:t>
            </w:r>
          </w:p>
        </w:tc>
        <w:tc>
          <w:tcPr>
            <w:tcW w:w="80" w:type="dxa"/>
            <w:vAlign w:val="bottom"/>
          </w:tcPr>
          <w:p>
            <w:pPr>
              <w:spacing w:after="0"/>
              <w:rPr>
                <w:sz w:val="12"/>
                <w:szCs w:val="12"/>
                <w:color w:val="auto"/>
              </w:rPr>
            </w:pPr>
          </w:p>
        </w:tc>
        <w:tc>
          <w:tcPr>
            <w:tcW w:w="9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spacing w:after="0"/>
              <w:rPr>
                <w:sz w:val="12"/>
                <w:szCs w:val="12"/>
                <w:color w:val="auto"/>
              </w:rPr>
            </w:pPr>
          </w:p>
        </w:tc>
        <w:tc>
          <w:tcPr>
            <w:tcW w:w="7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1,966,115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1,672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of stock options</w:t>
            </w:r>
          </w:p>
        </w:tc>
        <w:tc>
          <w:tcPr>
            <w:tcW w:w="8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w:t>
            </w:r>
          </w:p>
        </w:tc>
        <w:tc>
          <w:tcPr>
            <w:tcW w:w="80" w:type="dxa"/>
            <w:vAlign w:val="bottom"/>
            <w:shd w:val="clear" w:color="auto" w:fill="CCEEFF"/>
          </w:tcPr>
          <w:p>
            <w:pPr>
              <w:spacing w:after="0"/>
              <w:rPr>
                <w:sz w:val="10"/>
                <w:szCs w:val="10"/>
                <w:color w:val="auto"/>
              </w:rPr>
            </w:pPr>
          </w:p>
        </w:tc>
        <w:tc>
          <w:tcPr>
            <w:tcW w:w="9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4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6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3,842</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3,842</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warrants</w:t>
            </w:r>
          </w:p>
        </w:tc>
        <w:tc>
          <w:tcPr>
            <w:tcW w:w="80" w:type="dxa"/>
            <w:vAlign w:val="bottom"/>
            <w:shd w:val="clear" w:color="auto" w:fill="CCEEFF"/>
          </w:tcPr>
          <w:p>
            <w:pPr>
              <w:spacing w:after="0"/>
              <w:rPr>
                <w:sz w:val="14"/>
                <w:szCs w:val="14"/>
                <w:color w:val="auto"/>
              </w:rPr>
            </w:pPr>
          </w:p>
        </w:tc>
        <w:tc>
          <w:tcPr>
            <w:tcW w:w="96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tcBorders>
              <w:right w:val="single" w:sz="8" w:color="CCEEFF"/>
            </w:tcBorders>
            <w:gridSpan w:val="2"/>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gridSpan w:val="4"/>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gridSpan w:val="3"/>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Other comprehensive</w:t>
            </w:r>
          </w:p>
        </w:tc>
        <w:tc>
          <w:tcPr>
            <w:tcW w:w="80" w:type="dxa"/>
            <w:vAlign w:val="bottom"/>
          </w:tcPr>
          <w:p>
            <w:pPr>
              <w:spacing w:after="0"/>
              <w:rPr>
                <w:sz w:val="10"/>
                <w:szCs w:val="10"/>
                <w:color w:val="auto"/>
              </w:rPr>
            </w:pPr>
          </w:p>
        </w:tc>
        <w:tc>
          <w:tcPr>
            <w:tcW w:w="9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spacing w:after="0"/>
              <w:rPr>
                <w:sz w:val="10"/>
                <w:szCs w:val="10"/>
                <w:color w:val="auto"/>
              </w:rPr>
            </w:pPr>
          </w:p>
        </w:tc>
        <w:tc>
          <w:tcPr>
            <w:tcW w:w="7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gain, net of tax</w:t>
            </w:r>
          </w:p>
        </w:tc>
        <w:tc>
          <w:tcPr>
            <w:tcW w:w="8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80" w:type="dxa"/>
            <w:vAlign w:val="bottom"/>
            <w:shd w:val="clear" w:color="auto" w:fill="CCEEFF"/>
          </w:tcPr>
          <w:p>
            <w:pPr>
              <w:spacing w:after="0"/>
              <w:rPr>
                <w:sz w:val="10"/>
                <w:szCs w:val="10"/>
                <w:color w:val="auto"/>
              </w:rPr>
            </w:pPr>
          </w:p>
        </w:tc>
        <w:tc>
          <w:tcPr>
            <w:tcW w:w="9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4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6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2,734</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2,734</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compensation</w:t>
            </w:r>
          </w:p>
        </w:tc>
        <w:tc>
          <w:tcPr>
            <w:tcW w:w="80" w:type="dxa"/>
            <w:vAlign w:val="bottom"/>
            <w:shd w:val="clear" w:color="auto" w:fill="CCEEFF"/>
          </w:tcPr>
          <w:p>
            <w:pPr>
              <w:spacing w:after="0"/>
              <w:rPr>
                <w:sz w:val="14"/>
                <w:szCs w:val="14"/>
                <w:color w:val="auto"/>
              </w:rPr>
            </w:pPr>
          </w:p>
        </w:tc>
        <w:tc>
          <w:tcPr>
            <w:tcW w:w="96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tcBorders>
              <w:right w:val="single" w:sz="8" w:color="CCEEFF"/>
            </w:tcBorders>
            <w:gridSpan w:val="2"/>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gridSpan w:val="4"/>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gridSpan w:val="3"/>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14"/>
                <w:szCs w:val="14"/>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spacing w:after="0"/>
              <w:rPr>
                <w:sz w:val="14"/>
                <w:szCs w:val="14"/>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(33,912)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(33,912)</w:t>
            </w:r>
          </w:p>
        </w:tc>
        <w:tc>
          <w:tcPr>
            <w:tcW w:w="0" w:type="dxa"/>
            <w:vAlign w:val="bottom"/>
          </w:tcPr>
          <w:p>
            <w:pPr>
              <w:spacing w:after="0"/>
              <w:rPr>
                <w:sz w:val="1"/>
                <w:szCs w:val="1"/>
                <w:color w:val="auto"/>
              </w:rPr>
            </w:pPr>
          </w:p>
        </w:tc>
      </w:tr>
      <w:tr>
        <w:trPr>
          <w:trHeight w:val="149"/>
        </w:trPr>
        <w:tc>
          <w:tcPr>
            <w:tcW w:w="1420" w:type="dxa"/>
            <w:vAlign w:val="bottom"/>
            <w:tcBorders>
              <w:top w:val="single" w:sz="8" w:color="CCEEFF"/>
            </w:tcBorders>
            <w:gridSpan w:val="3"/>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spacing w:after="0"/>
              <w:rPr>
                <w:sz w:val="12"/>
                <w:szCs w:val="12"/>
                <w:color w:val="auto"/>
              </w:rPr>
            </w:pPr>
          </w:p>
        </w:tc>
        <w:tc>
          <w:tcPr>
            <w:tcW w:w="240" w:type="dxa"/>
            <w:vAlign w:val="bottom"/>
            <w:tcBorders>
              <w:top w:val="single" w:sz="8" w:color="CCEEFF"/>
            </w:tcBorders>
            <w:gridSpan w:val="2"/>
            <w:shd w:val="clear" w:color="auto" w:fill="CCEEFF"/>
          </w:tcPr>
          <w:p>
            <w:pPr>
              <w:spacing w:after="0"/>
              <w:rPr>
                <w:sz w:val="12"/>
                <w:szCs w:val="12"/>
                <w:color w:val="auto"/>
              </w:rPr>
            </w:pPr>
          </w:p>
        </w:tc>
        <w:tc>
          <w:tcPr>
            <w:tcW w:w="680" w:type="dxa"/>
            <w:vAlign w:val="bottom"/>
            <w:tcBorders>
              <w:top w:val="single" w:sz="8" w:color="auto"/>
              <w:right w:val="single" w:sz="8" w:color="CCEEFF"/>
            </w:tcBorders>
            <w:gridSpan w:val="3"/>
            <w:shd w:val="clear" w:color="auto" w:fill="CCEEFF"/>
          </w:tcPr>
          <w:p>
            <w:pPr>
              <w:spacing w:after="0"/>
              <w:rPr>
                <w:sz w:val="12"/>
                <w:szCs w:val="12"/>
                <w:color w:val="auto"/>
              </w:rPr>
            </w:pPr>
          </w:p>
        </w:tc>
        <w:tc>
          <w:tcPr>
            <w:tcW w:w="140" w:type="dxa"/>
            <w:vAlign w:val="bottom"/>
            <w:tcBorders>
              <w:top w:val="single" w:sz="8" w:color="CCEEFF"/>
              <w:right w:val="single" w:sz="8" w:color="auto"/>
            </w:tcBorders>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spacing w:after="0"/>
              <w:rPr>
                <w:sz w:val="12"/>
                <w:szCs w:val="12"/>
                <w:color w:val="auto"/>
              </w:rPr>
            </w:pPr>
          </w:p>
        </w:tc>
        <w:tc>
          <w:tcPr>
            <w:tcW w:w="540" w:type="dxa"/>
            <w:vAlign w:val="bottom"/>
            <w:tcBorders>
              <w:top w:val="single" w:sz="8" w:color="auto"/>
            </w:tcBorders>
            <w:gridSpan w:val="4"/>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gridSpan w:val="3"/>
            <w:shd w:val="clear" w:color="auto" w:fill="CCEEFF"/>
          </w:tcPr>
          <w:p>
            <w:pPr>
              <w:spacing w:after="0"/>
              <w:rPr>
                <w:sz w:val="12"/>
                <w:szCs w:val="12"/>
                <w:color w:val="auto"/>
              </w:rPr>
            </w:pPr>
          </w:p>
        </w:tc>
        <w:tc>
          <w:tcPr>
            <w:tcW w:w="540" w:type="dxa"/>
            <w:vAlign w:val="bottom"/>
            <w:tcBorders>
              <w:top w:val="single" w:sz="8" w:color="auto"/>
            </w:tcBorders>
            <w:gridSpan w:val="3"/>
            <w:shd w:val="clear" w:color="auto" w:fill="CCEEFF"/>
          </w:tcPr>
          <w:p>
            <w:pPr>
              <w:spacing w:after="0"/>
              <w:rPr>
                <w:sz w:val="12"/>
                <w:szCs w:val="12"/>
                <w:color w:val="auto"/>
              </w:rPr>
            </w:pPr>
          </w:p>
        </w:tc>
        <w:tc>
          <w:tcPr>
            <w:tcW w:w="180" w:type="dxa"/>
            <w:vAlign w:val="bottom"/>
            <w:tcBorders>
              <w:top w:val="single" w:sz="8" w:color="CCEEFF"/>
            </w:tcBorders>
            <w:gridSpan w:val="2"/>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gridSpan w:val="4"/>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gridSpan w:val="3"/>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spacing w:after="0"/>
              <w:rPr>
                <w:sz w:val="12"/>
                <w:szCs w:val="12"/>
                <w:color w:val="auto"/>
              </w:rPr>
            </w:pPr>
          </w:p>
        </w:tc>
        <w:tc>
          <w:tcPr>
            <w:tcW w:w="940" w:type="dxa"/>
            <w:vAlign w:val="bottom"/>
            <w:tcBorders>
              <w:top w:val="single" w:sz="8" w:color="auto"/>
            </w:tcBorders>
            <w:gridSpan w:val="3"/>
            <w:shd w:val="clear" w:color="auto" w:fill="CCEEFF"/>
          </w:tcPr>
          <w:p>
            <w:pPr>
              <w:spacing w:after="0"/>
              <w:rPr>
                <w:sz w:val="12"/>
                <w:szCs w:val="12"/>
                <w:color w:val="auto"/>
              </w:rPr>
            </w:pPr>
          </w:p>
        </w:tc>
        <w:tc>
          <w:tcPr>
            <w:tcW w:w="180" w:type="dxa"/>
            <w:vAlign w:val="bottom"/>
            <w:tcBorders>
              <w:top w:val="single" w:sz="8" w:color="CCEEFF"/>
            </w:tcBorders>
            <w:gridSpan w:val="3"/>
            <w:shd w:val="clear" w:color="auto" w:fill="CCEEFF"/>
          </w:tcPr>
          <w:p>
            <w:pPr>
              <w:spacing w:after="0"/>
              <w:rPr>
                <w:sz w:val="12"/>
                <w:szCs w:val="12"/>
                <w:color w:val="auto"/>
              </w:rPr>
            </w:pPr>
          </w:p>
        </w:tc>
        <w:tc>
          <w:tcPr>
            <w:tcW w:w="820" w:type="dxa"/>
            <w:vAlign w:val="bottom"/>
            <w:tcBorders>
              <w:top w:val="single" w:sz="8" w:color="auto"/>
            </w:tcBorders>
            <w:gridSpan w:val="3"/>
            <w:shd w:val="clear" w:color="auto" w:fill="CCEEFF"/>
          </w:tcPr>
          <w:p>
            <w:pPr>
              <w:spacing w:after="0"/>
              <w:rPr>
                <w:sz w:val="12"/>
                <w:szCs w:val="12"/>
                <w:color w:val="auto"/>
              </w:rPr>
            </w:pPr>
          </w:p>
        </w:tc>
        <w:tc>
          <w:tcPr>
            <w:tcW w:w="180" w:type="dxa"/>
            <w:vAlign w:val="bottom"/>
            <w:tcBorders>
              <w:top w:val="single" w:sz="8" w:color="CCEEFF"/>
            </w:tcBorders>
            <w:gridSpan w:val="2"/>
            <w:shd w:val="clear" w:color="auto" w:fill="CCEEFF"/>
          </w:tcPr>
          <w:p>
            <w:pPr>
              <w:spacing w:after="0"/>
              <w:rPr>
                <w:sz w:val="12"/>
                <w:szCs w:val="12"/>
                <w:color w:val="auto"/>
              </w:rPr>
            </w:pPr>
          </w:p>
        </w:tc>
        <w:tc>
          <w:tcPr>
            <w:tcW w:w="620" w:type="dxa"/>
            <w:vAlign w:val="bottom"/>
            <w:tcBorders>
              <w:top w:val="single" w:sz="8" w:color="auto"/>
            </w:tcBorders>
            <w:gridSpan w:val="3"/>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320" w:type="dxa"/>
            <w:vAlign w:val="bottom"/>
            <w:tcBorders>
              <w:right w:val="single" w:sz="8" w:color="auto"/>
            </w:tcBorders>
            <w:gridSpan w:val="11"/>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7920" w:type="dxa"/>
            <w:vAlign w:val="bottom"/>
            <w:gridSpan w:val="47"/>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0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106,303,970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273,687</w:t>
            </w:r>
          </w:p>
        </w:tc>
        <w:tc>
          <w:tcPr>
            <w:tcW w:w="140" w:type="dxa"/>
            <w:vAlign w:val="bottom"/>
            <w:tcBorders>
              <w:right w:val="single" w:sz="8" w:color="auto"/>
            </w:tcBorders>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67,633,891</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9"/>
                <w:szCs w:val="19"/>
                <w:color w:val="auto"/>
              </w:rPr>
            </w:pP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gridSpan w:val="3"/>
          </w:tcPr>
          <w:p>
            <w:pPr>
              <w:jc w:val="center"/>
              <w:ind w:left="8"/>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9"/>
                <w:szCs w:val="19"/>
                <w:color w:val="auto"/>
              </w:rPr>
            </w:pPr>
          </w:p>
        </w:tc>
        <w:tc>
          <w:tcPr>
            <w:tcW w:w="38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39,084</w:t>
            </w: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(341,101)</w:t>
            </w:r>
          </w:p>
        </w:tc>
        <w:tc>
          <w:tcPr>
            <w:tcW w:w="120" w:type="dxa"/>
            <w:vAlign w:val="bottom"/>
          </w:tcPr>
          <w:p>
            <w:pPr>
              <w:spacing w:after="0"/>
              <w:rPr>
                <w:sz w:val="19"/>
                <w:szCs w:val="19"/>
                <w:color w:val="auto"/>
              </w:rPr>
            </w:pP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(302,016)</w:t>
            </w:r>
          </w:p>
        </w:tc>
        <w:tc>
          <w:tcPr>
            <w:tcW w:w="0" w:type="dxa"/>
            <w:vAlign w:val="bottom"/>
          </w:tcPr>
          <w:p>
            <w:pPr>
              <w:spacing w:after="0"/>
              <w:rPr>
                <w:sz w:val="1"/>
                <w:szCs w:val="1"/>
                <w:color w:val="auto"/>
              </w:rPr>
            </w:pPr>
          </w:p>
        </w:tc>
      </w:tr>
      <w:tr>
        <w:trPr>
          <w:trHeight w:val="21"/>
        </w:trPr>
        <w:tc>
          <w:tcPr>
            <w:tcW w:w="1420" w:type="dxa"/>
            <w:vAlign w:val="bottom"/>
            <w:gridSpan w:val="3"/>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4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2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69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0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(55,771)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(33,912)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2,269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10,327</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 and warrant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2,185</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lease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1,545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1,045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(2,323)</w:t>
            </w:r>
          </w:p>
        </w:tc>
        <w:tc>
          <w:tcPr>
            <w:tcW w:w="0" w:type="dxa"/>
            <w:vAlign w:val="bottom"/>
          </w:tcPr>
          <w:p>
            <w:pPr>
              <w:spacing w:after="0"/>
              <w:rPr>
                <w:sz w:val="1"/>
                <w:szCs w:val="1"/>
                <w:color w:val="auto"/>
              </w:rPr>
            </w:pPr>
          </w:p>
        </w:tc>
      </w:tr>
      <w:tr>
        <w:trPr>
          <w:trHeight w:val="216"/>
        </w:trPr>
        <w:tc>
          <w:tcPr>
            <w:tcW w:w="8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(3,409)</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16"/>
        </w:trPr>
        <w:tc>
          <w:tcPr>
            <w:tcW w:w="8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1,846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8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(2,258)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(2,096)</w:t>
            </w:r>
          </w:p>
        </w:tc>
        <w:tc>
          <w:tcPr>
            <w:tcW w:w="0" w:type="dxa"/>
            <w:vAlign w:val="bottom"/>
          </w:tcPr>
          <w:p>
            <w:pPr>
              <w:spacing w:after="0"/>
              <w:rPr>
                <w:sz w:val="1"/>
                <w:szCs w:val="1"/>
                <w:color w:val="auto"/>
              </w:rPr>
            </w:pPr>
          </w:p>
        </w:tc>
      </w:tr>
      <w:tr>
        <w:trPr>
          <w:trHeight w:val="216"/>
        </w:trPr>
        <w:tc>
          <w:tcPr>
            <w:tcW w:w="8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(5,362)</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(4,845)</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720"/>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(46,767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(32,625</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35"/>
        </w:trPr>
        <w:tc>
          <w:tcPr>
            <w:tcW w:w="8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(982)</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720"/>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(982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35"/>
        </w:trPr>
        <w:tc>
          <w:tcPr>
            <w:tcW w:w="8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convertible notes, net of issuance cost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note payable, net of issuance cost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common stock upon exercise of options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2,904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Business Combination and PIPE, net of transaction costs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91,695</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notes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(3,416)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finance leases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(1,016)</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90,167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720"/>
              <w:spacing w:after="0" w:line="203" w:lineRule="exact"/>
              <w:rPr>
                <w:sz w:val="20"/>
                <w:szCs w:val="20"/>
                <w:color w:val="auto"/>
              </w:rPr>
            </w:pPr>
            <w:r>
              <w:rPr>
                <w:rFonts w:ascii="Times New Roman" w:cs="Times New Roman" w:eastAsia="Times New Roman" w:hAnsi="Times New Roman"/>
                <w:sz w:val="18"/>
                <w:szCs w:val="18"/>
                <w:color w:val="auto"/>
              </w:rPr>
              <w:t>Net increase in cash, cash equivalents, and restricted cash equivalents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42,418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2,518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equivalents, beginning of period</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22,822</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equivalents, end of period</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65,240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6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to amounts on the condensed consolidated balance sheets: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65,010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restricted cash equivalents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portion of restricted cash equivalents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8680" w:type="dxa"/>
            <w:vAlign w:val="bottom"/>
            <w:tcBorders>
              <w:top w:val="single" w:sz="8" w:color="CCEEFF"/>
            </w:tcBorders>
          </w:tcPr>
          <w:p>
            <w:pPr>
              <w:ind w:left="540"/>
              <w:spacing w:after="0" w:line="171" w:lineRule="exact"/>
              <w:rPr>
                <w:sz w:val="20"/>
                <w:szCs w:val="20"/>
                <w:color w:val="auto"/>
              </w:rPr>
            </w:pPr>
            <w:r>
              <w:rPr>
                <w:rFonts w:ascii="Times New Roman" w:cs="Times New Roman" w:eastAsia="Times New Roman" w:hAnsi="Times New Roman"/>
                <w:sz w:val="18"/>
                <w:szCs w:val="18"/>
                <w:color w:val="auto"/>
              </w:rPr>
              <w:t>Total cash, cash equivalents, and restricted cash equivalents shown in the condensed consolidated statements</w:t>
            </w: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8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of cash flows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65,240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6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1,140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60"/>
              <w:spacing w:after="0" w:line="194" w:lineRule="exact"/>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8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and right-of-use assets through adoption of ASC 842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60"/>
              <w:spacing w:after="0" w:line="194" w:lineRule="exact"/>
              <w:rPr>
                <w:sz w:val="20"/>
                <w:szCs w:val="20"/>
                <w:color w:val="auto"/>
              </w:rPr>
            </w:pPr>
            <w:r>
              <w:rPr>
                <w:rFonts w:ascii="Times New Roman" w:cs="Times New Roman" w:eastAsia="Times New Roman" w:hAnsi="Times New Roman"/>
                <w:sz w:val="18"/>
                <w:szCs w:val="18"/>
                <w:color w:val="auto"/>
              </w:rPr>
              <w:t>Conversion of convertible note into common stock pursuant to Business Combination</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Unpaid deferred offering costs associated with the Business Combination</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360"/>
              <w:spacing w:after="0" w:line="194" w:lineRule="exact"/>
              <w:rPr>
                <w:sz w:val="20"/>
                <w:szCs w:val="20"/>
                <w:color w:val="auto"/>
              </w:rPr>
            </w:pPr>
            <w:r>
              <w:rPr>
                <w:rFonts w:ascii="Times New Roman" w:cs="Times New Roman" w:eastAsia="Times New Roman" w:hAnsi="Times New Roman"/>
                <w:sz w:val="18"/>
                <w:szCs w:val="18"/>
                <w:color w:val="auto"/>
              </w:rPr>
              <w:t>Conversion of redeemable convertible preferred stock to common stock pursuant to Business Combination</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279,503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Debt discount through issuance of common stock warrants</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360"/>
              <w:spacing w:after="0" w:line="194" w:lineRule="exact"/>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Property and equipment acquired under finance leases or debt</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64"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ind w:left="440" w:right="9160" w:hanging="432"/>
        <w:spacing w:after="0" w:line="532" w:lineRule="auto"/>
        <w:tabs>
          <w:tab w:leader="none" w:pos="188"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ORGANIZATION </w:t>
      </w:r>
      <w:r>
        <w:rPr>
          <w:rFonts w:ascii="Times New Roman" w:cs="Times New Roman" w:eastAsia="Times New Roman" w:hAnsi="Times New Roman"/>
          <w:sz w:val="17"/>
          <w:szCs w:val="17"/>
          <w:b w:val="1"/>
          <w:bCs w:val="1"/>
          <w:u w:val="single" w:color="auto"/>
          <w:color w:val="auto"/>
        </w:rPr>
        <w:t>Nature of Operations</w:t>
      </w:r>
    </w:p>
    <w:p>
      <w:pPr>
        <w:spacing w:after="0" w:line="1" w:lineRule="exact"/>
        <w:rPr>
          <w:sz w:val="20"/>
          <w:szCs w:val="20"/>
          <w:color w:val="auto"/>
        </w:rPr>
      </w:pPr>
    </w:p>
    <w:p>
      <w:pPr>
        <w:jc w:val="both"/>
        <w:ind w:left="440"/>
        <w:spacing w:after="0" w:line="255" w:lineRule="auto"/>
        <w:rPr>
          <w:sz w:val="20"/>
          <w:szCs w:val="20"/>
          <w:color w:val="auto"/>
        </w:rPr>
      </w:pPr>
      <w:r>
        <w:rPr>
          <w:rFonts w:ascii="Times New Roman" w:cs="Times New Roman" w:eastAsia="Times New Roman" w:hAnsi="Times New Roman"/>
          <w:sz w:val="18"/>
          <w:szCs w:val="18"/>
          <w:color w:val="auto"/>
        </w:rPr>
        <w:t>SoundHound AI, Inc. (“SoundHound” or the “Company”)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The conversation voice AI platform is called “Houndify”, where product creators can develop their own voice interfaces with their customers. Hound is primarily used as a prototyping tool to demonstrate what Houndify can deliver. Products and services built on the Houndify platform are referred to as Houndified Products and Houndified Services. The SoundHound music app allows customers to identify and play songs by singing or humming into the smartphone’s microphone, or by identifying the sound playing in the background from external sources.</w:t>
      </w:r>
    </w:p>
    <w:p>
      <w:pPr>
        <w:spacing w:after="0" w:line="189" w:lineRule="exact"/>
        <w:rPr>
          <w:sz w:val="20"/>
          <w:szCs w:val="20"/>
          <w:color w:val="auto"/>
        </w:rPr>
      </w:pPr>
    </w:p>
    <w:p>
      <w:pPr>
        <w:jc w:val="both"/>
        <w:ind w:left="440"/>
        <w:spacing w:after="0" w:line="253" w:lineRule="auto"/>
        <w:rPr>
          <w:sz w:val="20"/>
          <w:szCs w:val="20"/>
          <w:color w:val="auto"/>
        </w:rPr>
      </w:pPr>
      <w:r>
        <w:rPr>
          <w:rFonts w:ascii="Times New Roman" w:cs="Times New Roman" w:eastAsia="Times New Roman" w:hAnsi="Times New Roman"/>
          <w:sz w:val="18"/>
          <w:szCs w:val="18"/>
          <w:color w:val="auto"/>
        </w:rPr>
        <w:t>On April 26, 2022 (the “Closing Date”), pursuant to a merger agreement dated as of November 15, 2021 by and among Archimedes Tech SPAC Partners Co. (“ATSP”), ATSPC Merger Sub, Inc. and SoundHound, Inc. (“Legacy SoundHound”), the parties consummated the merger of ATSPC Merger Sub, Inc. with and into Legacy SoundHound, with Legacy SoundHound continuing as the surviving corporation (the “Merger”), as well as the other transactions contemplated by the Merger Agreement (the Merger and such other transactions, the “Business Combination”). In connection with the closing (the “Closing”) of the Business Combination, Legacy SoundHound became a wholly owned subsidiary of ATSP and ATSP changed its name to SoundHound AI, Inc., and all of Legacy SoundHound common stock (“Legacy SoundHound Common Stock”) and Legacy SoundHound redeemable convertible preferred stock (“Legacy SoundHound Preferred Stock”) automatically converted into shares of the Company’s Class A common stock, par value of $0.0001 per share (the “Class A Common Stock”), and the Company’s Class B common stock, par value of $0.0001 per share (the “Class B Common Stock”, and collectively with the Class A Common Stock, the “common stock”). The Company’s Class A Common Stock and warrants commenced trading on the Nasdaq Global Market (“Nasdaq”) under the symbols “SOUN” and “SOUNW,” respectively, on April 28, 2022. Refer to Note 3 to these condensed consolidated financial statements for more information on the Business Combination.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Legacy SoundHound determined that it was the accounting acquirer in the Business Combination based on an analysis of the criteria outlined in</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Accounting Standards Codification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determination was primarily based on the following facts:</w:t>
      </w:r>
    </w:p>
    <w:p>
      <w:pPr>
        <w:spacing w:after="0" w:line="207" w:lineRule="exact"/>
        <w:rPr>
          <w:sz w:val="20"/>
          <w:szCs w:val="20"/>
          <w:color w:val="auto"/>
        </w:rPr>
      </w:pPr>
    </w:p>
    <w:p>
      <w:pPr>
        <w:ind w:left="1080" w:hanging="330"/>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Legacy SoundHound stockholders have a controlling voting interest in the Company;</w:t>
      </w:r>
    </w:p>
    <w:p>
      <w:pPr>
        <w:spacing w:after="0" w:line="225" w:lineRule="exact"/>
        <w:rPr>
          <w:rFonts w:ascii="Times New Roman" w:cs="Times New Roman" w:eastAsia="Times New Roman" w:hAnsi="Times New Roman"/>
          <w:sz w:val="18"/>
          <w:szCs w:val="18"/>
          <w:color w:val="auto"/>
        </w:rPr>
      </w:pPr>
    </w:p>
    <w:p>
      <w:pPr>
        <w:ind w:left="1080" w:hanging="330"/>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immediately after the closing of the Business Combination was comprised of five board members, primarily from the board of directors of Legacy SoundHound; and</w:t>
      </w:r>
    </w:p>
    <w:p>
      <w:pPr>
        <w:spacing w:after="0" w:line="161" w:lineRule="exact"/>
        <w:rPr>
          <w:rFonts w:ascii="Times New Roman" w:cs="Times New Roman" w:eastAsia="Times New Roman" w:hAnsi="Times New Roman"/>
          <w:sz w:val="18"/>
          <w:szCs w:val="18"/>
          <w:color w:val="auto"/>
        </w:rPr>
      </w:pPr>
    </w:p>
    <w:p>
      <w:pPr>
        <w:ind w:left="1080" w:hanging="330"/>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SoundHound’s management continues to hold executive management roles for the Company following the Business Combination and are responsible for the day-to-day operations.</w:t>
      </w:r>
    </w:p>
    <w:p>
      <w:pPr>
        <w:spacing w:after="0" w:line="162"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Accordingly, for accounting purposes, the Business Combination was treated as the equivalent of Legacy SoundHound issuing stock for the net assets of ATSP, accompanied by a reverse recapitalization. The primary asset acquired from ATSP was related to the cash amounts that were assumed. Separately, the Company also assumed warrants that were deemed to be equity upon Closing of the Business Combination. No goodwill or other intangible assets were recorded as a result of the Business Combination.</w:t>
      </w:r>
    </w:p>
    <w:p>
      <w:pPr>
        <w:spacing w:after="0" w:line="180"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color w:val="auto"/>
        </w:rPr>
        <w:t>While ATSP was the legal acquirer in the Business Combination, because Legacy SoundHound was deemed the accounting acquirer, the historical financial statements of Legacy SoundHound became the historical financial statements of the combined company upon the consummation of the Business Combination. As a result, the financial statements included in this report reflect (i) the historical operating results of Legacy SoundHound prior to the Business Combination; (ii) the combined results of the Company and Legacy SoundHound following the Closing of the Business Combination; (iii) the assets and liabilities of Legacy SoundHound at their historical cost; and (iv) the Company’s equity structure for all periods presented.</w:t>
      </w:r>
    </w:p>
    <w:p>
      <w:pPr>
        <w:spacing w:after="0" w:line="187"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color w:val="auto"/>
        </w:rPr>
        <w:t>In accordance with guidance applicable to these circumstances, the equity structure has been retroactively restated in all comparative periods up to the Closing Date, to reflect the number of shares of the Company’s Class A Common Stock and Class B Common Stock issued to Legacy SoundHound Common Stockholders and Legacy SoundHound Preferred Stockholders in connection with the Business Combination. As such, the shares and corresponding capital amounts and earnings per share related to Legacy SoundHound Preferred Stock and Legacy SoundHound Common Stock prior to the Business Combination have been retroactively restated as shares reflecting the conversion ratio established in the Business Combination.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share and per share data)</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inception, the Company has generated recurring losses as well as negative operating cash flows and reported a net loss of $30,668 and $55,711 for the three and six months ended June 30, 2022, respectively. As of June 30, 2022, the Company had an accumulated deficit of $442,500. Management expects to continue to incur additional substantial losses in the foreseeable future as a result of research and development activities. The Company has historically funded its operations primarily through equity or debt financings.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cash and cash equivalents on hand as of June 30, 2022 was $65,010. The Company’s condensed consolidated financial statements have been prepared on a going-concern basis, which contemplates the realization of assets and the satisfaction of liabilities in the normal course of business. The Company has reviewed the relevant conditions and events surrounding its ability to continue as a going concern including among others: historical losses, projected future results, including the effects of COVID-19, cash requirements for the upcoming year, funding capacity, net working capital, total stockholders’ equity and future access to capital. Although the Company has incurred recurring losses each year since its inception, the Company expects its cash and cash equivalents will be able to fund its operations for at least the next twelve months.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Risk and Uncertainties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COVID-19 outbreak in the United States has caused business disruption through mandated and voluntary closings of businesses and shelter in place orders. In response, the U.S. Government enacted the CARES Act, which includes significant provisions to provide relief and assistance to affected organizations. While the disruption is currently expected to be temporary, there is considerable uncertainty around potential future closings, shelter in place orders, containment of the recent COVID-19 variants and the ultimate impact of the CARES Act and other government initiatives.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COVID-19 pandemic and its resulting economic and other effects could result in significant adverse effects on our customers’ cash flow and their ability to manufacture, distribute, and sell products incorporating our voice-enabling technologies. This in turn may restrict the ability of our customers to pay invoices for royalties, licensing fees and usage fees, or may result in a reduction in the royalties, licensing fees and usage fees that the Company earns which are often based on the number of units sold or distributed by customers. This reduction could cause adverse effects on the business, results of operations, financial condition, cash flows and ability to raise operating capital. In addition, economic effects resulting from the COVID-19 pandemic may adversely change consumer behavior and demand, including products sold by customers, which may result in a significant reduction in our revenue and adversely impact results of operations and financial condition. The COVID-19 pandemic has adversely affected our business and results of operations to date, and the duration and extent to which this will impact our future results remains uncertain.</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 The recent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 Although our business has not been materially impacted by the ongoing military conflict between Russian and Ukraine to date, it is impossible to predict the extent to which our operations, or those of our customers’ suppliers and manufacturers, will be impacted in the short and long-term, or the ways in which the conflict may impact our business. The extent and duration of the military action, sanctions and resulting market disruptions are impossible to predict but could be substantial.</w:t>
      </w:r>
    </w:p>
    <w:p>
      <w:pPr>
        <w:spacing w:after="0" w:line="200" w:lineRule="exact"/>
        <w:rPr>
          <w:sz w:val="20"/>
          <w:szCs w:val="20"/>
          <w:color w:val="auto"/>
        </w:rPr>
      </w:pPr>
    </w:p>
    <w:p>
      <w:pPr>
        <w:spacing w:after="0" w:line="20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87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ind w:left="440" w:right="6360" w:hanging="432"/>
        <w:spacing w:after="0" w:line="532" w:lineRule="auto"/>
        <w:tabs>
          <w:tab w:leader="none" w:pos="188"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b w:val="1"/>
          <w:bCs w:val="1"/>
          <w:u w:val="single" w:color="auto"/>
          <w:color w:val="auto"/>
        </w:rPr>
        <w:t>Basis of Presentation and Significant Accounting Policies</w:t>
      </w:r>
    </w:p>
    <w:p>
      <w:pPr>
        <w:spacing w:after="0" w:line="1"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The (a) condensed consolidated balance sheet as of December 31, 2021, which has been derived from audited financial statements as filed in the Company’s Form S-1/A on July 13, 2022, and (b) the unaudited interim condensed consolidated financial statements have been prepared in accordance with U.S. generally accepted accounting principles (“U.S. GAAP”) and applicable rules and regulations of the Securities and Exchange Commission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 The condensed consolidated financial statements have been prepared on a basis consistent with the audited consolidated financial statements and in the opinion of management, all adjustments, consisting of normal recurring adjustments, considered necessary for a fair presentation of the financial statements have been included. The results of operations for the three and six months ended June 30, 2022 are not necessarily indicative of the results for the fiscal year ending December 31, 2022 or any future interim period.</w:t>
      </w:r>
    </w:p>
    <w:p>
      <w:pPr>
        <w:spacing w:after="0" w:line="188"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Certain information and note disclosures normally included in annual financial statements prepared in accordance with generally accepted accounting principles have been condensed or omitted pursuant to those rules and regulations, although the company believes that the disclosures made are adequate to make the information not misleading.</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Principles of Consolidation</w:t>
      </w:r>
    </w:p>
    <w:p>
      <w:pPr>
        <w:spacing w:after="0" w:line="229"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 the accounts of the Company and its wholly owned subsidiaries. All intercompany accounts and transactions have been eliminated in consolidation.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Reclassification</w:t>
      </w:r>
    </w:p>
    <w:p>
      <w:pPr>
        <w:spacing w:after="0" w:line="229" w:lineRule="exact"/>
        <w:rPr>
          <w:sz w:val="20"/>
          <w:szCs w:val="20"/>
          <w:color w:val="auto"/>
        </w:rPr>
      </w:pPr>
    </w:p>
    <w:p>
      <w:pPr>
        <w:jc w:val="both"/>
        <w:ind w:left="440" w:right="20"/>
        <w:spacing w:after="0" w:line="282" w:lineRule="auto"/>
        <w:rPr>
          <w:sz w:val="20"/>
          <w:szCs w:val="20"/>
          <w:color w:val="auto"/>
        </w:rPr>
      </w:pPr>
      <w:r>
        <w:rPr>
          <w:rFonts w:ascii="Times New Roman" w:cs="Times New Roman" w:eastAsia="Times New Roman" w:hAnsi="Times New Roman"/>
          <w:sz w:val="18"/>
          <w:szCs w:val="18"/>
          <w:color w:val="auto"/>
        </w:rPr>
        <w:t>Certain prior period balances have been reclassified to conform to the current year presentation. Such changes include reclassifications or combinations of certain accounts on the condensed consolidated balance sheets.</w:t>
      </w:r>
    </w:p>
    <w:p>
      <w:pPr>
        <w:spacing w:after="0" w:line="162"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These reclassifications had no impact on total assets, total liabilities, net loss or comprehensive loss or accumulated deficit in the previously reported consolidated financial statements for the year ended December 31, 2021.</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Foreign Currency</w:t>
      </w:r>
    </w:p>
    <w:p>
      <w:pPr>
        <w:spacing w:after="0" w:line="229"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The functional currency of the Company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three and six months ended June 30, 2022, the Company recognized net (gains)/losses related to foreign currency transactions and remeasurements of $(177) and $287, respectively, in the condensed consolidated statements of operations and comprehensive loss as other income (expense), net. During the three and six months ended June 30, 2021, the Company recognized net (gains)/losses related to foreign currency transactions and remeasurements of $(94) and $273, respectively, in the condensed consolidated statements of operations and comprehensive loss as other income (expense), net.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229"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judgments that affect the amounts reported and disclosures in the condensed consolidated financial statements and accompanying notes. Such estimates include revenue recognition, allowance for doubtful accounts, accrued liabilities, derivative and warrant liabilities, calculation of the incremental borrowing rate, financial instruments recorded at fair value on a recurring basis,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229"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the Chief Executive Officer is its chief operating decision maker. The Company’s Chief Executive Officer reviews financial information on a consolidated basis for purposes of allocating resources and evaluating financial performance. Accordingly, the Company has determined that it operates as a single reportable segment.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49" w:gutter="0" w:footer="0" w:header="0"/>
        </w:sectPr>
      </w:pPr>
    </w:p>
    <w:bookmarkStart w:id="11" w:name="page12"/>
    <w:bookmarkEnd w:id="11"/>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share and per share data)</w:t>
      </w:r>
    </w:p>
    <w:p>
      <w:pPr>
        <w:spacing w:after="0" w:line="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Emerging Growth Company Status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Concentrations of Credit Risk and Other Risks and Uncertainties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principally of cash and cash equivalents. The Company regularly monitors its credit risk exposure and takes steps to mitigate the likelihood of these exposures resulting in actual loss.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accounts receivable balances due from four customers collectively totaled 54% of the Company’s condensed consolidated accounts receivable balance. As of December 31, 2021, accounts receivable balances due from five customers collectively totaled 86% of the Company’s condensed consolidated accounts receivable balance.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the Company had four customers that accounted for 70% of revenue, and for the six months ended June 30, 2021, the Company had two customers that accounted for 64% of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2022, the Company had four customers that accounted for 77% of revenue, and for the three months ended June 30, 2021, the Company had two customers that accounted for 71% of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Issuance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the financing, these costs are recorded as a reduction of the proceeds received from the equity financing. On April 26, 2022, upon closing of the Business Combination, the Company offset equity proceeds by $4,068 of deferred offering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revenue under Accounting Standards Codification Topic 606 (“ASC 606”), Revenue from Contracts with Customers,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spacing w:after="0" w:line="180" w:lineRule="exact"/>
        <w:rPr>
          <w:sz w:val="20"/>
          <w:szCs w:val="20"/>
          <w:color w:val="auto"/>
        </w:rPr>
      </w:pPr>
    </w:p>
    <w:p>
      <w:pPr>
        <w:ind w:left="640" w:hanging="2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contract(s) with a customer;</w:t>
      </w:r>
    </w:p>
    <w:p>
      <w:pPr>
        <w:spacing w:after="0" w:line="225" w:lineRule="exact"/>
        <w:rPr>
          <w:rFonts w:ascii="Times New Roman" w:cs="Times New Roman" w:eastAsia="Times New Roman" w:hAnsi="Times New Roman"/>
          <w:sz w:val="18"/>
          <w:szCs w:val="18"/>
          <w:color w:val="auto"/>
        </w:rPr>
      </w:pPr>
    </w:p>
    <w:p>
      <w:pPr>
        <w:ind w:left="700" w:hanging="268"/>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25" w:lineRule="exact"/>
        <w:rPr>
          <w:rFonts w:ascii="Times New Roman" w:cs="Times New Roman" w:eastAsia="Times New Roman" w:hAnsi="Times New Roman"/>
          <w:sz w:val="18"/>
          <w:szCs w:val="18"/>
          <w:color w:val="auto"/>
        </w:rPr>
      </w:pPr>
    </w:p>
    <w:p>
      <w:pPr>
        <w:ind w:left="740" w:hanging="308"/>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 including the constraint on variable consideration;</w:t>
      </w:r>
    </w:p>
    <w:p>
      <w:pPr>
        <w:spacing w:after="0" w:line="225" w:lineRule="exact"/>
        <w:rPr>
          <w:rFonts w:ascii="Times New Roman" w:cs="Times New Roman" w:eastAsia="Times New Roman" w:hAnsi="Times New Roman"/>
          <w:sz w:val="18"/>
          <w:szCs w:val="18"/>
          <w:color w:val="auto"/>
        </w:rPr>
      </w:pPr>
    </w:p>
    <w:p>
      <w:pPr>
        <w:ind w:left="720" w:hanging="288"/>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680" w:hanging="248"/>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performance obligations are satisfied.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Contracts are accounted for when both parties have approved and committed to the contract, the rights of the parties and payment terms are identifiable, the contract has commercial substance and collectability of consideration is probable. Any payments received from customers that do not meet criteria for having a contract are recorded as deposit liabilities on the condensed consolidated balance sheet.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ASC 606, assuming all other revenue recognition criteria have been met, the Company recognizes revenue for arrangements upon the transfer of control of the Company’s performance obligations to its customers. A performance obligation is a promise in a contract to transfer a distinct good or service to a customer and is the unit of account in ASC 606. The Company currently generates its revenues through the following performance obligations: (1) hosted services, (2) professional services, (3) monetization and (4) licensing.</w:t>
      </w:r>
    </w:p>
    <w:p>
      <w:pPr>
        <w:spacing w:after="0" w:line="39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873" w:right="339" w:bottom="933" w:gutter="0" w:footer="0" w:header="0"/>
        </w:sectPr>
      </w:pPr>
    </w:p>
    <w:bookmarkStart w:id="12" w:name="page13"/>
    <w:bookmarkEnd w:id="12"/>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share and per share data)</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condensed consolidated statements of operations and comprehensive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classifies interest and penalties related to uncertain tax positions in income tax expense, if applicable. There has been no interest expense or penalties related to unrecognized tax benefits recorded through June 30,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Stock-Based Compensation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The Company accounts for forfeitures as they occur. The Company uses the Black-Scholes option-pricing model to determine the fair value of stock options. The Black-Scholes option-pricing model requires the use of highly subjective and complex assumptions to determine the fair value of stock options, including the option’s expected term and the price volatility of the underlying stock. The Company calculates the fair value of options granted by using the Black-Scholes option-pricing model with the following assumptions:</w:t>
      </w:r>
    </w:p>
    <w:p>
      <w:pPr>
        <w:spacing w:after="0" w:line="187" w:lineRule="exact"/>
        <w:rPr>
          <w:sz w:val="20"/>
          <w:szCs w:val="20"/>
          <w:color w:val="auto"/>
        </w:rPr>
      </w:pPr>
    </w:p>
    <w:p>
      <w:pPr>
        <w:jc w:val="both"/>
        <w:ind w:left="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The Company estimates volatility for option grants by evaluating the average historical volatility of a peer group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for the period immediately preceding the option grant for a term that is approximately equal to the option’s expected term.</w:t>
      </w:r>
    </w:p>
    <w:p>
      <w:pPr>
        <w:spacing w:after="0" w:line="158"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expected term of the Company’s options represents the period that the stock-based awards are expected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w:t>
      </w:r>
    </w:p>
    <w:p>
      <w:pPr>
        <w:spacing w:after="0" w:line="180" w:lineRule="exact"/>
        <w:rPr>
          <w:sz w:val="20"/>
          <w:szCs w:val="20"/>
          <w:color w:val="auto"/>
        </w:rPr>
      </w:pPr>
    </w:p>
    <w:p>
      <w:pPr>
        <w:jc w:val="both"/>
        <w:ind w:left="4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implied yield currently available on U.S. Treasury zero-coupon issues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term that is equal to the options’ expected term at the grant date.</w:t>
      </w:r>
    </w:p>
    <w:p>
      <w:pPr>
        <w:spacing w:after="0" w:line="158" w:lineRule="exact"/>
        <w:rPr>
          <w:sz w:val="20"/>
          <w:szCs w:val="20"/>
          <w:color w:val="auto"/>
        </w:rPr>
      </w:pPr>
    </w:p>
    <w:p>
      <w:pPr>
        <w:jc w:val="both"/>
        <w:ind w:left="4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 The Company has not declared or paid dividends to date and does not anticipate declaring dividends. As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dividend yield is zero.</w:t>
      </w:r>
    </w:p>
    <w:p>
      <w:pPr>
        <w:spacing w:after="0" w:line="37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873" w:right="339" w:bottom="1440" w:gutter="0" w:footer="0" w:header="0"/>
        </w:sectPr>
      </w:pPr>
    </w:p>
    <w:bookmarkStart w:id="13" w:name="page14"/>
    <w:bookmarkEnd w:id="13"/>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share and per share data)</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Units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issues restricted stock unit awards (“RSUs”) to grantees as compensation for services. The fair value of the RSUs is determined at the grant date based on the fair value of the Company’s Class A Common Stock and for RSUs with service conditions only, is recognized straight-line over the service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issues RSUs with vesting conditions tied to certain performance criteria (“Performance-Based RSUs”). Stock-based compensation related to Performance-Based RSUs is recognized to the extent it is determined that performance is probable of being achieved.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issues RSUs with vesting conditions tied to certain market conditions (“Market-Based RSUs”). To derive the fair value of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RSUs, the Company applies a Monte Carlo simulation to determine the grant date fair value. Stock-based compensation related to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RSUs is recognized over the derived service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spacing w:after="0" w:line="176" w:lineRule="exact"/>
        <w:rPr>
          <w:sz w:val="20"/>
          <w:szCs w:val="20"/>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225" w:lineRule="exact"/>
        <w:rPr>
          <w:rFonts w:ascii="Times New Roman" w:cs="Times New Roman" w:eastAsia="Times New Roman" w:hAnsi="Times New Roman"/>
          <w:sz w:val="18"/>
          <w:szCs w:val="18"/>
          <w:color w:val="auto"/>
        </w:rPr>
      </w:pPr>
    </w:p>
    <w:p>
      <w:pPr>
        <w:ind w:left="640" w:hanging="316"/>
        <w:spacing w:after="0" w:line="282"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161" w:lineRule="exact"/>
        <w:rPr>
          <w:rFonts w:ascii="Times New Roman" w:cs="Times New Roman" w:eastAsia="Times New Roman" w:hAnsi="Times New Roman"/>
          <w:sz w:val="18"/>
          <w:szCs w:val="18"/>
          <w:color w:val="auto"/>
        </w:rPr>
      </w:pPr>
    </w:p>
    <w:p>
      <w:pPr>
        <w:ind w:left="640" w:hanging="316"/>
        <w:spacing w:after="0" w:line="282"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derivative liabilities and warrants are measured at fair value on a recurring basis and are classified as Level 3 liabilities. The Company records subsequent adjustments to reflect the increase or decrease in estimated fair value at each reporting date on the condensed consolidated statements of operations and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Redeemable Convertible Preferred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Legacy SoundHound Preferred Stock did not have a mandatory redemption date. 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Legacy SoundHound Preferred Stock was redeemable upon a deemed liquidation event which the Company determined was not solely within its control and thus has classified shares of Legacy SoundHound Preferred Stock as temporary equity until such time as the conditions are removed or lapse. Since the occurrence of a deemed liquidation event was not probable, the carrying values of the shares of Legacy SoundHound Preferred Stock were not being accreted to their redemption values.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Business Combination, the shares of Legacy SoundHound Preferred Stock outstanding immediately prior to the effective time of the Business Combination (the “Effective Time”) were converted into 106,949,326 shares of the Company’s Class A Common Stock, Refer to Note 11 for further information.</w:t>
      </w:r>
    </w:p>
    <w:p>
      <w:pPr>
        <w:spacing w:after="0" w:line="39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873" w:right="339" w:bottom="1440" w:gutter="0" w:footer="0" w:header="0"/>
        </w:sectPr>
      </w:pPr>
    </w:p>
    <w:bookmarkStart w:id="14" w:name="page15"/>
    <w:bookmarkEnd w:id="14"/>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share and per share data)</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Convertible Notes and Derivative Liabilities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evaluates its convertible notes, and other contracts, if any, to determine if those contracts or embedded components of those contracts qualify as derivatives requiring bifurcation. The Company accounts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income (expense), net in the condensed consolidated statements of operations and comprehensive loss. The fair value of the conversion features has been estimated using a probability-weighted discount model with and without the conversion feature until extinguished on April 26, 2022 in connection with the Business Combination See Note 10 for additional information.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held its convertible notes at amortized cost and amortized the associated debt discount created from bifurcated derivatives and issuance costs under the effective interest or straight-line method until maturity or early conversion pursuant to the contractual terms of the arrangement.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Loss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Preferred Stock, stock options, RSUs, warrants and convertible notes are considered to be potentially dilutive securities. See Note 16 for further information.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Accordingly, in periods in which the Company reports a net loss, diluted net loss per share is the same as basic net loss per share, since dilutive common stock is not assumed to have been issued if their effect is anti-dilutive.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 — Adopted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new accounting pronouncements, or Accounting Standards Updates, are issued by the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 During the six months ended June 30, 2022, no additional accounting pronouncements were adopted. Refer to Note 2 of our audited consolidated financial statements for the fiscal year ended December 31, 2021 contained within the Company’s Form S-1/A filed July 13, 2022 for a complete list of adopted accounting pronouncements. We have described the key accounted pronouncements below:</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2016, FASB issued Accounting Standards Update (ASU) 2016-02, Leases (Topic 842) and subsequent amendments to the initial guidance: ASU 2017-13, ASU 2018-10, ASU 2018-11, ASU 2018-20 and ASU 2019-01 (collectively, Topic 842). Topic 842 aims to increase transparency and comparability among organizations by requiring lessees to recognize leases with a term greater than 12 months as a right-of-use (“ROU”) asset and corresponding lease liabilities on the balance sheet, regardless of lease classification, and requiring disclosure of key information about leasing arrangements. The lease liability should be initially measured at the present value of the remaining contractual lease payments. Subsequently, the ROU assets will be amortized generally on a straight-line basis over the lease term, and the lease liability will bear interest expense and be reduced for lease payments. Topic 842 is effective for the Company for fiscal years beginning after December 15, 2021, including interim periods within those fiscal years. A modified retrospective application is required with an option to not restate comparative periods in the period of adoption. The Company adopted Topic 842 on January 1, 2021 using the modified retrospective approach, and financial information for the comparative period was not updated.</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Company elected the transition package of three practical expedients which allow companies not to reassess (i) whether agreements contain leases, (ii) the classification of leases, and (iii) the capitalization of initial direct costs. Further, the Company elected to separate lease and non-lease components for the building asset class and elected to not separate lease and non-lease components for the equipment asset class. The Company also made an accounting policy election to recognize lease expense for leases with a term of 12 months or less on a straight-line basis over the lease term and recognize no ROU or lease liability for those leases.</w:t>
      </w:r>
    </w:p>
    <w:p>
      <w:pPr>
        <w:spacing w:after="0" w:line="39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873" w:right="339" w:bottom="1440" w:gutter="0" w:footer="0" w:header="0"/>
        </w:sectPr>
      </w:pPr>
    </w:p>
    <w:bookmarkStart w:id="15" w:name="page16"/>
    <w:bookmarkEnd w:id="15"/>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share and per share data)</w:t>
      </w:r>
    </w:p>
    <w:p>
      <w:pPr>
        <w:spacing w:after="0" w:line="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lease portfolio consists primarily of real estate assets and computer equipment. Some of these leases also require the Company to pay maintenance, utilities, taxes, insurance, and other operating expenses associated with the leased space. Based upon the nature of the items leased and the structure of the leases, the Company’s leases classified as operating leases continue to be classified as operating leases and capital leases will be accounted for as financing leases under the new accounting standard.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adoption of the new lease accounting guidance, the Company recognized on January 1, 2021:</w:t>
      </w:r>
    </w:p>
    <w:p>
      <w:pPr>
        <w:spacing w:after="0" w:line="225" w:lineRule="exact"/>
        <w:rPr>
          <w:sz w:val="20"/>
          <w:szCs w:val="20"/>
          <w:color w:val="auto"/>
        </w:rPr>
      </w:pPr>
    </w:p>
    <w:p>
      <w:pPr>
        <w:ind w:left="640" w:hanging="316"/>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liabilities of approximately $11,428, which represent the present value of the remaining lease payments, as of the date of adoption, discounted using the Company’s incremental borrowing rate on a lease-by-lease basis, and</w:t>
      </w:r>
    </w:p>
    <w:p>
      <w:pPr>
        <w:spacing w:after="0" w:line="161" w:lineRule="exact"/>
        <w:rPr>
          <w:rFonts w:ascii="Times New Roman" w:cs="Times New Roman" w:eastAsia="Times New Roman" w:hAnsi="Times New Roman"/>
          <w:sz w:val="18"/>
          <w:szCs w:val="18"/>
          <w:color w:val="auto"/>
        </w:rPr>
      </w:pPr>
    </w:p>
    <w:p>
      <w:pPr>
        <w:ind w:left="640" w:hanging="316"/>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ROU assets of approximately $9,848 which represent the operating lease liabilities of $11,428, adjusted for (1) deferred rent of approximately $827, (2) lease incentives or tenant improvement allowance of $1,098 and (3) prepaid rent of $344.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adoption of the new lease accounting standard did not have any other material impact on the Company’s consolidated balance sheet and did not impact the Company’s operating results and cash flows.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the Company’s leases do not provide an implicit rate, an incremental borrowing rate is used based on the information available at the adoption date and commencement date for leases entered into after the adoption date in determining the present value of lease payments. The Company applies a benchmark rate and adjusts it for Company specific risk, collateral, term of the lease and economic factors for the economy in which the lease was maintained. See Leases in Note 14 for further information.</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December 2019, the FASB issued ASU No. 2019-12, Simplifying the Accounting for Income Taxes (“Topic 740”) (“ASU 2019-12”). ASU 2019-12 eliminates the need for an organization to analyze whether the following apply in a given period (1) exception to the incremental approach for intra-period tax allocation (2) exceptions to accounting for basis differences when there are ownership changes in foreign investments and</w:t>
      </w:r>
    </w:p>
    <w:p>
      <w:pPr>
        <w:spacing w:after="0" w:line="1" w:lineRule="exact"/>
        <w:rPr>
          <w:sz w:val="20"/>
          <w:szCs w:val="20"/>
          <w:color w:val="auto"/>
        </w:rPr>
      </w:pPr>
    </w:p>
    <w:p>
      <w:pPr>
        <w:jc w:val="both"/>
        <w:spacing w:after="0" w:line="252" w:lineRule="auto"/>
        <w:tabs>
          <w:tab w:leader="none" w:pos="2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exceptions in interim period income tax accounting for year-to-date losses that exceed anticipated losses. ASU 2019-12 also is designed to improve financial statement preparers’ application of income tax-related guidance and simplify U.S. GAAP for (1) franchise taxes that are partially based on income, (2) transactions with a government that result in a step-up in the tax basis of goodwill, (3) separate financial statements of legal entities that are not subject to tax, and (4) enacted changes in tax laws in interim periods. The amendments in ASU 2019-12 are effective for the Company in fiscal years beginning after December 15, 2021. The Company adopted the standard on January 1, 2022. ASU 2019-12 did not result in any material impact on the Company’s condensed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 — Not Yet Adopted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(“ASC 805”) Accounting for Contract Assets and Contract Liabilities from Contracts with Customers guidance requiring entities to apply ASC 606 to recognize and measure contract assets and contract liabilities in a business combination. Under current U.S. GAAP, an acquirer generally recognizes assets acquired and liabilities assumed in a business combination, including contract assets and contract liabilities arising from revenue contracts with customers and other similar contracts that are accounted for in accordance with ASC 606, at fair value on the acquisition date. Under the new guidance the acquirer will recognize contract assets and contract liabilities at the same amounts recorded by the acquiree. The modifications improve comparability for both the recognition and measurement of acquired revenue contracts with customers at the date of, and after a business combination. The amendment is effective for the Company in fiscal years beginning after December 15, 2023. Early adoption of the amendment is permitted. The Company anticipates that it will not have a material impact on its condensed consolidated financial statements and related disclosures.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2016, the FASB issued ASU 2016-13 to update the methodology used to measure current expected credit losses (“CECL”). This ASU applies to financial assets measured at amortized cost, including loans, held-to-maturity debt securities, net investments in leases, and trade accounts receivable as well as certain off-balance sheet credit exposures, such as loan commitments. This ASU replaces the current incurred loss impairment methodology with a methodology to reflect CECL and requires consideration of a broader range of reasonable and supportable information to explain credit loss estimates. The guidance must be adopted using a modified retrospective transition method through a cumulative-effect adjustment to retained earnings/(deficit) in the period of adoption. In November 2019, the FASB issued ASU 2019-10, Financial Instruments — Credit Losses (“Topic 326”), Targeted Transition Relief, which amends the transition guidance for ASU 2016-13. The ASU provides entities with the option to irrevocably elect the fair value option in Subtopic 825-10 on an instrument-by-instrument basis. ASU 2019-10 and ASU 2016-13 are effective for years beginning after December 15, 2022, with early adoption permitted. The Company is currently evaluating the impact the standard will have on the Company’s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873"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COMBINATION</w:t>
      </w:r>
    </w:p>
    <w:p>
      <w:pPr>
        <w:spacing w:after="0" w:line="229"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color w:val="auto"/>
        </w:rPr>
        <w:t>As discussed in Note 1, on April 26, 2022, the Business Combination was consummated. Pursuant to the Company’s certificate of incorporation, the Company is authorized to issue 500,000,000 shares of capital stock consisting of 455,000,000 shares of Class A Common Stock, 44,000,000 shares of Class B Common Stock, and 1,000,000 shares of preferred stock. All stock has a par value of $0.0001 per share. The holders of Class A Common Stock are entitled to one vote for each share of Class A Common Stock held. The holders of Class B Common Stock are entitled to ten votes per share on all matters submitted to stockholders for their vote or approval. No shares of preferred stock were issued and outstanding as of June 30, 2022.</w:t>
      </w:r>
    </w:p>
    <w:p>
      <w:pPr>
        <w:spacing w:after="0" w:line="187"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Business Combination was approved by ATSP’s stockholders at a special meeting thereof (the “Special Meeting”), held in lieu of the 2022 annual meeting of the Company’s stockholders. The Business Combination fulfilled the definition of an “initial business combination” as required by the ATSP’s Amended and Restated Certificate of Incorporation. This fulfillment resulted in ATSP ceasing to be a shell company upon the Closing.</w:t>
      </w:r>
    </w:p>
    <w:p>
      <w:pPr>
        <w:spacing w:after="0" w:line="176"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An aggregate of 12,767,950 shares of Class A Common Stock sold in ATSP’s initial public offering (the “public shares”) exercised their rights to redemption. The redemption right provided holders the right to have their shares redeemed for a pro rata portion of the trust account holding the proceeds from ATSP’s initial public offering. The value of the shares is calculated as of two (2) business days prior to the date of the Special Meeting, which was $10.00 per share, or $127,680 in the aggregate.</w:t>
      </w:r>
    </w:p>
    <w:p>
      <w:pPr>
        <w:spacing w:after="0" w:line="180" w:lineRule="exact"/>
        <w:rPr>
          <w:sz w:val="20"/>
          <w:szCs w:val="20"/>
          <w:color w:val="auto"/>
        </w:rPr>
      </w:pPr>
    </w:p>
    <w:p>
      <w:pPr>
        <w:jc w:val="both"/>
        <w:ind w:left="440"/>
        <w:spacing w:after="0" w:line="252" w:lineRule="auto"/>
        <w:rPr>
          <w:sz w:val="20"/>
          <w:szCs w:val="20"/>
          <w:color w:val="auto"/>
        </w:rPr>
      </w:pPr>
      <w:r>
        <w:rPr>
          <w:rFonts w:ascii="Times New Roman" w:cs="Times New Roman" w:eastAsia="Times New Roman" w:hAnsi="Times New Roman"/>
          <w:sz w:val="18"/>
          <w:szCs w:val="18"/>
          <w:color w:val="auto"/>
        </w:rPr>
        <w:t>As a result of the Business Combination, among other things (1) all outstanding shares of Legacy SoundHound Common Stock as of immediately prior to the Closing (including Legacy SoundHound Common Stock resulting from the Legacy SoundHound Preferred Stock Conversion), were exchanged at an conversion ratio of 5.5562 (the “Conversion Ratio”) for an aggregate of 140,114,060 shares of Class A Common Stock and 40,396,600 Class B Common Stock; (2) each outstanding warrant to purchase shares of Legacy SoundHound Common Stock automatically converted into a warrant to purchase, subject to substantially the same terms and conditions as were applicable under these warrants prior to the Effective Time, shares of Class A Common Stock, proportionately adjusted for the Conversion Ratio, with the per share exercise price equal to the exercise price prior to the Effective Time divided by the Conversion Ratio and were net exercised upon the Closing; (3) each outstanding option to purchase shares of Legacy SoundHound Common Stock converted into an option to purchase, subject to substantially the same terms and conditions as were applicable under these options prior to the Effective Time, shares of Class A Common Stock equal to the number of shares subject to such option prior to the Effective Time multiplied by the Conversion Ratio, with the per share exercise price equal to the exercise price prior to the Effective Time divided by the Conversion Ratio; (4) each Legacy SoundHound RSU converted into a restricted stock unit of SoundHound, subject to substantially the same terms and conditions as were applicable under the SoundHound RSU prior to the Closing. SoundHound RSU holders received the same consideration holders would have received if the SoundHound RSU was converted into Legacy SoundHound Common Stock immediately prior to the Effective Time.</w:t>
      </w:r>
    </w:p>
    <w:p>
      <w:pPr>
        <w:spacing w:after="0" w:line="197"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color w:val="auto"/>
        </w:rPr>
        <w:t>In connection with the Merger Agreement, ATSP entered into subscription agreements (collectively, the “Subscription Agreements”) with certain accredited investors (the “Subscribers”). Pursuant to the Subscription Agreements, the Subscribers agreed to purchase, and ATSP agreed to sell to the Subscribers, an aggregate of 11,300,000 shares of Class A Common Stock (“PIPE Shares”), for a purchase price of $10.00 per share and an aggregate purchase price of $113,000,000 (the “PIPE Investment”). The PIPE shares are identical to the shares of Class A Common Stock that were held by the ATSP’s public stockholders at the time of the Closing, except that the PIPE Shares were not entitled to any redemption rights. The sale of PIPE Shares was consummated concurrently with the Closing.</w:t>
      </w:r>
    </w:p>
    <w:p>
      <w:pPr>
        <w:spacing w:after="0" w:line="187"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Business Combination is accounted for as a reverse recapitalization in accordance with U.S. GAAP. Under this method of accounting, ATSP was treated as the “acquired” company for financial reporting purposes (See Note 1). The net assets of Legacy SoundHound were stated at historical cost, with no goodwill or other intangible assets recorded.</w:t>
      </w:r>
    </w:p>
    <w:p>
      <w:pPr>
        <w:spacing w:after="0" w:line="176"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In accounting for the Business Combination and after redemptions, net proceeds received by the Company totaled $90,691. The table below shows the total net proceeds from the Business Combination and the PIPE Investment: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ATSP trust and cash (net of redemption)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Cash - PIPE Investment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113,000</w:t>
            </w:r>
          </w:p>
        </w:tc>
        <w:tc>
          <w:tcPr>
            <w:tcW w:w="100" w:type="dxa"/>
            <w:vAlign w:val="bottom"/>
          </w:tcPr>
          <w:p>
            <w:pPr>
              <w:spacing w:after="0"/>
              <w:rPr>
                <w:sz w:val="18"/>
                <w:szCs w:val="18"/>
                <w:color w:val="auto"/>
              </w:rPr>
            </w:pP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transaction costs</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(27,666)</w:t>
            </w:r>
          </w:p>
        </w:tc>
      </w:tr>
      <w:tr>
        <w:trPr>
          <w:trHeight w:val="237"/>
        </w:trPr>
        <w:tc>
          <w:tcPr>
            <w:tcW w:w="100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proceeds from Business Combination and PIPE Investment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90,691</w:t>
            </w:r>
          </w:p>
        </w:tc>
        <w:tc>
          <w:tcPr>
            <w:tcW w:w="100" w:type="dxa"/>
            <w:vAlign w:val="bottom"/>
            <w:tcBorders>
              <w:top w:val="single" w:sz="8" w:color="CCEEFF"/>
            </w:tcBorders>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Relating to the consummation of the Business Combination, the Company incurred $27,666 in total transaction costs consisting of direct legal, accounting and other fees. $4,068 of Legacy SoundHound transaction costs specific and directly attributable to the Business Combination were initially capitalized as deferred offering costs on the condensed consolidated balance sheets. Total transaction expenses were recorded as an offset against proceeds received on the closing of the Business Combination, accounted for as additional paid-in capital.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7"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The amount recorded to additional paid-in-capital was comprised of $86,584 net proceeds from the PIPE investment and $4,105 after net redemptions of ATSP shareholders.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number of shares of common stock issued immediately following the consummation of the Business Combination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 conversion of Legacy SoundHound Common Stock and Legacy SoundHound Preferred Stock outstanding</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to Business Combination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140,114,060</w:t>
            </w:r>
          </w:p>
        </w:tc>
        <w:tc>
          <w:tcPr>
            <w:tcW w:w="100" w:type="dxa"/>
            <w:vAlign w:val="bottom"/>
            <w:shd w:val="clear" w:color="auto" w:fill="CCEEFF"/>
          </w:tcPr>
          <w:p>
            <w:pPr>
              <w:spacing w:after="0"/>
              <w:rPr>
                <w:sz w:val="20"/>
                <w:szCs w:val="20"/>
                <w:color w:val="auto"/>
              </w:rPr>
            </w:pPr>
          </w:p>
        </w:tc>
      </w:tr>
      <w:tr>
        <w:trPr>
          <w:trHeight w:val="198"/>
        </w:trPr>
        <w:tc>
          <w:tcPr>
            <w:tcW w:w="10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Common Stock - conversion of Legacy SoundHound Common Stock and Legacy SoundHound Preferred Stock outstanding</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prior to Business Combination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40,396,600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 PIPE Investment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11,300,000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 - issuance to ATSP shareholders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532,050</w:t>
            </w:r>
          </w:p>
        </w:tc>
        <w:tc>
          <w:tcPr>
            <w:tcW w:w="100" w:type="dxa"/>
            <w:vAlign w:val="bottom"/>
          </w:tcPr>
          <w:p>
            <w:pPr>
              <w:spacing w:after="0"/>
              <w:rPr>
                <w:sz w:val="18"/>
                <w:szCs w:val="18"/>
                <w:color w:val="auto"/>
              </w:rPr>
            </w:pPr>
          </w:p>
        </w:tc>
      </w:tr>
      <w:tr>
        <w:trPr>
          <w:trHeight w:val="249"/>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 issuance to Legacy SoundHound founders and representatives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4,161,000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of common stock immediately after Business Combination</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196,503,710</w:t>
            </w:r>
          </w:p>
        </w:tc>
        <w:tc>
          <w:tcPr>
            <w:tcW w:w="100" w:type="dxa"/>
            <w:vAlign w:val="bottom"/>
          </w:tcPr>
          <w:p>
            <w:pPr>
              <w:spacing w:after="0"/>
              <w:rPr>
                <w:sz w:val="20"/>
                <w:szCs w:val="20"/>
                <w:color w:val="auto"/>
              </w:rPr>
            </w:pPr>
          </w:p>
        </w:tc>
      </w:tr>
      <w:tr>
        <w:trPr>
          <w:trHeight w:val="21"/>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440" w:right="8820" w:hanging="437"/>
        <w:spacing w:after="0" w:line="532" w:lineRule="auto"/>
        <w:tabs>
          <w:tab w:leader="none" w:pos="188"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b w:val="1"/>
          <w:bCs w:val="1"/>
          <w:u w:val="single" w:color="auto"/>
          <w:color w:val="auto"/>
        </w:rPr>
        <w:t>Revenue Recognition</w:t>
      </w:r>
    </w:p>
    <w:p>
      <w:pPr>
        <w:spacing w:after="0" w:line="1"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The Company enters into contracts that can include various products or services, which are generally capable of being distinct and accounted for as separate performance obligations.</w:t>
      </w:r>
    </w:p>
    <w:p>
      <w:pPr>
        <w:spacing w:after="0" w:line="183"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The Company derives its revenue primarily from the following performance obligations: (1) hosted services, (2) professional services, (3) monetization, and (4) licensing. Revenue is reported net of applicable sales and use taxes that are passed through to customers.</w:t>
      </w:r>
    </w:p>
    <w:p>
      <w:pPr>
        <w:spacing w:after="0" w:line="162"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the following performance obligations in contracts with customers: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Hosted Services</w:t>
      </w:r>
    </w:p>
    <w:p>
      <w:pPr>
        <w:spacing w:after="0" w:line="229"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176"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 (i.e., recognized as incurred).</w:t>
      </w:r>
    </w:p>
    <w:p>
      <w:pPr>
        <w:spacing w:after="0" w:line="180"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180" w:lineRule="exact"/>
        <w:rPr>
          <w:sz w:val="20"/>
          <w:szCs w:val="20"/>
          <w:color w:val="auto"/>
        </w:rPr>
      </w:pPr>
    </w:p>
    <w:p>
      <w:pPr>
        <w:jc w:val="both"/>
        <w:ind w:left="440" w:right="20"/>
        <w:spacing w:after="0" w:line="282" w:lineRule="auto"/>
        <w:rPr>
          <w:sz w:val="20"/>
          <w:szCs w:val="20"/>
          <w:color w:val="auto"/>
        </w:rPr>
      </w:pPr>
      <w:r>
        <w:rPr>
          <w:rFonts w:ascii="Times New Roman" w:cs="Times New Roman" w:eastAsia="Times New Roman" w:hAnsi="Times New Roman"/>
          <w:sz w:val="18"/>
          <w:szCs w:val="18"/>
          <w:color w:val="auto"/>
        </w:rPr>
        <w:t>In instances where the Company concluded that the up-front services are not distinct performance obligations, revenue for these activities is recognized over the period which the hosted services are provided and is included within hosted services revenue.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Professional Services</w:t>
      </w:r>
    </w:p>
    <w:p>
      <w:pPr>
        <w:spacing w:after="0" w:line="229" w:lineRule="exact"/>
        <w:rPr>
          <w:sz w:val="20"/>
          <w:szCs w:val="20"/>
          <w:color w:val="auto"/>
        </w:rPr>
      </w:pPr>
    </w:p>
    <w:p>
      <w:pPr>
        <w:jc w:val="both"/>
        <w:ind w:left="440"/>
        <w:spacing w:after="0" w:line="255" w:lineRule="auto"/>
        <w:rPr>
          <w:sz w:val="20"/>
          <w:szCs w:val="20"/>
          <w:color w:val="auto"/>
        </w:rPr>
      </w:pPr>
      <w:r>
        <w:rPr>
          <w:rFonts w:ascii="Times New Roman" w:cs="Times New Roman" w:eastAsia="Times New Roman" w:hAnsi="Times New Roman"/>
          <w:sz w:val="18"/>
          <w:szCs w:val="18"/>
          <w:color w:val="auto"/>
        </w:rPr>
        <w:t>Revenue from distinct professional services, such as non-integrated development services, is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366" w:gutter="0" w:footer="0" w:header="0"/>
        </w:sectPr>
      </w:pPr>
    </w:p>
    <w:bookmarkStart w:id="18" w:name="page19"/>
    <w:bookmarkEnd w:id="18"/>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share and per share data)</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 During the three months ended June 30, 2022, $239 of professional service revenue was recognized over time, with the remaining $1,143 recognized at a point in time when the performance obligation was fulfilled and control of the service was transferred to the customer. During the six months ended June 30, 2022, $806 of professional service revenue was recognized over time, with the remaining $1,143 recognized at a point in time when the performance obligation was fulfilled and control of the service was transferred to the customer.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Monetization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Licensing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licenses voice solutions that are embedded in customer products. Licensing revenue is a distinct performance obligation that is recognized when control is transferred to the customer, which is at a point in time for non-customized solutions. Revenues generated from licensing is based on royalty models with a combination of minimum guarantees and per unit pricing. Royalty periods are generally subsequent to when control of the license passes to the customer. The Company records licensing revenue as a usage-based royalty from customers’ usage of intellectual property in the same period in which the underlying sale occurs. The Company provides assurance-type warranty services and to date, post-contract support has been an immaterial performance obligation within the context of the contract.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183" w:lineRule="exact"/>
        <w:rPr>
          <w:sz w:val="20"/>
          <w:szCs w:val="20"/>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developing and supplying each performance obligation;</w:t>
      </w:r>
    </w:p>
    <w:p>
      <w:pPr>
        <w:spacing w:after="0" w:line="22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standards;</w:t>
      </w:r>
    </w:p>
    <w:p>
      <w:pPr>
        <w:spacing w:after="0" w:line="22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product groupings; and</w:t>
      </w:r>
    </w:p>
    <w:p>
      <w:pPr>
        <w:spacing w:after="0" w:line="22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objectives and pricing practices, such as contractually stated prices, discounts offered, and applicable price lists.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39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873"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10"/>
          </w:tcPr>
          <w:p>
            <w:pPr>
              <w:ind w:left="440"/>
              <w:spacing w:after="0"/>
              <w:rPr>
                <w:sz w:val="20"/>
                <w:szCs w:val="20"/>
                <w:color w:val="auto"/>
              </w:rPr>
            </w:pPr>
            <w:r>
              <w:rPr>
                <w:rFonts w:ascii="Times New Roman" w:cs="Times New Roman" w:eastAsia="Times New Roman" w:hAnsi="Times New Roman"/>
                <w:sz w:val="18"/>
                <w:szCs w:val="18"/>
                <w:color w:val="auto"/>
              </w:rPr>
              <w:t>For the three and six months ended June 30, 2022 and 2021, revenues under each performance obligation were as follows:</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230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Hosted services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1,382</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Monetization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Licensing</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6,152</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8,279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10,442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12,018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three and six months ended June 30, 2022 and 2021, the disaggregated revenue by geographic location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923</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5,198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6,217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1,837</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569</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6,152</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8,279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10,442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12,018</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three and six months ended June 30, 2022 and 2021, the disaggregated revenue by recognition pattern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18"/>
                <w:szCs w:val="18"/>
                <w:color w:val="auto"/>
              </w:rPr>
            </w:pPr>
          </w:p>
        </w:tc>
        <w:tc>
          <w:tcPr>
            <w:tcW w:w="230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 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3"/>
              </w:rPr>
              <w:t>4,690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Point-in-time</w:t>
            </w:r>
          </w:p>
        </w:tc>
        <w:tc>
          <w:tcPr>
            <w:tcW w:w="240" w:type="dxa"/>
            <w:vAlign w:val="bottom"/>
          </w:tcPr>
          <w:p>
            <w:pPr>
              <w:spacing w:after="0"/>
              <w:rPr>
                <w:sz w:val="19"/>
                <w:szCs w:val="19"/>
                <w:color w:val="auto"/>
              </w:rPr>
            </w:pPr>
          </w:p>
        </w:tc>
        <w:tc>
          <w:tcPr>
            <w:tcW w:w="11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1,462</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4,764</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1,842</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5,115</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6,152</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8,279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10,442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12,018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The Company also disaggregates revenue by service type. This disaggregation consists of Product Royalties, Service Subscriptions and Monetization. Product Royalties revenue is derived from Houndified Products, which are voice-enabled tangible products across the automotive and consumer electronics industries. Revenue from Product Royalties is based on volume, usage, or life of the products, which are driven by number of devices, users, or unit of time. Service Subscription revenue is generated through Houndified Services, which include customer services, food ordering, content, appointments, and voice commerce. Subscription revenue is derived from monthly fees based on usage-based revenue, revenue per query or revenue per user. Both Houndified Products and Houndified Services may include professional services that develop and customize the Houndify platform to fit customers’ specific needs. Revenue from Monetization is generated from the SoundHound music identification app and is primarily attributable to user ad impression revenue. For the three and six months ended June 30, 2022 and 2021, the disaggregated revenue by service type was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35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540" w:type="dxa"/>
            <w:vAlign w:val="bottom"/>
            <w:tcBorders>
              <w:bottom w:val="single" w:sz="8" w:color="CCEEFF"/>
            </w:tcBorders>
          </w:tcPr>
          <w:p>
            <w:pPr>
              <w:spacing w:after="0"/>
              <w:rPr>
                <w:sz w:val="20"/>
                <w:szCs w:val="20"/>
                <w:color w:val="auto"/>
              </w:rPr>
            </w:pPr>
          </w:p>
        </w:tc>
        <w:tc>
          <w:tcPr>
            <w:tcW w:w="24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royalties</w:t>
            </w:r>
          </w:p>
        </w:tc>
        <w:tc>
          <w:tcPr>
            <w:tcW w:w="24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Service subscriptions</w:t>
            </w: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372</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Monetization</w:t>
            </w:r>
          </w:p>
        </w:tc>
        <w:tc>
          <w:tcPr>
            <w:tcW w:w="2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219</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40" w:type="dxa"/>
            <w:vAlign w:val="bottom"/>
            <w:vMerge w:val="continue"/>
          </w:tcPr>
          <w:p>
            <w:pPr>
              <w:spacing w:after="0"/>
              <w:rPr>
                <w:sz w:val="20"/>
                <w:szCs w:val="20"/>
                <w:color w:val="auto"/>
              </w:rPr>
            </w:pPr>
          </w:p>
        </w:tc>
        <w:tc>
          <w:tcPr>
            <w:tcW w:w="26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6,152</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8,279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10,442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12,018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4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5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Contract Balances</w:t>
      </w:r>
    </w:p>
    <w:p>
      <w:pPr>
        <w:spacing w:after="0" w:line="229"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Company performs its obligations under a contract with a customer by licensing access to software or providing services in exchange for consideration from the customer. The timing of the Company’s performance often differs from the timing of the customer’s payment, which results in the recognition of a receivable, a contract asset, or a contract liability.</w:t>
      </w:r>
    </w:p>
    <w:p>
      <w:pPr>
        <w:spacing w:after="0" w:line="176"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As of June 30, 2022 and December 31, 2021, the Company had contract assets included in prepaid expenses and other current assets of $247 and $54, respectively, in the condensed consolidated balance sheets. The Company did not record any asset impairment charges related to contract assets during the six months ended June 30, 2022 and June 30, 2021.</w:t>
      </w:r>
    </w:p>
    <w:p>
      <w:pPr>
        <w:spacing w:after="0" w:line="176" w:lineRule="exact"/>
        <w:rPr>
          <w:sz w:val="20"/>
          <w:szCs w:val="20"/>
          <w:color w:val="auto"/>
        </w:rPr>
      </w:pPr>
    </w:p>
    <w:p>
      <w:pPr>
        <w:jc w:val="both"/>
        <w:ind w:left="440"/>
        <w:spacing w:after="0" w:line="275" w:lineRule="auto"/>
        <w:rPr>
          <w:sz w:val="20"/>
          <w:szCs w:val="20"/>
          <w:color w:val="auto"/>
        </w:rPr>
      </w:pPr>
      <w:r>
        <w:rPr>
          <w:rFonts w:ascii="Times New Roman" w:cs="Times New Roman" w:eastAsia="Times New Roman" w:hAnsi="Times New Roman"/>
          <w:sz w:val="18"/>
          <w:szCs w:val="18"/>
          <w:color w:val="auto"/>
        </w:rPr>
        <w:t>Revenue recognized included in the balances of the deferred revenue at the beginning of the reporting period during three and six months ended June 30, 2022, was $1,275 and $3,437, respectively, as compared to $3,458 and $5,168 for the three and six months ended June 30, 2021, respectively.</w:t>
      </w:r>
    </w:p>
    <w:p>
      <w:pPr>
        <w:spacing w:after="0" w:line="390"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As of June 30, 2022, the aggregate amount of the transaction price allocated to the remaining performance obligations related to customer contracts that were unsatisfied or partially unsatisfied was $23,081. Given the applicable contract terms, $8,933 is expected to be recognized as revenue within one year, $10,651 is expected to be recognized between two to five years and the remainder of $3,497 is expected to be recognized after five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192"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Company’s long-term contracts do not have significant financing components, as there is generally payment and performance in each year of the contract. If there is a period of one year or longer between the transfer of promised services and payment, it is generally for reasons other than financing and, thus, the Company does not adjust the transaction price for financing components.</w:t>
      </w:r>
    </w:p>
    <w:p>
      <w:pPr>
        <w:spacing w:after="0" w:line="176"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Company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Software and voice recordings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9,204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8,687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3,567</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at cost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(29,750)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(27,399)</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4,868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6,155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color w:val="auto"/>
        </w:rPr>
        <w:t>Property and equipment, net includes assets under finance lease obligations (see Note 14 for additional information) with an aggregate cost of approximately $4,336 and $6,975 as of June 30, 2022 and December 31, 2021, respectively, and accumulated depreciation of approximately $2,930 and $4,293 as of June 30, 2022 and December 31, 2021, respectively. Depreciation and amortization expense totaled approximately $1,053 and $2,269 for the three and six months ended June 30, 2022, respectively, as compared to $1,382 and $2,836 for the three and six months ended June 30, 2021,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ACCRUED LIABILITIES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liabilities on the condensed consolidated balance sheets was comprised of the following:</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vendor payables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1,471</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934</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19"/>
                <w:szCs w:val="19"/>
                <w:color w:val="auto"/>
              </w:rPr>
            </w:pP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5,939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7,298</w:t>
            </w:r>
          </w:p>
        </w:tc>
        <w:tc>
          <w:tcPr>
            <w:tcW w:w="8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Contracts</w:t>
      </w:r>
    </w:p>
    <w:p>
      <w:pPr>
        <w:spacing w:after="0" w:line="229"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In August 2021, the Company entered into an exclusive agreement with a cloud service provider to host its voice artificial intelligence platform pursuant to which the Company committed to pay a minimum of $98,000 in cloud costs over a seven-year period subject to variable increases based on usage.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Aggregate noncancelable future minimum payments were as follows as of June 30, 2022:</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14,000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16,000</w:t>
            </w:r>
          </w:p>
        </w:tc>
      </w:tr>
      <w:tr>
        <w:trPr>
          <w:trHeight w:val="237"/>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98,000</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Legal Proceedings</w:t>
      </w:r>
    </w:p>
    <w:p>
      <w:pPr>
        <w:spacing w:after="0" w:line="229"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229"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not historically collected U.S. state or local sales and use tax, or other similar taxes, in any jurisdiction. On June 21, 2018, the U.S. Supreme Court decided, in </w:t>
      </w:r>
      <w:r>
        <w:rPr>
          <w:rFonts w:ascii="Times New Roman" w:cs="Times New Roman" w:eastAsia="Times New Roman" w:hAnsi="Times New Roman"/>
          <w:sz w:val="18"/>
          <w:szCs w:val="18"/>
          <w:i w:val="1"/>
          <w:iCs w:val="1"/>
          <w:color w:val="auto"/>
        </w:rPr>
        <w:t>South Dakota v. Wayfair, Inc.</w:t>
      </w:r>
      <w:r>
        <w:rPr>
          <w:rFonts w:ascii="Times New Roman" w:cs="Times New Roman" w:eastAsia="Times New Roman" w:hAnsi="Times New Roman"/>
          <w:sz w:val="18"/>
          <w:szCs w:val="18"/>
          <w:color w:val="auto"/>
        </w:rPr>
        <w:t>,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In accordance with ASC 450, Contingencies, the Company estimated and recorded a liability of $1,105 as of June 30, 2022 and December 31,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WARRANTS</w:t>
      </w:r>
    </w:p>
    <w:p>
      <w:pPr>
        <w:spacing w:after="0" w:line="229"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As a result of the Business Combination (see Note 3), the Company has retroactively adjusted the Legacy SoundHound warrants outstanding and corresponding strike price prior to April 26, 2022 to give effect to the Conversion Ratio used to determine the number of shares of common stock into which they were converted.</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Series C Warrants</w:t>
      </w:r>
    </w:p>
    <w:p>
      <w:pPr>
        <w:spacing w:after="0" w:line="229"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the April 2013 Note and November 2013 Note, the Company issued detachable warrants to purchase 248,408 and 496,827 shares of Legacy SoundHound Series C Preferred Stock (“Series C Warrants”), respectively, at $1.21 per share to the lenders, which were immediately exercisable. In December 2021, all outstanding 745,235 shares of warrants related to April 2013 Note and November 2013 were net exercised, leading to a net issuance of 645,356 shares of Legacy SoundHound Series C Preferred Stock. As of June 30, 2022 and December 31, 2021, the fair value of the warrant liability was $0.</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42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Warrants Related to Convertible Notes and Note Payable</w:t>
      </w:r>
    </w:p>
    <w:p>
      <w:pPr>
        <w:spacing w:after="0" w:line="229"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Company’s 2021 note payable (“SVB March 2021 Note”) and 2021 convertible note (“SCI June 2021 Note”), the Company issued detachable warrants to purchase 708,808 and 354,404 shares of Legacy SoundHound common stock, respectively, with an exercise price of $3.67 per share to the lenders, which were immediately exercisable.</w:t>
      </w:r>
    </w:p>
    <w:p>
      <w:pPr>
        <w:spacing w:after="0" w:line="176" w:lineRule="exact"/>
        <w:rPr>
          <w:sz w:val="20"/>
          <w:szCs w:val="20"/>
          <w:color w:val="auto"/>
        </w:rPr>
      </w:pPr>
    </w:p>
    <w:p>
      <w:pPr>
        <w:jc w:val="both"/>
        <w:ind w:left="440"/>
        <w:spacing w:after="0" w:line="255" w:lineRule="auto"/>
        <w:rPr>
          <w:sz w:val="20"/>
          <w:szCs w:val="20"/>
          <w:color w:val="auto"/>
        </w:rPr>
      </w:pPr>
      <w:r>
        <w:rPr>
          <w:rFonts w:ascii="Times New Roman" w:cs="Times New Roman" w:eastAsia="Times New Roman" w:hAnsi="Times New Roman"/>
          <w:sz w:val="18"/>
          <w:szCs w:val="18"/>
          <w:color w:val="auto"/>
        </w:rPr>
        <w:t>The Company recorded the warrants initially at fair value (see Note 10 for additional information) as paid-in-capital on the condensed consolidated balance sheets based on the allocation of its relative fair value of the debt proceeds. See Note 10 for additional information on the fair value calculation. The fair value in relation to the SVB March 2021 Note was allocated to the notes as a discount. The fair value in relation to the SCI June 2021 Note was capitalized as an asset, as the underlying debt bears similarity to a revolving commitment. As the warrants were classified as equity, they are not subject to remeasurement at the end of each reporting period. The initial allocated fair value of the warrants as of March 31, 2021 and June 14, 2021 was $2,316 and $1,526, respectively. The warrants have a ten-year expiration date from the applicable closing date of March 2031 and June 2031, respectively.</w:t>
      </w:r>
    </w:p>
    <w:p>
      <w:pPr>
        <w:spacing w:after="0" w:line="189"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On the Closing Date, all outstanding warrants issued in connection to the SVB March 2021 Note and the SCI June 2021 Note were fully net exercised by their respective lenders, leading to a net issuance of 673,416 shares of Class A Common Stock.</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Warrants Related to the Business Combination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Prior to the Business Combination, ATSP issued Public Warrants. Each Public Warrant entitles the holder to the right to purchase one share of common stock at an exercise price of $11.50 per share. No fractional shares were issued upon exercise of the Public Warrants. The Company may redeem the outstanding warrants, for $0.01 per warrant, upon not less than 30 days’ prior written notice of redemption given after the warrants become exercisable, if the reported last sale price of the common stock equals or exceeds $18.00 per share (as adjusted for stock dividends, sub-divisions, reorganizations, recapitalizations and the like) for any 20 trading days within a 30-trading day period commencing after the warrants become exercisable and ending on the third trading day before the Company sends the notice of redemption to the warrant holders. Upon issuance of a redemption notice by the Company, the warrant holders may, at any time after the redemption notice, exercise the Public Warrants for cash, or on a cashless basis.</w:t>
      </w:r>
    </w:p>
    <w:p>
      <w:pPr>
        <w:spacing w:after="0" w:line="192"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Subsequent to the closing of the Business Combination, the Company’s Public Warrants continue to be classified as equity instruments, as they are indexed to the Company’s stock. On the Closing Date, there were 3,324,984 Public Warrants issued and outstanding.</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9"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color w:val="auto"/>
        </w:rPr>
        <w:t>Prior to the Business Combination, ATSP issued Private Warrants. The Private Warrants were initially issued in the same form as the Public Warrants with the exception that the Private Warrants: (i) would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83"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Pursuant to ASC 815, the Private Warrants were initially considered a liability instrument as they met the definition of a derivative. Upon the Closing of the Business Combination, the Company modified its Private Warrants to be identical to its Public Warrants. Therefore, the Private Warrants met requirements for classification as equity instrument, as they are indexed to the Company’s stock. On the Closing Date, there were 208,000 Private Warrants issued and outstanding. Refer to Note 10 for fair value measurement of these warrants.</w:t>
      </w:r>
    </w:p>
    <w:p>
      <w:pPr>
        <w:spacing w:after="0" w:line="176" w:lineRule="exact"/>
        <w:rPr>
          <w:sz w:val="20"/>
          <w:szCs w:val="20"/>
          <w:color w:val="auto"/>
        </w:rPr>
      </w:pPr>
    </w:p>
    <w:p>
      <w:pPr>
        <w:ind w:left="440" w:right="7220" w:hanging="432"/>
        <w:spacing w:after="0" w:line="503" w:lineRule="auto"/>
        <w:tabs>
          <w:tab w:leader="none" w:pos="188"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CONVERTIBLE NOTE AND NOTES PAYABLE </w:t>
      </w:r>
      <w:r>
        <w:rPr>
          <w:rFonts w:ascii="Times New Roman" w:cs="Times New Roman" w:eastAsia="Times New Roman" w:hAnsi="Times New Roman"/>
          <w:sz w:val="18"/>
          <w:szCs w:val="18"/>
          <w:b w:val="1"/>
          <w:bCs w:val="1"/>
          <w:i w:val="1"/>
          <w:iCs w:val="1"/>
          <w:color w:val="auto"/>
        </w:rPr>
        <w:t>SNAP June 2020 Note</w:t>
      </w: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In June 2020, the Company issued a promissory note, the SNAP June 2020 Note, to a Lender in exchange for $15,000 in cash proceeds. This note has an annual interest rate of 5% and a maturity date of June 26, 2022, if not converted earlier pursuant to conversion terms and change in control events as described below. All unpaid interest and principal are due and payable upon request of the Lender on or after the SNAP June 2020 Note’s maturity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7" w:lineRule="exact"/>
        <w:rPr>
          <w:sz w:val="20"/>
          <w:szCs w:val="20"/>
          <w:color w:val="auto"/>
        </w:rPr>
      </w:pPr>
    </w:p>
    <w:p>
      <w:pPr>
        <w:jc w:val="both"/>
        <w:ind w:left="440"/>
        <w:spacing w:after="0" w:line="255" w:lineRule="auto"/>
        <w:rPr>
          <w:sz w:val="20"/>
          <w:szCs w:val="20"/>
          <w:color w:val="auto"/>
        </w:rPr>
      </w:pPr>
      <w:r>
        <w:rPr>
          <w:rFonts w:ascii="Times New Roman" w:cs="Times New Roman" w:eastAsia="Times New Roman" w:hAnsi="Times New Roman"/>
          <w:sz w:val="18"/>
          <w:szCs w:val="18"/>
          <w:color w:val="auto"/>
        </w:rPr>
        <w:t>The outstanding principal balance and unpaid accrued interest of the SNAP June 2020 Note are convertible pursuant to the following terms (“SNAP June 2020 Note Conversion Feature” or “Conversion Feature”): automatic conversion into equity shares in the next equity financing round (“SNAP June 2020 Note Qualified Financing,” or “Qualified Financing”) at a conversion price equal to either (a) the lowest cash price per share paid by investors in such qualified financing (which will reflect at least a 20% discount to the price per share paid by other investors purchasing securities in additional closings), or (b) if there are no additional closings, 0.80 times the price per share paid by investors purchasing equity securities in the Qualified Financing. The SNAP June 2020 Note Qualified Financing shall be at least $30,000, which excludes the conversion of the SNAP June 2020 Note and any other indebtedness.</w:t>
      </w:r>
    </w:p>
    <w:p>
      <w:pPr>
        <w:spacing w:after="0" w:line="189"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Furthermore, upon a change of control event, the Company shall settle the SNAP June 2020 Note in cash, pursuant to the following terms (“Redemption Feature”):</w:t>
      </w:r>
    </w:p>
    <w:p>
      <w:pPr>
        <w:spacing w:after="0" w:line="162" w:lineRule="exact"/>
        <w:rPr>
          <w:sz w:val="20"/>
          <w:szCs w:val="20"/>
          <w:color w:val="auto"/>
        </w:rPr>
      </w:pPr>
    </w:p>
    <w:p>
      <w:pPr>
        <w:ind w:left="1080" w:hanging="316"/>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of the then outstanding principal amount of the respective note plus any unpaid accrued interest on the original principal of such note; and</w:t>
      </w:r>
    </w:p>
    <w:p>
      <w:pPr>
        <w:spacing w:after="0" w:line="161" w:lineRule="exact"/>
        <w:rPr>
          <w:rFonts w:ascii="Times New Roman" w:cs="Times New Roman" w:eastAsia="Times New Roman" w:hAnsi="Times New Roman"/>
          <w:sz w:val="18"/>
          <w:szCs w:val="18"/>
          <w:color w:val="auto"/>
        </w:rPr>
      </w:pPr>
    </w:p>
    <w:p>
      <w:pPr>
        <w:ind w:left="1080" w:hanging="316"/>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then outstanding principal amount of the respective note plus any unpaid accrued interest on the original principal of such note, provided that if the change of control transaction closes between the Company and the Lender or an affiliate of the Lender.</w:t>
      </w:r>
    </w:p>
    <w:p>
      <w:pPr>
        <w:spacing w:after="0" w:line="162"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The Company evaluated whether the SNAP June 2020 Note contains embedded features that meet the definition of derivatives under ASC 815, Derivatives and Hedging. The Conversion Feature qualifies as a derivative as it continuously resets as the underlying stock price increases or decreases so as to provide a variable number of shares for a fixed value of equity to the holders at any conversion date. As such, the Conversion Feature is bifurcated and accounted for as a derivative liability to be remeasured at the end of each reporting period. The Company recorded the bifurcated Conversion Feature initially at fair value with the residual value being allocated to the SNAP June 2020 Note as a debt discount. The fair value of the Conversion Feature upon issuance in June 2020 was $2,460, which was recorded as a derivative liability on the Company’s condensed consolidated balance sheet. The Redemption Feature of the SNAP June 2020 Note does not meet the definition of a derivative. Therefore, the Redemption Feature is not bifurcated.</w:t>
      </w:r>
    </w:p>
    <w:p>
      <w:pPr>
        <w:spacing w:after="0" w:line="192"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color w:val="auto"/>
        </w:rPr>
        <w:t>The total amount of debt discount at issuance for the SNAP June 2020 Note was $2,529. The Company amortized the aggregate debt discount using the effective interest method. The Company recognized total interest expense of $150 and $666 associated with the SNAP June 2020 Note for the three and six months ended June 30, 2022, respectively, out of which $97 and $427 relates to the amortization of the debt discount. The Company recognized total interest expense of $499 and $985 associated with the SNAP June 2020 Note for the three and six months ended June 30, 2021, respectively, out of which $312 and $613 relates to the amortization of the debt discount. The debt discount related to the SNAP June 2020 Note is amortized over the life of the instrument, beginning at note issuance and ending on April 26, 2022, the date on which the note was converted.</w:t>
      </w:r>
    </w:p>
    <w:p>
      <w:pPr>
        <w:spacing w:after="0" w:line="187"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SNAP June 2020 Note contains a conversion feature in which outstanding principal and any unpaid accrued interest automatically converts into equity securities. This conversion occurs when the Company issues and sells equity securities in a bona fide equity financing with total proceeds to the Company totaling more than $30,000, excluding the face value of the SNAP June 2020 Note (“SNAP June 2020 Note Qualified Financing”).</w:t>
      </w:r>
    </w:p>
    <w:p>
      <w:pPr>
        <w:spacing w:after="0" w:line="176"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As a result of the Business Combination, on the Closing Date, the SNAP June 2020 Note conversion feature was triggered, as total proceeds from the Business Combination exceeded the minimum amount to qualify as a SNAP June 2020 Note Qualified Financing. As a result, on the Closing Date, all outstanding principal of $15,000 and accrued interest of $1,375 were converted into 368,384 shares of Class A Common Stock. In addition, the remaining debt discount of $230 and related derivative liability with fair value of $4,094 as of the Closing Date were extinguished.</w:t>
      </w:r>
    </w:p>
    <w:p>
      <w:pPr>
        <w:spacing w:after="0" w:line="180"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unamortized debt discount, fair value of conversion feature, and accrued interest as of April 26, 2022 and December 31,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April 26,</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conversion feature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1,136</w:t>
            </w:r>
          </w:p>
        </w:tc>
      </w:tr>
    </w:tbl>
    <w:p>
      <w:pPr>
        <w:spacing w:after="0" w:line="198"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Accrued interest is included in accrued liabilities on the condensed consolidated balance sheets to reflect the classification of the SNAP June 2020 Note as short-term in nature on December 31, 2021.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share and per share data)</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SVB March 2021 Note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2021, the Company entered into a loan and security agreement with a commercial bank to borrow $30,000 along with the issuance of warrants to purchase 127,570 shares of Legacy SoundHound’s common stock. The warrant’s allocated fair value was $2,316 at issuance. The SVB March 2021 Note also contains a final payment provision of $1,050. The warrants were recognized as a debt discount at issuance and recorded as a reduction of the debt balance under a relative fair value approach. The Company recorded the final payment as an increase to the principal balance and debt discount for the entire payment amount. The Company was amortizing the discounts on an effective interest basis over the period from issuance through the Early Maturity Date (as defined below).</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loan bears interest at an annual rate equal to the greater of 9% or 5.75% above the Prime Rate. As of June 30, 2022, the interest rate was 10.5%. Payments are interest-only for the first twelve months and are fully amortizable thereafter. The Company recorded stated interest expense in the condensed consolidated statements of operations and comprehensive loss for the three and six months ended June 30, 2022 of $689 and $1,363, respectively, of which $228 remained unpaid as accrued interest during both periods. During both the three and six months ended June 30, 2021, the Company recorded interest expense of $683, of which $225 remained unpaid as accrued interest. The total amount of debt discount at issuance was $3,532. As of June 30, 2022 and December 31, 2021, the unamortized debt discount totaled $102 and $1,086, respectively. During the three and six months ended June 30, 2022, the Company recorded $17 and $984 in interest expense related to the debt discounts, respectively. During both the three and six months ended June 30, 2021, the Company recorded $786 in interest expense related to the debt discounts.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original term loan amortization date was April 1, 2022, with an opportunity for a six-month extension if certain performance milestones are met. The original maturity date of the loan was April 26, 2022 (“Early Maturity Date”), with an opportunity for extension to September 2024 or March 2025 if certain performance milestones are met, including the conversion of the SNAP June 2020 Note. In April 2022, the Company entered into a loan modification agreement with Silicon Valley Bank, which extended the note’s Early Maturity Date to May 26, 2022 which also extended the period of amortization of the discount.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Business Combination, the SNAP June 2020 Note converted on the Closing Date and the performance milestone was met, satisfying the requirements to extend the maturity date to September 1, 2024. Accordingly, the Company has classified $16,050 of the balance as long-term and $12,000 of the balance as short-term as of June 30, 2022 compared to the entirety of the balance as short-term as of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 June 2021 Note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2021, the Company entered into a loan and security agreement with a lender to obtain credit extensions to the Company. Extensions may be requested in $5,000 increments up to a total commitment amount of $15,000. The Company drew an initial $5,000 on June 14, 2021 and the remaining $10,000 on December 1, 2021. The SCI June 2021 Note also contains a final payment provision of 3.5% on each draw or $525 in total. Additionally, warrants were issued alongside the convertible note to purchase 63,785 shares of Legacy SoundHound’s common stock. The warrant’s allocated fair value was $1,526 at issuance. The Company recorded the final payment as an increase to the principal balance and debt discount for the entire payment amount upon each draw.</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the warrants and discounts of $2,150 are directly attributable to the total commitment of $15,000, the Company has presented its unamortized debt issuance cost associated with this note as a current asset, recorded as debt issuance cost on the condensed consolidated balance sheets. The Company is amortizing the cost on a straight-line basis from the issuance date through the maturity date of May 31, 2025. The Company recorded $209 and $775 in interest expense related to the debt discounts during the three and six months ended June 30, 2022, respectively, and $138 in interest expense related to the debt discounts during both the three and six months ended June 30, 2021. As of June 30, 2022 and December 31, 2021, the unamortized debt discount totaled $357 and $1,132, respectively.</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loan bears interest at an annual rate equal to the greater of 9% or 5.75% above the Prime Rate. As of June 30, 2022, the interest rate is 10.5%. Payments are interest-only for the first twelve months and are fully amortizing thereafter. The Company incurred and paid $365 and $703 in stated interest in the condensed consolidated statements of operations and comprehensive loss for the three and six months ended June 30, 2022, respectively, and $21 in stated interest during both the three and six months ended June 30, 2021.</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loan amortization date is June 1, 2022, with an opportunity for a six-month extension if certain performance milestones are met. The maturity date of the loan is the earlier of May 31, 2025 or when the SNAP June 2020 Note is either paid in full or matures on June 26, 2022. Upon mutual consent of the Company and its Agent, the outstanding principal amount of term loan advances may be converted into equity securities that are issued by SoundHound in an Initial Public Offering (“IPO”) or by a Special Purpose Acquisition Company (“SPAC”) during a private placement sale of SoundHound’s equity securities that closes substantially concurrently with the closing of a SPAC acquisition. If conversion occurs in connection with an IPO, the conversion of the principal amount shall be into the same class and series of equity securities for the initial price per security to the public sold in the IPO. If conversion occurs in connection with a SPAC, the conversion of principal amount shall be into the equity securities purchased by other investors in the SPAC at the same share price and upon the same terms.</w:t>
      </w:r>
    </w:p>
    <w:p>
      <w:pPr>
        <w:spacing w:after="0" w:line="200" w:lineRule="exact"/>
        <w:rPr>
          <w:sz w:val="20"/>
          <w:szCs w:val="20"/>
          <w:color w:val="auto"/>
        </w:rPr>
      </w:pPr>
    </w:p>
    <w:p>
      <w:pPr>
        <w:spacing w:after="0" w:line="2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873" w:right="339" w:bottom="1149"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7"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color w:val="auto"/>
        </w:rPr>
        <w:t>As a result of the Business Combination, the SNAP June 2020 Note converted into the Company’s securities on the Closing Date. As the SNAP June 2020 Note was not paid in full and did not mature on June 26, 2022 due to its conversion, the maturity date of the SCI June 2021 Note is May 31, 2025. Accordingly, the Company has classified $5,000 of the balance as long-term and $10,108 of the balance as short-term as of June 30, 2022 compared to the entirety of the balance as short-term as of December 31, 2021. Additionally, as the Company and its Agent did not mutually consent to the equity conversion that could have been triggered by the Business Combination, the conversion feature no longer existed subsequent to the Closing Date. As of June 30, 2022, the SCI June 2021 Note was classified as a note payable.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below tables summarize the Company’s debt balances as of June 30, 2022 and December 31,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50"/>
              <w:spacing w:after="0" w:line="194" w:lineRule="exact"/>
              <w:rPr>
                <w:sz w:val="20"/>
                <w:szCs w:val="20"/>
                <w:color w:val="auto"/>
              </w:rPr>
            </w:pPr>
            <w:r>
              <w:rPr>
                <w:rFonts w:ascii="Times New Roman" w:cs="Times New Roman" w:eastAsia="Times New Roman" w:hAnsi="Times New Roman"/>
                <w:sz w:val="18"/>
                <w:szCs w:val="18"/>
                <w:b w:val="1"/>
                <w:bCs w:val="1"/>
                <w:color w:val="auto"/>
                <w:w w:val="96"/>
              </w:rPr>
              <w:t>SVB</w:t>
            </w:r>
          </w:p>
        </w:tc>
        <w:tc>
          <w:tcPr>
            <w:tcW w:w="140" w:type="dxa"/>
            <w:vAlign w:val="bottom"/>
          </w:tcPr>
          <w:p>
            <w:pPr>
              <w:spacing w:after="0"/>
              <w:rPr>
                <w:sz w:val="16"/>
                <w:szCs w:val="16"/>
                <w:color w:val="auto"/>
              </w:rPr>
            </w:pPr>
          </w:p>
        </w:tc>
        <w:tc>
          <w:tcPr>
            <w:tcW w:w="118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SCI</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March 2021</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June 2021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00" w:type="dxa"/>
            <w:vAlign w:val="bottom"/>
          </w:tcPr>
          <w:p>
            <w:pPr>
              <w:spacing w:after="0"/>
              <w:rPr>
                <w:sz w:val="21"/>
                <w:szCs w:val="21"/>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net of current portion</w:t>
            </w:r>
          </w:p>
        </w:tc>
        <w:tc>
          <w:tcPr>
            <w:tcW w:w="100" w:type="dxa"/>
            <w:vAlign w:val="bottom"/>
          </w:tcPr>
          <w:p>
            <w:pPr>
              <w:spacing w:after="0"/>
              <w:rPr>
                <w:sz w:val="18"/>
                <w:szCs w:val="18"/>
                <w:color w:val="auto"/>
              </w:rPr>
            </w:pPr>
          </w:p>
        </w:tc>
        <w:tc>
          <w:tcPr>
            <w:tcW w:w="12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16,050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10,108</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26,158</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loan discount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2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27,948</w:t>
            </w:r>
          </w:p>
        </w:tc>
        <w:tc>
          <w:tcPr>
            <w:tcW w:w="24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15,108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43,056</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Unamortized debt issuance cost recorded as an asset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7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SVB</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March 2021</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current portion</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Unamortized loan discount</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29,964</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50"/>
              <w:spacing w:after="0" w:line="194" w:lineRule="exact"/>
              <w:rPr>
                <w:sz w:val="20"/>
                <w:szCs w:val="20"/>
                <w:color w:val="auto"/>
              </w:rPr>
            </w:pPr>
            <w:r>
              <w:rPr>
                <w:rFonts w:ascii="Times New Roman" w:cs="Times New Roman" w:eastAsia="Times New Roman" w:hAnsi="Times New Roman"/>
                <w:sz w:val="18"/>
                <w:szCs w:val="18"/>
                <w:b w:val="1"/>
                <w:bCs w:val="1"/>
                <w:color w:val="auto"/>
                <w:w w:val="97"/>
              </w:rPr>
              <w:t>SNAP</w:t>
            </w:r>
          </w:p>
        </w:tc>
        <w:tc>
          <w:tcPr>
            <w:tcW w:w="140" w:type="dxa"/>
            <w:vAlign w:val="bottom"/>
          </w:tcPr>
          <w:p>
            <w:pPr>
              <w:spacing w:after="0"/>
              <w:rPr>
                <w:sz w:val="16"/>
                <w:szCs w:val="16"/>
                <w:color w:val="auto"/>
              </w:rPr>
            </w:pPr>
          </w:p>
        </w:tc>
        <w:tc>
          <w:tcPr>
            <w:tcW w:w="118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SCI</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June 2020</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June 2021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00" w:type="dxa"/>
            <w:vAlign w:val="bottom"/>
          </w:tcPr>
          <w:p>
            <w:pPr>
              <w:spacing w:after="0"/>
              <w:rPr>
                <w:sz w:val="21"/>
                <w:szCs w:val="21"/>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current portion</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30,525</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Unamortized loan discount</w:t>
            </w:r>
          </w:p>
        </w:tc>
        <w:tc>
          <w:tcPr>
            <w:tcW w:w="100" w:type="dxa"/>
            <w:vAlign w:val="bottom"/>
          </w:tcPr>
          <w:p>
            <w:pPr>
              <w:spacing w:after="0"/>
              <w:rPr>
                <w:sz w:val="19"/>
                <w:szCs w:val="19"/>
                <w:color w:val="auto"/>
              </w:rPr>
            </w:pP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(657)</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gridSpan w:val="2"/>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14,343</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29,868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Unamortized debt issuance cost recorded as an asset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vMerge w:val="continue"/>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Additionally, interest expense on the condensed consolidated statements of operations and comprehensive loss is inclusive of stated interest incurred on the Company’s debt instruments during the relevant periods, as well as the amortization of debt discounts and issuance costs. The life of each instrument may be shortened if a lender demands payment if certain events occur that are outside the control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present the fair value of the Company’s financial instruments that are measured or disclosed at fair value on a recurring basis:</w:t>
      </w:r>
    </w:p>
    <w:p>
      <w:pPr>
        <w:spacing w:after="0" w:line="22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Fair Value Measurements as of</w:t>
      </w:r>
    </w:p>
    <w:p>
      <w:pPr>
        <w:spacing w:after="0" w:line="3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48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38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38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80" w:type="dxa"/>
            <w:vAlign w:val="bottom"/>
            <w:vMerge w:val="continue"/>
          </w:tcPr>
          <w:p>
            <w:pPr>
              <w:spacing w:after="0"/>
              <w:rPr>
                <w:sz w:val="20"/>
                <w:szCs w:val="20"/>
                <w:color w:val="auto"/>
              </w:rPr>
            </w:pPr>
          </w:p>
        </w:tc>
        <w:tc>
          <w:tcPr>
            <w:tcW w:w="38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840" w:type="dxa"/>
            <w:vAlign w:val="bottom"/>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4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Fair Value Measurements as of</w:t>
      </w:r>
    </w:p>
    <w:p>
      <w:pPr>
        <w:spacing w:after="0" w:line="3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4,863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liability</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0" w:type="dxa"/>
            <w:vAlign w:val="bottom"/>
          </w:tcPr>
          <w:p>
            <w:pPr>
              <w:spacing w:after="0"/>
              <w:rPr>
                <w:sz w:val="1"/>
                <w:szCs w:val="1"/>
                <w:color w:val="auto"/>
              </w:rPr>
            </w:pP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40" w:right="20"/>
        <w:spacing w:after="0" w:line="282" w:lineRule="auto"/>
        <w:rPr>
          <w:sz w:val="20"/>
          <w:szCs w:val="20"/>
          <w:color w:val="auto"/>
        </w:rPr>
      </w:pPr>
      <w:r>
        <w:rPr>
          <w:rFonts w:ascii="Times New Roman" w:cs="Times New Roman" w:eastAsia="Times New Roman" w:hAnsi="Times New Roman"/>
          <w:sz w:val="18"/>
          <w:szCs w:val="18"/>
          <w:color w:val="auto"/>
        </w:rPr>
        <w:t>The fair values of the derivative liabilities were determined based on significant inputs not observable in the market, which represent Level 3 measurements within the fair value hierarchy.</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Series C Warrants (April 2013 and November 2013)</w:t>
      </w:r>
    </w:p>
    <w:p>
      <w:pPr>
        <w:spacing w:after="0" w:line="229"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Company revalued the Series C warrants as of June 30, 2021, resulting in a change in fair value of $611 and $864 during the three and six months ended June 30, 2021, respectively. This change in fair value was recorded as a component of other income (expense), net, in the accompanying condensed consolidated statements of operations and comprehensive loss.</w:t>
      </w:r>
    </w:p>
    <w:p>
      <w:pPr>
        <w:spacing w:after="0" w:line="176" w:lineRule="exact"/>
        <w:rPr>
          <w:sz w:val="20"/>
          <w:szCs w:val="20"/>
          <w:color w:val="auto"/>
        </w:rPr>
      </w:pPr>
    </w:p>
    <w:p>
      <w:pPr>
        <w:jc w:val="both"/>
        <w:ind w:left="440" w:right="20"/>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the April 2013 Series C redeemable convertible preferred stock warrants using the Black-Scholes-Merton option-pricing model using the following assumptions: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99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0.28%</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w:t>
            </w:r>
          </w:p>
        </w:tc>
      </w:tr>
    </w:tbl>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Upon exercise in December 2021, the warrants were recorded as Series C Preferred Stock at their fair value of $5,816 upon net share settlement.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Warrants (SVB March 2021 Note and SCI June 2021 Note)</w:t>
      </w:r>
    </w:p>
    <w:p>
      <w:pPr>
        <w:spacing w:after="0" w:line="229" w:lineRule="exact"/>
        <w:rPr>
          <w:sz w:val="20"/>
          <w:szCs w:val="20"/>
          <w:color w:val="auto"/>
        </w:rPr>
      </w:pPr>
    </w:p>
    <w:p>
      <w:pPr>
        <w:jc w:val="both"/>
        <w:ind w:left="440"/>
        <w:spacing w:after="0" w:line="255" w:lineRule="auto"/>
        <w:rPr>
          <w:sz w:val="20"/>
          <w:szCs w:val="20"/>
          <w:color w:val="auto"/>
        </w:rPr>
      </w:pPr>
      <w:r>
        <w:rPr>
          <w:rFonts w:ascii="Times New Roman" w:cs="Times New Roman" w:eastAsia="Times New Roman" w:hAnsi="Times New Roman"/>
          <w:sz w:val="18"/>
          <w:szCs w:val="18"/>
          <w:color w:val="auto"/>
        </w:rPr>
        <w:t>The Company issued common stock warrants in connection with the SVB March 2021 Note and SCI June 2021 Note (See Note 8 for additional information). The SVB March 2021 Note and SCI June 2021 Note warrants were recorded based on the allocation of its relative fair value of the debt proceeds of $2,316 and $1,526, respectively. The warrants were classified as equity instruments at inception with a corresponding discount recorded at issuance against the outstanding notes in connection with the SVB March 2021 Note or as an asset in connection with the SCI June 2021 Note. The common stock warrants are not subject to remeasurement at each subsequent balance sheet date due to their classification as equity instruments as they are considered indexed to the Company’s stock. The SVB March 2021 Note warrants expire in March 2031 and the SCI June 2021 Note warrants expire in June 2031.</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determined the fair value of the SVB March 2021 Note and SCI June 2021 Note common stock warrants at issuance using the Black-</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Scholes option-pricing model using the following assumptions, respectively: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SVB March 2021 Note Common Stock Warrants</w:t>
            </w:r>
          </w:p>
        </w:tc>
        <w:tc>
          <w:tcPr>
            <w:tcW w:w="1380" w:type="dxa"/>
            <w:vAlign w:val="bottom"/>
            <w:tcBorders>
              <w:bottom w:val="single" w:sz="8" w:color="CCEEFF"/>
            </w:tcBorders>
          </w:tcPr>
          <w:p>
            <w:pPr>
              <w:spacing w:after="0"/>
              <w:rPr>
                <w:sz w:val="21"/>
                <w:szCs w:val="21"/>
                <w:color w:val="auto"/>
              </w:rPr>
            </w:pPr>
          </w:p>
        </w:tc>
      </w:tr>
      <w:tr>
        <w:trPr>
          <w:trHeight w:val="216"/>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10.00</w:t>
            </w:r>
          </w:p>
        </w:tc>
      </w:tr>
      <w:tr>
        <w:trPr>
          <w:trHeight w:val="434"/>
        </w:trPr>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SCI June 2021 Note Common Stock Warrants</w:t>
            </w:r>
          </w:p>
        </w:tc>
        <w:tc>
          <w:tcPr>
            <w:tcW w:w="1380" w:type="dxa"/>
            <w:vAlign w:val="bottom"/>
            <w:tcBorders>
              <w:bottom w:val="single" w:sz="8" w:color="CCEEFF"/>
            </w:tcBorders>
          </w:tcPr>
          <w:p>
            <w:pPr>
              <w:spacing w:after="0"/>
              <w:rPr>
                <w:sz w:val="24"/>
                <w:szCs w:val="24"/>
                <w:color w:val="auto"/>
              </w:rPr>
            </w:pPr>
          </w:p>
        </w:tc>
      </w:tr>
      <w:tr>
        <w:trPr>
          <w:trHeight w:val="216"/>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79"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Upon the Closing of the Business Combination, all outstanding warrants associated with the SVB March 2021 Note and SCI June 2021 Note were exercised, leading to a net issuance of 673,416 shares of Class A Common Stock.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839"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Public and Private Common Stock Warrants</w:t>
      </w:r>
    </w:p>
    <w:p>
      <w:pPr>
        <w:spacing w:after="0" w:line="229"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color w:val="auto"/>
        </w:rPr>
        <w:t>The Public Warrants and Private Warrants were issued prior to the Business Combination by ATSP. The Public Warrants and Private Warrants initially differed in classification, as the Public Warrants were considered equity instruments indexed to ATSP’s stock, while the Private Warrants were considered liability instruments. However, upon the Closing of the Business Combination, the Company modified its Private Warrants to be identical to its Public Warrants. At the time of conversion from a liability instrument to an equity instrument, the fair value of the Private Warrants was $144.</w:t>
      </w:r>
    </w:p>
    <w:p>
      <w:pPr>
        <w:spacing w:after="0" w:line="183"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Following the Business Combination and as of June 30, 2022, both warrants are classified as equity instruments, as they are indexed to the Company’s stock. The common stock warrants are not subject to remeasurement at each subsequent balance sheet date due to their classification as equity instruments. Refer to Note 3 and Note 8 for further information on the Public Warrants and Private Warrants. The fair value of the Public Warrants and Private Warrants are measured using quoted market prices.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Derivative Liability (SNAP June 2020 Note)</w:t>
      </w:r>
    </w:p>
    <w:p>
      <w:pPr>
        <w:spacing w:after="0" w:line="229"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color w:val="auto"/>
        </w:rPr>
        <w:t>To determine the fair value of the embedded derivative associated with the SNAP June 2020 Note, the Company utilized the income approach model using the With and Without method. Using the With and Without method, the Company modeled expected cash flows to the noteholder under Next Equity Financing, Change in Control, SPAC/Private Investment in Public Equity, and IPO scenarios. The value of the embedded derivative was determined as the differential value from the perspective of the With and Without Method. The Company utilized the following assumptions at the valuation date: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99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Next Equity Financing</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SPAC/PIPE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IPO</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99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99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term (years)</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0.27</w:t>
            </w:r>
          </w:p>
        </w:tc>
      </w:t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w:t>
            </w:r>
          </w:p>
        </w:tc>
      </w:tr>
    </w:tbl>
    <w:p>
      <w:pPr>
        <w:spacing w:after="0" w:line="179"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significant unobservable inputs used in the fair value measurement of the derivative liability are the remaining expected term, the discount rate, and the probability of financing for each scenario. Significant increases (decreases) in the term would result in significantly lower (higher) fair value measurements. Significant increases (decreases) in the discount rate would result in significantly lower (higher) fair value measurements.</w:t>
      </w:r>
    </w:p>
    <w:p>
      <w:pPr>
        <w:spacing w:after="0" w:line="176"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color w:val="auto"/>
        </w:rPr>
        <w:t>On April 26, 2022, the Closing of the Business Combination, the embedded derivative was valued at fair value which was equivalent to its intrinsic value. The embedded derivative had a fair value of $4,094. As the Closing of the Business Combination triggered the Conversion Feature contained within the SNAP June 2020 Note, therefore converting the note’s principal to equity, the embedded derivative associated with the note was extinguished. The Company recorded the remeasurement of derivative liabilities in other income (expense), net on the condensed consolidated statements of operations and comprehensive loss. The fair value of the embedded derivative was recorded as additional paid-in capital upon extinguishment on the condensed consolidated balance sheet.</w:t>
      </w:r>
    </w:p>
    <w:p>
      <w:pPr>
        <w:spacing w:after="0" w:line="187" w:lineRule="exact"/>
        <w:rPr>
          <w:sz w:val="20"/>
          <w:szCs w:val="20"/>
          <w:color w:val="auto"/>
        </w:rPr>
      </w:pPr>
    </w:p>
    <w:p>
      <w:pPr>
        <w:jc w:val="both"/>
        <w:ind w:left="440"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remeasurement of the embedded derivative for the three and six months ended June 30, 2022 and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5"/>
        </w:trPr>
        <w:tc>
          <w:tcPr>
            <w:tcW w:w="4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60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36"/>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conversion feature – (loss)/gain</w:t>
            </w:r>
          </w:p>
        </w:tc>
        <w:tc>
          <w:tcPr>
            <w:tcW w:w="13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642"/>
        </w:trPr>
        <w:tc>
          <w:tcPr>
            <w:tcW w:w="46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7" w:lineRule="exact"/>
        <w:rPr>
          <w:sz w:val="20"/>
          <w:szCs w:val="20"/>
          <w:color w:val="auto"/>
        </w:rPr>
      </w:pPr>
    </w:p>
    <w:p>
      <w:pPr>
        <w:ind w:left="440" w:right="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a summary of changes in fair value of the Company’s derivative liability and warrant liability for which fair value was determined by Level 3 inputs: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Derivative</w:t>
            </w: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16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2021</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2,867</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right="2420"/>
        <w:spacing w:after="0" w:line="292" w:lineRule="auto"/>
        <w:rPr>
          <w:sz w:val="20"/>
          <w:szCs w:val="20"/>
          <w:color w:val="auto"/>
        </w:rPr>
      </w:pPr>
      <w:r>
        <w:rPr>
          <w:rFonts w:ascii="Times New Roman" w:cs="Times New Roman" w:eastAsia="Times New Roman" w:hAnsi="Times New Roman"/>
          <w:sz w:val="18"/>
          <w:szCs w:val="18"/>
          <w:color w:val="auto"/>
        </w:rPr>
        <w:t>Extinguishment of embedded derivative upon conversion of convertible note Balance as of June 30, 2022</w:t>
      </w:r>
    </w:p>
    <w:p>
      <w:pPr>
        <w:spacing w:after="0" w:line="20" w:lineRule="exact"/>
        <w:rPr>
          <w:sz w:val="20"/>
          <w:szCs w:val="20"/>
          <w:color w:val="auto"/>
        </w:rPr>
      </w:pPr>
      <w:r>
        <w:rPr>
          <w:sz w:val="20"/>
          <w:szCs w:val="20"/>
          <w:color w:val="auto"/>
        </w:rPr>
        <w:br w:type="column"/>
      </w:r>
    </w:p>
    <w:p>
      <w:pPr>
        <w:ind w:left="16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Derivative</w:t>
      </w:r>
      <w:r>
        <w:rPr>
          <w:sz w:val="20"/>
          <w:szCs w:val="20"/>
          <w:color w:val="auto"/>
        </w:rPr>
        <w:tab/>
      </w:r>
      <w:r>
        <w:rPr>
          <w:rFonts w:ascii="Times New Roman" w:cs="Times New Roman" w:eastAsia="Times New Roman" w:hAnsi="Times New Roman"/>
          <w:sz w:val="18"/>
          <w:szCs w:val="18"/>
          <w:b w:val="1"/>
          <w:bCs w:val="1"/>
          <w:color w:val="auto"/>
        </w:rPr>
        <w:t>Warrant</w:t>
      </w:r>
    </w:p>
    <w:p>
      <w:pPr>
        <w:spacing w:after="0" w:line="31" w:lineRule="exact"/>
        <w:rPr>
          <w:sz w:val="20"/>
          <w:szCs w:val="20"/>
          <w:color w:val="auto"/>
        </w:rPr>
      </w:pPr>
    </w:p>
    <w:p>
      <w:pPr>
        <w:ind w:left="24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Liability</w:t>
      </w:r>
      <w:r>
        <w:rPr>
          <w:sz w:val="20"/>
          <w:szCs w:val="20"/>
          <w:color w:val="auto"/>
        </w:rPr>
        <w:tab/>
      </w:r>
      <w:r>
        <w:rPr>
          <w:rFonts w:ascii="Times New Roman" w:cs="Times New Roman" w:eastAsia="Times New Roman" w:hAnsi="Times New Roman"/>
          <w:sz w:val="18"/>
          <w:szCs w:val="18"/>
          <w:b w:val="1"/>
          <w:bCs w:val="1"/>
          <w:color w:val="auto"/>
        </w:rPr>
        <w:t>Liability</w:t>
      </w:r>
    </w:p>
    <w:p>
      <w:pPr>
        <w:spacing w:after="0" w:line="18" w:lineRule="exact"/>
        <w:rPr>
          <w:sz w:val="20"/>
          <w:szCs w:val="20"/>
          <w:color w:val="auto"/>
        </w:rPr>
      </w:pPr>
    </w:p>
    <w:p>
      <w:pPr>
        <w:spacing w:after="0"/>
        <w:tabs>
          <w:tab w:leader="none" w:pos="700" w:val="left"/>
          <w:tab w:leader="none" w:pos="1320" w:val="left"/>
          <w:tab w:leader="none" w:pos="2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3,488</w:t>
        <w:tab/>
        <w:t>$</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2280" w:hanging="1421"/>
        <w:spacing w:after="0"/>
        <w:tabs>
          <w:tab w:leader="none" w:pos="2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(4,094)—</w:t>
      </w:r>
    </w:p>
    <w:p>
      <w:pPr>
        <w:spacing w:after="0" w:line="58" w:lineRule="exact"/>
        <w:rPr>
          <w:sz w:val="20"/>
          <w:szCs w:val="20"/>
          <w:color w:val="auto"/>
        </w:rPr>
      </w:pPr>
    </w:p>
    <w:p>
      <w:pPr>
        <w:spacing w:after="0"/>
        <w:tabs>
          <w:tab w:leader="none" w:pos="920" w:val="left"/>
          <w:tab w:leader="none" w:pos="1320" w:val="left"/>
          <w:tab w:leader="none" w:pos="2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1560195"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60195" cy="43180"/>
                    </a:xfrm>
                    <a:prstGeom prst="rect">
                      <a:avLst/>
                    </a:prstGeom>
                    <a:noFill/>
                  </pic:spPr>
                </pic:pic>
              </a:graphicData>
            </a:graphic>
          </wp:anchor>
        </w:drawing>
      </w:r>
    </w:p>
    <w:p>
      <w:pPr>
        <w:spacing w:after="0" w:line="231"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p>
      <w:pPr>
        <w:spacing w:after="0" w:line="61"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There were no transfers of financial instruments between the three levels of the fair value hierarchy for the six months ended June 30, 2022. The Company had no other financial assets or liabilities that were required to be measured at fair value on a recurring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PREFERRED STOCK</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Legacy SoundHound Preferred Stock authorized, issued and outstanding as of the date of the Business Combination is as follows</w:t>
      </w:r>
      <w:r>
        <w:rPr>
          <w:rFonts w:ascii="Times New Roman" w:cs="Times New Roman" w:eastAsia="Times New Roman" w:hAnsi="Times New Roman"/>
          <w:sz w:val="18"/>
          <w:szCs w:val="18"/>
          <w:i w:val="1"/>
          <w:iCs w:val="1"/>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Liquidation</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45"/>
        </w:trPr>
        <w:tc>
          <w:tcPr>
            <w:tcW w:w="5980" w:type="dxa"/>
            <w:vAlign w:val="bottom"/>
          </w:tcPr>
          <w:p>
            <w:pPr>
              <w:spacing w:after="0"/>
              <w:rPr>
                <w:sz w:val="21"/>
                <w:szCs w:val="21"/>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00" w:type="dxa"/>
            <w:vAlign w:val="bottom"/>
          </w:tcPr>
          <w:p>
            <w:pPr>
              <w:spacing w:after="0"/>
              <w:rPr>
                <w:sz w:val="21"/>
                <w:szCs w:val="21"/>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Preference</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9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19,106,048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19,106,048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Series B</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33,702,134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33,702,134</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66,360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11,038</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5,687,525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5,687,525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38,163</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Series C-1</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4,436,090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4,436,090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89,298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16,061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20,258,299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20,258,299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527,992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85,648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Series D-1</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8,418,535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8,418,535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277,812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49,957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D-2</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8,418,530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8,418,530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277,811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49,949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Series D-3</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6,922,165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6,922,165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276,887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50,046</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D-3A</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20,835,869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598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127,785,195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106,949,326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1,582,562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279,503</w:t>
            </w:r>
          </w:p>
        </w:tc>
        <w:tc>
          <w:tcPr>
            <w:tcW w:w="100" w:type="dxa"/>
            <w:vAlign w:val="bottom"/>
          </w:tcPr>
          <w:p>
            <w:pPr>
              <w:spacing w:after="0"/>
              <w:rPr>
                <w:sz w:val="21"/>
                <w:szCs w:val="21"/>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Upon the closing of the Business Combination, the outstanding shares of Series A, B, C, C-1, D, D-1, D-2, and D-3 preferred stock were converted into 106,949,326 shares of SoundHound AI Class A Common Stock at the exchange ratio of 5.5562. Shares Authorized and Shares Issued above have been retroactively adjusted to reflect the exchange. As a result of the conversion of the Legacy SoundHound redeemable convertible preferred stock, the Company reclassified the amount of redeemable convertible preferred stock to additional paid in capital.</w:t>
      </w:r>
    </w:p>
    <w:p>
      <w:pPr>
        <w:spacing w:after="0" w:line="180"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color w:val="auto"/>
        </w:rPr>
        <w:t>Upon the consummation of the Business Combination, the Company is authorized to issue 1,000,000 shares of preferred stock with a par value of $0.0001 per share. The number of authorized shares of preferred stock may also be increased or decreased by the affirmative vote of the holders of a majority of the voting power of all the then-outstanding shares of capital stock of the Company entitled to vote thereon, without a separate vote of the holders of preferred stock. Any new series of preferred stock may be designated, fixed and determined as provided by the Board without approval of the holders of common stock or preferred stock. The preferred stock holders have the rights to elect one or more directors as per the Company’s restated certificate of incorporation. The Company has no preferred stock outstanding as of June 30,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COMMON STOCK</w:t>
      </w:r>
    </w:p>
    <w:p>
      <w:pPr>
        <w:spacing w:after="0" w:line="229"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The Company had 250,030,433 shares of Legacy SoundHound common stock authorized for issuance prior to the closing of the Business Combination.</w:t>
      </w:r>
    </w:p>
    <w:p>
      <w:pPr>
        <w:spacing w:after="0" w:line="162"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color w:val="auto"/>
        </w:rPr>
        <w:t>On April 26, 2022, the Company consummated a Business Combination which was accounted for as a reverse recapitalization (refer to Note 3 for additional information). Pursuant to the Company’s restated certificate of incorporation, the Company is authorized to issue 500,000,000 shares of capital stock, consisting of (a) 455,000,000 shares of Class A Common Stock with a par value of $0.0001 per share, (b) 44,000,000 shares of Class B Common Stock with a par value of $0.0001 per share, and (c) 1,000,000 shares of preferred stock with a par value of $0.0001 per share. The outstanding shares of the Company’s common stock are fully paid and non-assessable.</w:t>
      </w:r>
    </w:p>
    <w:p>
      <w:pPr>
        <w:spacing w:after="0" w:line="183" w:lineRule="exact"/>
        <w:rPr>
          <w:sz w:val="20"/>
          <w:szCs w:val="20"/>
          <w:color w:val="auto"/>
        </w:rPr>
      </w:pPr>
    </w:p>
    <w:p>
      <w:pPr>
        <w:jc w:val="both"/>
        <w:ind w:left="440"/>
        <w:spacing w:after="0" w:line="255" w:lineRule="auto"/>
        <w:rPr>
          <w:sz w:val="20"/>
          <w:szCs w:val="20"/>
          <w:color w:val="auto"/>
        </w:rPr>
      </w:pPr>
      <w:r>
        <w:rPr>
          <w:rFonts w:ascii="Times New Roman" w:cs="Times New Roman" w:eastAsia="Times New Roman" w:hAnsi="Times New Roman"/>
          <w:sz w:val="18"/>
          <w:szCs w:val="18"/>
          <w:color w:val="auto"/>
        </w:rPr>
        <w:t>As a result of the Business Combination, 73,561,334 shares of Legacy SoundHound common stock, along with 106,949,326 shares of Legacy SoundHound preferred stock, were converted into 180,510,660 shares of the Company’s common stock, consisting of 140,114,060 shares of Class A Common Stock and 40,396,600 shares of the Company’s Class B Common Stock.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spacing w:after="0" w:line="189" w:lineRule="exact"/>
        <w:rPr>
          <w:sz w:val="20"/>
          <w:szCs w:val="20"/>
          <w:color w:val="auto"/>
        </w:rPr>
      </w:pPr>
    </w:p>
    <w:p>
      <w:pPr>
        <w:jc w:val="both"/>
        <w:ind w:left="440"/>
        <w:spacing w:after="0" w:line="255" w:lineRule="auto"/>
        <w:rPr>
          <w:sz w:val="20"/>
          <w:szCs w:val="20"/>
          <w:color w:val="auto"/>
        </w:rPr>
      </w:pPr>
      <w:r>
        <w:rPr>
          <w:rFonts w:ascii="Times New Roman" w:cs="Times New Roman" w:eastAsia="Times New Roman" w:hAnsi="Times New Roman"/>
          <w:sz w:val="18"/>
          <w:szCs w:val="18"/>
          <w:color w:val="auto"/>
        </w:rPr>
        <w:t>Each share of Class B Common Stock shall automatically convert into one fully paid and nonassessable share of Class A Common Stock. Shares of Class B Common Stock will be convertible into shares of Class A Common Stock and will be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 INCENTIVE PLANS</w:t>
      </w:r>
    </w:p>
    <w:p>
      <w:pPr>
        <w:spacing w:after="0" w:line="229"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color w:val="auto"/>
        </w:rPr>
        <w:t>In April 2016, we adopted the 2016 Equity Incentive Plan (the “2016 Plan”) as a successor and continuation of the 2006 Plan (collectively, the “Plans”). Under the Plans, the Company may grant awards of stock options and RSUs, as well as stock appreciation rights and other stock awards. During the year ended December 31, 2021, the Company amended the 2016 Plan to increase the number of shares of common stock reserved for issuance under the Plans by 6,667,478 to an aggregate of 48,347,329. As of the Closing Date of the Business Combination, the Company no longer has shares available for issuance under the 2016 Plan.</w:t>
      </w:r>
    </w:p>
    <w:p>
      <w:pPr>
        <w:spacing w:after="0" w:line="183"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color w:val="auto"/>
        </w:rPr>
        <w:t>The 2016 Plan provides for incentive stock options to be granted to employees at an exercise price not less than 100% of the fair value at the grant date as determined by the Board of Directors, unless the optionee is a 10% stockholder, in which case the option price will not be less than 110% of such fair market value. 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 RSUs granted generally vest over a four-year period, with 25% cliff vesting after one year and then ratably on a quarterly basis for the remaining three years.</w:t>
      </w:r>
    </w:p>
    <w:p>
      <w:pPr>
        <w:spacing w:after="0" w:line="187"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On April 26, 2022, the stockholders of the Company approved the SoundHound AI, Inc. 2022 Incentive Award Plan (the “2022 Incentive Plan”), which become effective upon the Closing. The Company initially reserved 19,650,371 shares of Class A Common Stock for the issuance of awards under the 2022 Incentive Plan (“Initial Limit”). The Initial Limit represents 10% of the aggregate number of shares of the Company’s common stock outstanding immediately after the Closing and is subject to increase each year over a ten-year period. The Incentive Award Plan provides for the grant of stock options, which may be ISOs or non-statutory stock options (“NSOs”), stock appreciation rights (“SARs”), restricted shares, restricted stock units and other stock or cash-based awards that the Incentive Award Plan Administrator determines are consistent with the purpose of the Incentive Award Plan and the interests of the Combined Company, or collectively, awards. As of June 30, 2022, the Company has 15,700,371 awards remaining for issuance.</w:t>
      </w:r>
    </w:p>
    <w:p>
      <w:pPr>
        <w:spacing w:after="0" w:line="192" w:lineRule="exact"/>
        <w:rPr>
          <w:sz w:val="20"/>
          <w:szCs w:val="20"/>
          <w:color w:val="auto"/>
        </w:rPr>
      </w:pPr>
    </w:p>
    <w:p>
      <w:pPr>
        <w:jc w:val="both"/>
        <w:ind w:left="440"/>
        <w:spacing w:after="0" w:line="253" w:lineRule="auto"/>
        <w:rPr>
          <w:sz w:val="20"/>
          <w:szCs w:val="20"/>
          <w:color w:val="auto"/>
        </w:rPr>
      </w:pPr>
      <w:r>
        <w:rPr>
          <w:rFonts w:ascii="Times New Roman" w:cs="Times New Roman" w:eastAsia="Times New Roman" w:hAnsi="Times New Roman"/>
          <w:sz w:val="18"/>
          <w:szCs w:val="18"/>
          <w:color w:val="auto"/>
        </w:rPr>
        <w:t>On April 26, 2022, the stockholders of the Company approved SoundHound AI, Inc. 2022 Employee Stock Purchase Plan (the “ESPP”), which become effective upon the Closing. An aggregate of 3,930,074 shares of the Company’s Class A Common Stock has been reserved for issuance or transfer pursuant to rights granted under the ESPP (“Aggregate Number”). The Aggregate Number represents 2% of the aggregate number of shares of the Company’s common stock outstanding immediately after the Closing and is subject to increase each year over a ten-year period. The ESPP provides eligible employees with an opportunity to purchase common stock from the Company at a discount through accumulated payroll deductions. The ESPP will be implemented through a series of offerings of purchase rights to eligible employees. Under the ESPP, the Company’s Board of Directors may specify offerings but generally provides for a duration of 27 months. The first purchase period has not begun as of June 30, 2022. The purchase price will be specified pursuant to the offering, but cannot, under the terms of the ESPP, be less than 85% of the lower of the fair market value per share of the Company’s common stock on either the offering date or on the purchase date. The ESPP also includes a six-month look-back provision for the purchase price of the stock price on the purchase date is less than the stock price on the offering date.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501"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Option Activity</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 option activity under the Plans was as follows for the six months ended June 30,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6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1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30,361,405</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Authorized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177,801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(2,624,634)</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20,705</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 or cancelled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(412,707)</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Outstanding, June 30, 2022</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6.69</w:t>
            </w: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7,758</w:t>
            </w: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27,501,865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w:t>
            </w:r>
          </w:p>
        </w:tc>
        <w:tc>
          <w:tcPr>
            <w:tcW w:w="13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Options exercisable as of June 30, 2022</w:t>
            </w:r>
          </w:p>
        </w:tc>
        <w:tc>
          <w:tcPr>
            <w:tcW w:w="11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17,684,206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CCEEFF"/>
              <w:bottom w:val="single" w:sz="8" w:color="CCEEFF"/>
            </w:tcBorders>
            <w:gridSpan w:val="2"/>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5.58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rPr>
              <w:t>7,750</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Stock option activity under the Plans was as follows for the six months ended June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6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5980" w:type="dxa"/>
            <w:vAlign w:val="bottom"/>
          </w:tcPr>
          <w:p>
            <w:pPr>
              <w:spacing w:after="0"/>
              <w:rPr>
                <w:sz w:val="21"/>
                <w:szCs w:val="21"/>
                <w:color w:val="auto"/>
              </w:rPr>
            </w:pP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2020</w:t>
            </w:r>
          </w:p>
        </w:tc>
        <w:tc>
          <w:tcPr>
            <w:tcW w:w="11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28,772,180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Authorized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989,018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(1,966,115)</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5,947</w:t>
            </w: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 or cancelled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(1,162,848)</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Outstanding, June 30, 2021</w:t>
            </w:r>
          </w:p>
        </w:tc>
        <w:tc>
          <w:tcPr>
            <w:tcW w:w="1120" w:type="dxa"/>
            <w:vAlign w:val="bottom"/>
            <w:tcBorders>
              <w:top w:val="single" w:sz="8" w:color="auto"/>
              <w:bottom w:val="single" w:sz="8" w:color="auto"/>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w w:val="96"/>
              </w:rPr>
              <w:t>26,632,235</w:t>
            </w:r>
          </w:p>
        </w:tc>
        <w:tc>
          <w:tcPr>
            <w:tcW w:w="2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2.52</w:t>
            </w:r>
          </w:p>
        </w:tc>
        <w:tc>
          <w:tcPr>
            <w:tcW w:w="220" w:type="dxa"/>
            <w:vAlign w:val="bottom"/>
            <w:tcBorders>
              <w:top w:val="single" w:sz="8" w:color="CCEEFF"/>
              <w:bottom w:val="single" w:sz="8" w:color="CCEEFF"/>
            </w:tcBorders>
          </w:tcPr>
          <w:p>
            <w:pPr>
              <w:spacing w:after="0"/>
              <w:rPr>
                <w:sz w:val="18"/>
                <w:szCs w:val="18"/>
                <w:color w:val="auto"/>
              </w:rPr>
            </w:pPr>
          </w:p>
        </w:tc>
        <w:tc>
          <w:tcPr>
            <w:tcW w:w="1320" w:type="dxa"/>
            <w:vAlign w:val="bottom"/>
            <w:tcBorders>
              <w:top w:val="single" w:sz="8" w:color="CCEEFF"/>
              <w:bottom w:val="single" w:sz="8" w:color="CCEEFF"/>
            </w:tcBorders>
            <w:gridSpan w:val="2"/>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6.60</w:t>
            </w:r>
          </w:p>
        </w:tc>
        <w:tc>
          <w:tcPr>
            <w:tcW w:w="160" w:type="dxa"/>
            <w:vAlign w:val="bottom"/>
            <w:tcBorders>
              <w:top w:val="single" w:sz="8" w:color="CCEEFF"/>
              <w:bottom w:val="single" w:sz="8" w:color="CCEEFF"/>
            </w:tcBorders>
          </w:tcPr>
          <w:p>
            <w:pPr>
              <w:spacing w:after="0"/>
              <w:rPr>
                <w:sz w:val="18"/>
                <w:szCs w:val="18"/>
                <w:color w:val="auto"/>
              </w:rPr>
            </w:pPr>
          </w:p>
        </w:tc>
        <w:tc>
          <w:tcPr>
            <w:tcW w:w="1060" w:type="dxa"/>
            <w:vAlign w:val="bottom"/>
            <w:tcBorders>
              <w:top w:val="single" w:sz="8" w:color="CCEEFF"/>
              <w:bottom w:val="single" w:sz="8" w:color="CCEEFF"/>
            </w:tcBorders>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172,816</w:t>
            </w: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as of June 30, 2021</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17,078,959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5.36</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119,390</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Options exercised early are subject to the vesting provisions mentioned above, and any unvested shares are subject to repurchase at the original price upon termination of employment, death, or disability. There were no option exercises during the six months ended June 30, 2022 or year ended December 31, 2021 that were subject to repurchase.</w:t>
      </w:r>
    </w:p>
    <w:p>
      <w:pPr>
        <w:spacing w:after="0" w:line="176"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The total fair value of options vested was approximately $1,893 and $3,468 during the three and six months ended June 30, 2022 respectively as compared to $933 and $1,969 for the three and six months ended June 30, 2021, respectively.</w:t>
      </w:r>
    </w:p>
    <w:p>
      <w:pPr>
        <w:spacing w:after="0" w:line="162"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For the purpose of determining the estimated fair value of share-based payment awards issued in the form of stock options, the Company uses the Black-Scholes option-pricing model as permitted under the provisions for share-based payment awards.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7"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The assumptions under the Black-Scholes option-pricing model and the weighted average calculated fair value of the options granted to employees during the six-month periods ended June 30, 2022 and June 30, 2021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86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6.06</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79"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As of June 30, 2022, the unamortized expense related to outstanding options was $20,943. The weighted average remaining amortization period over which the balance as of June 30, 2022 is to be amortized is 2.74 years. No income tax benefit was recognized for this compensation expense in the condensed consolidated statements of operations and comprehensive loss, as the Company does not anticipate realizing any such benefit in the future.</w:t>
      </w:r>
    </w:p>
    <w:p>
      <w:pPr>
        <w:sectPr>
          <w:pgSz w:w="11900" w:h="16838" w:orient="portrait"/>
          <w:cols w:equalWidth="0" w:num="1">
            <w:col w:w="11240"/>
          </w:cols>
          <w:pgMar w:left="320" w:top="873" w:right="339" w:bottom="1440" w:gutter="0" w:footer="0" w:header="0"/>
        </w:sectPr>
      </w:pP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Unit Activity</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Restricted stock unit activity under the Plans was as follows for the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Released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45"/>
        </w:trPr>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1"/>
                <w:szCs w:val="21"/>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198"/>
        </w:trPr>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r>
      <w:tr>
        <w:trPr>
          <w:trHeight w:val="21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5,918,392</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8.47</w:t>
            </w:r>
          </w:p>
        </w:tc>
      </w:tr>
      <w:tr>
        <w:trPr>
          <w:trHeight w:val="216"/>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(117,340)</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8.04</w:t>
            </w:r>
          </w:p>
        </w:tc>
      </w:tr>
      <w:tr>
        <w:trPr>
          <w:trHeight w:val="248"/>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(9,794)</w:t>
            </w:r>
          </w:p>
        </w:tc>
        <w:tc>
          <w:tcPr>
            <w:tcW w:w="1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9.77</w:t>
            </w:r>
          </w:p>
        </w:tc>
      </w:tr>
      <w:tr>
        <w:trPr>
          <w:trHeight w:val="27"/>
        </w:trPr>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r>
      <w:tr>
        <w:trPr>
          <w:trHeight w:val="250"/>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5,791,258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8.38</w:t>
            </w:r>
          </w:p>
        </w:tc>
      </w:tr>
      <w:tr>
        <w:trPr>
          <w:trHeight w:val="21"/>
        </w:trPr>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Company assessed an accounting grant date on June 2, 2022 for the issuance of 2,310,000 RSUs, 970,000 Performance-Based RSUs and 670,000 Market-Based RSUs to certain named executives and other executive offers based on the approval of employment agreements by the Board of Directors or Compensation Committee as respectively authorized which contained the key terms of the equity award agreements.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recorded stock-based compensation expense of $53 related to Performance-Based RSUs during the three months ended June 30, 2022.</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Unamortized expense related to Performance-Based RSUs was $7,659 as of June 30, 2022.</w:t>
      </w:r>
    </w:p>
    <w:p>
      <w:pPr>
        <w:spacing w:after="0" w:line="207"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To derive the fair value of Market-Based RSUs, the Company applies a Monte Carlo simulation to determine the grant date fair value. Stock-based compensation related to Market RSUs is recognized over the derived service period.</w:t>
      </w:r>
    </w:p>
    <w:p>
      <w:pPr>
        <w:spacing w:after="0" w:line="162"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The assumptions under the Monte Carlo simulation model and the calculated fair value of the Market-Based RSUs granted to employees during the three months ended June 30, 2022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3560" w:type="dxa"/>
            <w:vAlign w:val="bottom"/>
            <w:tcBorders>
              <w:bottom w:val="single" w:sz="8" w:color="CCEEFF"/>
            </w:tcBorders>
          </w:tcPr>
          <w:p>
            <w:pPr>
              <w:spacing w:after="0"/>
              <w:rPr>
                <w:sz w:val="21"/>
                <w:szCs w:val="21"/>
                <w:color w:val="auto"/>
              </w:rPr>
            </w:pPr>
          </w:p>
        </w:tc>
        <w:tc>
          <w:tcPr>
            <w:tcW w:w="618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1"/>
                <w:szCs w:val="2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7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Drift rate</w:t>
            </w:r>
          </w:p>
        </w:tc>
        <w:tc>
          <w:tcPr>
            <w:tcW w:w="7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655"/>
        </w:trPr>
        <w:tc>
          <w:tcPr>
            <w:tcW w:w="356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jc w:val="right"/>
              <w:ind w:right="3930"/>
              <w:spacing w:after="0"/>
              <w:rPr>
                <w:sz w:val="20"/>
                <w:szCs w:val="20"/>
                <w:color w:val="auto"/>
              </w:rPr>
            </w:pPr>
            <w:r>
              <w:rPr>
                <w:rFonts w:ascii="Times New Roman" w:cs="Times New Roman" w:eastAsia="Times New Roman" w:hAnsi="Times New Roman"/>
                <w:sz w:val="18"/>
                <w:szCs w:val="18"/>
                <w:color w:val="auto"/>
              </w:rPr>
              <w:t>29</w:t>
            </w: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type w:val="continuous"/>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7"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the Market-Based RSUs was $3.57. The Company recorded $44 in stock-based compensation expense related to Market-Based RSUs during the three months ended June 30, 2022. Unamortized expense related to Market-Based RSUs was $2,267 as of June 30, 2022.</w:t>
      </w:r>
    </w:p>
    <w:p>
      <w:pPr>
        <w:spacing w:after="0" w:line="176"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2022, the fair value of RSUs that vested was $942. During the three and six months ended June 30, 2022 the Company recorded $4,454 and $4,488, respectively, of stock-based compensation related to RSUs. As of June 30, 2022, the unamortized expense related to RSUs was $17,033. The weighted average remaining amortization period over which the balance as of June 30, 2022 is to be amortized is 3.64 years. No income tax benefit was recognized for this compensation expense in the condensed consolidated statements of operations and comprehensive loss, as the Company does not anticipate realizing any such benefit in the future.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Employee Stock-Based Compensation</w:t>
      </w:r>
    </w:p>
    <w:p>
      <w:pPr>
        <w:spacing w:after="0" w:line="229"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color w:val="auto"/>
        </w:rPr>
        <w:t>The Company’s founders held 7,270,503 of Legacy SoundHound common stock pre-conversion prior to the Business Combination. The founders exchanged their shares for Legacy SoundHound Class B common stock immediately prior to the closing of the business combination. Upon the Business Combination, the founders exchanged their Legacy SoundHound Class B shares in exchange for 40,396,600 shares of Class B Common Stock according to the Conversion Ratio. As the Class B Common Stock shares have 10 votes per share, the exchange resulted in incremental stock-based compensation expense of $963 which is included in general and administrative expenses on the condensed consolidated statements of operations and comprehensive loss for the three month period ended June 30, 2022.</w:t>
      </w:r>
    </w:p>
    <w:p>
      <w:pPr>
        <w:spacing w:after="0" w:line="187"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2022, the Company’s stock compensation expense was $7,863 and $10,327, respectively, as compared to $1,346 and $2,734 for the three and six months ended June 30, 2021, respectively. Stock-based compensation is classified in the following operating expense accounts on the condensed consolidated statements of operations and comprehensive loss for the three and six months ended June 30, 2022 and 2021:</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Options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22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r>
      <w:tr>
        <w:trPr>
          <w:trHeight w:val="198"/>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7"/>
                <w:szCs w:val="17"/>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2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7"/>
                <w:szCs w:val="17"/>
                <w:color w:val="auto"/>
              </w:rPr>
            </w:pPr>
          </w:p>
        </w:tc>
        <w:tc>
          <w:tcPr>
            <w:tcW w:w="30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538</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796</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w:t>
            </w:r>
          </w:p>
        </w:tc>
      </w:tr>
      <w:tr>
        <w:trPr>
          <w:trHeight w:val="229"/>
        </w:trPr>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2,740</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944</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4,343</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20" w:type="dxa"/>
            <w:vAlign w:val="bottom"/>
          </w:tcPr>
          <w:p>
            <w:pPr>
              <w:spacing w:after="0"/>
              <w:rPr>
                <w:sz w:val="19"/>
                <w:szCs w:val="19"/>
                <w:color w:val="auto"/>
              </w:rPr>
            </w:pPr>
          </w:p>
        </w:tc>
      </w:tr>
      <w:tr>
        <w:trPr>
          <w:trHeight w:val="234"/>
        </w:trPr>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4,574</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5,177</w:t>
            </w:r>
          </w:p>
        </w:tc>
        <w:tc>
          <w:tcPr>
            <w:tcW w:w="3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536</w:t>
            </w: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7,863</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10,327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20" w:type="dxa"/>
            <w:vAlign w:val="bottom"/>
          </w:tcPr>
          <w:p>
            <w:pPr>
              <w:spacing w:after="0"/>
              <w:rPr>
                <w:sz w:val="21"/>
                <w:szCs w:val="2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-779145</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-496570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600" w:lineRule="exact"/>
        <w:rPr>
          <w:sz w:val="20"/>
          <w:szCs w:val="20"/>
          <w:color w:val="auto"/>
        </w:rPr>
      </w:pPr>
    </w:p>
    <w:p>
      <w:pPr>
        <w:sectPr>
          <w:pgSz w:w="11900" w:h="16838" w:orient="portrait"/>
          <w:cols w:equalWidth="0" w:num="2">
            <w:col w:w="5260" w:space="720"/>
            <w:col w:w="5260"/>
          </w:cols>
          <w:pgMar w:left="320" w:top="873" w:right="339" w:bottom="1440" w:gutter="0" w:footer="0" w:header="0"/>
          <w:type w:val="continuous"/>
        </w:sectPr>
      </w:pPr>
    </w:p>
    <w:p>
      <w:pPr>
        <w:spacing w:after="0" w:line="29"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The Company historically issued option awards to key personnel with contractual expirations of 5 to 10 years. Certain individuals had not exercised their options prior to expiration. As a result of the expiration of unexercised but fully vested options awards, the Company issued new options in 2017 and 2020 for the same quantity previously granted, but with an exercise price set to the then fair value of common stock determined in accordance with a board approved 409A.</w:t>
      </w:r>
    </w:p>
    <w:p>
      <w:pPr>
        <w:spacing w:after="0" w:line="180"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Furthermore, in an effort to make the holders whole, the Company entered into a change in control bonus Letter Agreement with each individual. Pursuant to the agreement, each individual is entitled to an additional lump sum payment capped at the difference between the original aggregate exercise price and the new aggregate exercise price upon a change in control transaction as defined in the Company’s 2016 Equity Incentive Plan, provided that such a transaction also constitutes a “Liquidation Transaction” as defined in the Company’s Certificate of Incorporation.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maximum change in control bonus for executive award holders is $5,837 and remains unamortized as of June 30,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229"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Company leases certain facilities under non-cancelable operating leases that expire at various dates through 2026. Some leases include renewal options, which would permit extensions of the expiration dates at rates approximating fair market rental values. The Company also enters into certain finance leases for computer equipment. The finance leases are collateralized by the financed assets.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Aggregate noncancelable future minimum lease payments under operating and finance leases were as follows as of June 30,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3,754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11,747</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8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(3,299)</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8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440"/>
              <w:spacing w:after="0"/>
              <w:rPr>
                <w:sz w:val="20"/>
                <w:szCs w:val="20"/>
                <w:color w:val="auto"/>
              </w:rPr>
            </w:pPr>
            <w:r>
              <w:rPr>
                <w:rFonts w:ascii="Times New Roman" w:cs="Times New Roman" w:eastAsia="Times New Roman" w:hAnsi="Times New Roman"/>
                <w:sz w:val="18"/>
                <w:szCs w:val="18"/>
                <w:color w:val="auto"/>
              </w:rPr>
              <w:t>The components of lease cost were as follows:</w:t>
            </w:r>
          </w:p>
        </w:tc>
        <w:tc>
          <w:tcPr>
            <w:tcW w:w="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9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2180" w:type="dxa"/>
            <w:vAlign w:val="bottom"/>
            <w:gridSpan w:val="4"/>
          </w:tcPr>
          <w:p>
            <w:pPr>
              <w:jc w:val="center"/>
              <w:ind w:left="232"/>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80" w:type="dxa"/>
            <w:vAlign w:val="bottom"/>
            <w:gridSpan w:val="3"/>
          </w:tcPr>
          <w:p>
            <w:pPr>
              <w:jc w:val="center"/>
              <w:ind w:right="373"/>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20" w:type="dxa"/>
            <w:vAlign w:val="bottom"/>
            <w:gridSpan w:val="6"/>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8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8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w:t>
            </w:r>
          </w:p>
        </w:tc>
        <w:tc>
          <w:tcPr>
            <w:tcW w:w="8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lease cost:</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finance leased assets</w:t>
            </w:r>
          </w:p>
        </w:tc>
        <w:tc>
          <w:tcPr>
            <w:tcW w:w="8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365</w:t>
            </w:r>
          </w:p>
        </w:tc>
        <w:tc>
          <w:tcPr>
            <w:tcW w:w="8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of lease liabilities</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w:t>
            </w:r>
          </w:p>
        </w:tc>
        <w:tc>
          <w:tcPr>
            <w:tcW w:w="8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432"/>
        </w:trPr>
        <w:tc>
          <w:tcPr>
            <w:tcW w:w="73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The table below presents additional information related to our leases as of June 30, 2022:</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0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100" w:type="dxa"/>
            <w:vAlign w:val="bottom"/>
          </w:tcPr>
          <w:p>
            <w:pPr>
              <w:spacing w:after="0"/>
              <w:rPr>
                <w:sz w:val="21"/>
                <w:szCs w:val="21"/>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8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5"/>
              </w:rPr>
              <w:t>3.85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The Company’s total rent expense for the three and six months ended June 30, 2022 was $934 and $1,856, respectively. The Company’s total rent expense for the three and six months ended June 30, 2021 was $923 and $1,959,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OTHER INCOME (EXPENSE), NET</w:t>
      </w:r>
    </w:p>
    <w:p>
      <w:pPr>
        <w:spacing w:after="0" w:line="229"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Other income (expense), net on the condensed consolidated statements of operations and comprehensive loss is comprised of the following for the three and six months ended June 30, 2022 and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180" w:type="dxa"/>
            <w:vAlign w:val="bottom"/>
            <w:gridSpan w:val="4"/>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7"/>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ind w:right="514"/>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w:t>
            </w: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 of derivative and warrant liability</w:t>
            </w:r>
          </w:p>
        </w:tc>
        <w:tc>
          <w:tcPr>
            <w:tcW w:w="8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8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760" w:type="dxa"/>
            <w:vAlign w:val="bottom"/>
          </w:tcPr>
          <w:p>
            <w:pPr>
              <w:spacing w:after="0"/>
              <w:rPr>
                <w:sz w:val="18"/>
                <w:szCs w:val="18"/>
                <w:color w:val="auto"/>
              </w:rPr>
            </w:pPr>
          </w:p>
        </w:tc>
        <w:tc>
          <w:tcPr>
            <w:tcW w:w="5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w w:val="97"/>
              </w:rPr>
              <w:t>(606)</w:t>
            </w:r>
          </w:p>
        </w:tc>
        <w:tc>
          <w:tcPr>
            <w:tcW w:w="3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w:t>
            </w:r>
          </w:p>
        </w:tc>
        <w:tc>
          <w:tcPr>
            <w:tcW w:w="8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7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w w:val="97"/>
              </w:rPr>
              <w:t>(267)</w:t>
            </w:r>
          </w:p>
        </w:tc>
        <w:tc>
          <w:tcPr>
            <w:tcW w:w="3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800" w:type="dxa"/>
            <w:vAlign w:val="bottom"/>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223</w:t>
            </w:r>
          </w:p>
        </w:tc>
        <w:tc>
          <w:tcPr>
            <w:tcW w:w="80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(834</w:t>
            </w:r>
          </w:p>
        </w:tc>
        <w:tc>
          <w:tcPr>
            <w:tcW w:w="220" w:type="dxa"/>
            <w:vAlign w:val="bottom"/>
            <w:vMerge w:val="continue"/>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NET LOSS PER SHARE</w:t>
      </w:r>
    </w:p>
    <w:p>
      <w:pPr>
        <w:spacing w:after="0" w:line="229"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attributable to common stockholders for the three and six months ended June 30, 2022 and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5"/>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238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(30,668)</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(14,652)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(55,771)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(33,912)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dilutive</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162,004,172</w:t>
            </w: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67,357,878</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116,059,520</w:t>
            </w:r>
          </w:p>
        </w:tc>
        <w:tc>
          <w:tcPr>
            <w:tcW w:w="2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66,666,508</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60" w:type="dxa"/>
            <w:vAlign w:val="bottom"/>
            <w:vMerge w:val="continue"/>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2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2022 and 2021, the diluted earnings per share is equal to the basic earnings per share as the effect of potentially dilutive securities would have been antidilutive.</w:t>
      </w:r>
    </w:p>
    <w:p>
      <w:pPr>
        <w:spacing w:after="0" w:line="162"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shares of potentially dilutive securities that were excluded from the calculation of diluted earnings per share because their inclusion would have been anti-dilutive for the three and six months ended June 30, 2022 and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0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2560" w:type="dxa"/>
            <w:vAlign w:val="bottom"/>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0" w:type="dxa"/>
            <w:vAlign w:val="bottom"/>
          </w:tcPr>
          <w:p>
            <w:pPr>
              <w:spacing w:after="0"/>
              <w:rPr>
                <w:sz w:val="1"/>
                <w:szCs w:val="1"/>
                <w:color w:val="auto"/>
              </w:rPr>
            </w:pPr>
          </w:p>
        </w:tc>
      </w:tr>
      <w:tr>
        <w:trPr>
          <w:trHeight w:val="236"/>
        </w:trPr>
        <w:tc>
          <w:tcPr>
            <w:tcW w:w="4200" w:type="dxa"/>
            <w:vAlign w:val="bottom"/>
            <w:tcBorders>
              <w:bottom w:val="single" w:sz="8" w:color="CCEEFF"/>
            </w:tcBorders>
          </w:tcPr>
          <w:p>
            <w:pPr>
              <w:spacing w:after="0"/>
              <w:rPr>
                <w:sz w:val="20"/>
                <w:szCs w:val="20"/>
                <w:color w:val="auto"/>
              </w:rPr>
            </w:pPr>
          </w:p>
        </w:tc>
        <w:tc>
          <w:tcPr>
            <w:tcW w:w="44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4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27,501,865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26,632,235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(RSUs)</w:t>
            </w:r>
          </w:p>
        </w:tc>
        <w:tc>
          <w:tcPr>
            <w:tcW w:w="5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5,791,258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warrants</w:t>
            </w:r>
          </w:p>
        </w:tc>
        <w:tc>
          <w:tcPr>
            <w:tcW w:w="4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745,238</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5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3,532,984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1,063,214</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44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106,303,970</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4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0" w:type="dxa"/>
            <w:vAlign w:val="bottom"/>
            <w:vMerge w:val="continue"/>
          </w:tcPr>
          <w:p>
            <w:pPr>
              <w:spacing w:after="0"/>
              <w:rPr>
                <w:sz w:val="20"/>
                <w:szCs w:val="20"/>
                <w:color w:val="auto"/>
              </w:rPr>
            </w:pPr>
          </w:p>
        </w:tc>
        <w:tc>
          <w:tcPr>
            <w:tcW w:w="44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36,826,107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134,744,657</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448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32</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 INCOME TAXES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5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tax expense and the effective tax rate were as follows: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0"/>
        </w:trPr>
        <w:tc>
          <w:tcPr>
            <w:tcW w:w="5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20" w:type="dxa"/>
            <w:vAlign w:val="bottom"/>
          </w:tcPr>
          <w:p>
            <w:pPr>
              <w:spacing w:after="0"/>
              <w:rPr>
                <w:sz w:val="24"/>
                <w:szCs w:val="24"/>
                <w:color w:val="auto"/>
              </w:rPr>
            </w:pPr>
          </w:p>
        </w:tc>
        <w:tc>
          <w:tcPr>
            <w:tcW w:w="250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5"/>
        </w:trPr>
        <w:tc>
          <w:tcPr>
            <w:tcW w:w="5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36"/>
        </w:trPr>
        <w:tc>
          <w:tcPr>
            <w:tcW w:w="56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(33,702)</w:t>
            </w:r>
          </w:p>
        </w:tc>
        <w:tc>
          <w:tcPr>
            <w:tcW w:w="22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389</w:t>
            </w:r>
          </w:p>
        </w:tc>
        <w:tc>
          <w:tcPr>
            <w:tcW w:w="26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741</w:t>
            </w:r>
          </w:p>
        </w:tc>
        <w:tc>
          <w:tcPr>
            <w:tcW w:w="2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(0.29)%</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r>
    </w:tbl>
    <w:p>
      <w:pPr>
        <w:spacing w:after="0" w:line="198" w:lineRule="exact"/>
        <w:rPr>
          <w:sz w:val="20"/>
          <w:szCs w:val="20"/>
          <w:color w:val="auto"/>
        </w:rPr>
      </w:pPr>
    </w:p>
    <w:p>
      <w:pPr>
        <w:jc w:val="both"/>
        <w:ind w:left="440" w:right="20"/>
        <w:spacing w:after="0" w:line="282" w:lineRule="auto"/>
        <w:rPr>
          <w:sz w:val="20"/>
          <w:szCs w:val="20"/>
          <w:color w:val="auto"/>
        </w:rPr>
      </w:pPr>
      <w:r>
        <w:rPr>
          <w:rFonts w:ascii="Times New Roman" w:cs="Times New Roman" w:eastAsia="Times New Roman" w:hAnsi="Times New Roman"/>
          <w:sz w:val="18"/>
          <w:szCs w:val="18"/>
          <w:color w:val="auto"/>
        </w:rPr>
        <w:t>The increase in the effective tax rate for the three and six months ended June 30, 2022, compared to the three and six months ended June 30, 2021, is primarily due to the amount and mix of income (loss) from multiple tax jurisdictions and withholding taxes in excluded loss jurisdictions.</w:t>
      </w:r>
    </w:p>
    <w:p>
      <w:pPr>
        <w:spacing w:after="0" w:line="162"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The Company’s recorded effective tax rate differs from the U.S. statutory rate primarily due to an increase in the domestic valuation allowance caused by tax losses, foreign withholding taxes and foreign tax rate differentials from the U.S. domestic statutory tax rate.</w:t>
      </w:r>
    </w:p>
    <w:p>
      <w:pPr>
        <w:spacing w:after="0" w:line="162"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The Company currently has valuation allowances recorded against its deductible temporary differences and net operating loss carryforwards in certain jurisdictions where the realizability of such deferred tax assets is substantially in doubt. Each quarter, the Company assesses the likelihood that it will be able to recover its deferred tax assets. The Company considers available evidence, including significant events and transactions, both positive and negative, including reversing taxable temporary differences and forecasted earnings in assessing its need for a valuation allowance in each jurisdiction. As a result of the Company’s analysis, it concluded that it is more likely than not that a portion of its deferred tax assets will not be realized. Therefore, the Company continues to provide a valuation allowance against its deferred tax assets in certain jurisdictions. The Company continues to monitor available evidence and may reverse some or all its remaining valuation allowance in future periods, if appropriate. The Company has a recorded valuation allowance against its deferred tax assets of $2,169 as of June 30, 2022 and December 31, 2021.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229"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Company entered into revenue contracts to perform professional services for certain companies who are also investors in the Company. These companies are holders of the Company’s Class A Common Stock. The following is financial information on related party transactions for the three and six months ended June 30, 2022 and 2021 and as of June 30, 2022 and December 31,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35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500" w:type="dxa"/>
            <w:vAlign w:val="bottom"/>
            <w:tcBorders>
              <w:bottom w:val="single" w:sz="8" w:color="CCEEFF"/>
            </w:tcBorders>
          </w:tcPr>
          <w:p>
            <w:pPr>
              <w:spacing w:after="0"/>
              <w:rPr>
                <w:sz w:val="20"/>
                <w:szCs w:val="20"/>
                <w:color w:val="auto"/>
              </w:rPr>
            </w:pPr>
          </w:p>
        </w:tc>
        <w:tc>
          <w:tcPr>
            <w:tcW w:w="24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3,019</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1,813</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5,190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3,621</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3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3500" w:type="dxa"/>
            <w:vAlign w:val="bottom"/>
            <w:tcBorders>
              <w:bottom w:val="single" w:sz="8" w:color="CCEEFF"/>
            </w:tcBorders>
          </w:tcPr>
          <w:p>
            <w:pPr>
              <w:spacing w:after="0"/>
              <w:rPr>
                <w:sz w:val="21"/>
                <w:szCs w:val="21"/>
                <w:color w:val="auto"/>
              </w:rPr>
            </w:pPr>
          </w:p>
        </w:tc>
        <w:tc>
          <w:tcPr>
            <w:tcW w:w="248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4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1"/>
        </w:trPr>
        <w:tc>
          <w:tcPr>
            <w:tcW w:w="3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500" w:type="dxa"/>
            <w:vAlign w:val="bottom"/>
            <w:vMerge w:val="continue"/>
          </w:tcPr>
          <w:p>
            <w:pPr>
              <w:spacing w:after="0"/>
              <w:rPr>
                <w:sz w:val="19"/>
                <w:szCs w:val="19"/>
                <w:color w:val="auto"/>
              </w:rPr>
            </w:pPr>
          </w:p>
        </w:tc>
        <w:tc>
          <w:tcPr>
            <w:tcW w:w="2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12,064</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4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5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of SoundHound should be read together with our unaudited interim condensed consolidated financial statements as of June 30, 2022 and for the three and six month periods ended June 30, 2022 and 2021, together with related notes thereto, and our pro forma financial information as of and for year ended December 31, 2021 and 2020 included in our registration statement on Form S-1, which was originally filed with the United States Securities and Exchange Commission (the “SEC”) on May 16, 2022 and amended by Amendment No. 1 to Current Report on Form S-1 on July 13, 2022 hereby, the “Form S-1/A” . Some of the information contained in this discussion and analysis or set forth elsewhere in this the Form 10-Q, including information with respect to SoundHound’s plans and strategy for its business and related financing, includes forward-looking statements that involve risks and uncertainties. As a result of many factors, including those factors set forth in the “Risk Factors” and “Cautionary Statement Regarding Forward Looking Statements” section of this the Form 10-Q, our actual results could differ materially from the results described in or implied by the forward-looking statements contained in the following discussion and analysis. Unless otherwise indicated or the context otherwise requires, references in this section to “SoundHound,” “we,” “us,” “our” and other similar terms refer to SoundHound AI, Inc.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 leading innovator of conversational intelligence, offering an independent Voice AI platform that enables businesses across industries to deliver high-quality conversational experiences to their customers. Built on proprietary Speech-to-Meaning, Deep Meaning Understanding and Collective AI breakthrough technologies developed over the past 16 years, our advanced Voice AI platform provides exceptional speed and accuracy and enables humans to interact with products and services like they interact with each other — by speaking naturally.</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Houndify’s Collective AI is an architecture for connecting domain knowledge that encourages collaboration and contribution among developers, is always learning, and is greater than the sum of its parts — ensuring the platform continues to become smarter at a faster rate.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SoundHound’s technology is live in production and at scale with companies around the globe, including Hyundai, Mercedes-Benz, Pandora, Deutsche Telekom, Snap, VIZIO, KIA and Stellantis. As a testament to its capabilities, the Houndify platform surpassed 1 billion annual queries in 2021. Additionally, traffic has experienced over 100% growth through the first half of 2022, compared to the same period in 2021.</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current partners span multiple industries and geographies, and together have a combined reach of over 2 billion end users.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market position is strengthened by the technical barriers to entry in the Voice AI space, which tend to discourage new market participants. Furthermore, our technology is backed by significant investments in intellectual property, with over 250 granted or pending patents,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has extensive technical expertise and a proven track record of innovation and value creation for us to continue to attract customers in the growing market for Voice AI transactions, which is estimated to grow to $160.0 billion per year by 2026.</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the company’s brand, users and data. As a result, brands relying on big tech mostly lose their ability to innovate, differentiate and customize. In some cases, these providers even compete with the products they support, making them increasingly less attractive as a choice for a voice interface.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alternative options are generally legacy vendors tending to use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creates a great opportunity for SoundHound: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it comes to criteria for adoption, our goal is to win on every dimension.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With our disruptive monetization strategy, we also provide an additional path to monetization for our customer base. By choosing our platform, product creators can generate additional revenue while making their product better using Voice AI, providing further incentive to choose our platform.</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we offer a superior ecosystem, benefitting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Our focus is on delivering the most advanced Voice AI in the world and thus allowing our partners to differentiate and innovate their overall experiences for their brands.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When a product is voice enabled, we see three stages of integration and value propositions. The first stage is to enable the core use cases of the product. For example, the product could be a TV, a coffee machine, a car, a wearable device, a robot, a smart speaker or an appliance, and with your voice you can control the functionality of the device and the product. On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within a few seconds, but it can take many steps to do using alternative interfaces such as a remote control or a companion app.</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local businesses. The addition of these public domains further enhances the value proposition of the product.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are three pillars to our revenue model. The first pillar is Product Royalties, where we voice enable a product and the product creator pays us a royalty based on volume, usage or duration. SoundHound collects royalties when Houndify is placed in a car, smart speaker or an appliance, for example.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second pillar is Service Subscription. This is when, for example, SoundHound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8" w:name="page39"/>
    <w:bookmarkEnd w:id="38"/>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third pillar creates a monetization ecosystem that brings the services from pillar two to the products in pillar one. When the users of a voice-enabled product in pillar one access the voice-enabled services of pillar two, these services generate new leads and transactions. SoundHound generates monetization revenue from the services for generating these leads and transactions, and we will share the revenue with the product creators of pillar one. For example, when the driver of a voice-enabled car places an order to a restaurant that’s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 During the periods presented in the condensed consolidated financial statements, we have not generated revenue from leads and transactions on voice-enabled products from voice-enabled services other than from the SoundHound music identification app. Going forward, SoundHound expects monetization revenue to be generated through a combination of advertising revenue from the music identification app and from leads and transactions on voice-enabled products from voice-enabled services.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All three pillars contribute to our revenues today in 2022. While the majority of the contribution is currently from our first pillar of royalties, over time, the subscription and monetization portions are expected to grow and make a bigger contribution to our overall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ATSP Merger</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15, 2021, Archimedes Tech SPAC Partners Co. (“ATSP”), SoundHound, Inc. (“Legacy SoundHound”) and ATSPC Merger Sub, Inc. (“Merger Sub”) entered into a merger agreement (“Merger Agreement”) pursuant to which Merger Sub merged with and into Legacy SoundHound, with Legacy SoundHound continuing as the surviving corporation resulting in the reverse recapitalization of SoundHound (the “Business Combination”). The Business Combination was completed on April 26, 2022 (the “Closing”). In connection with the Closing of the Business Combination, the Company issued $113 million of securities in the PIPE investment. Upon the Closing of the Business Combination, ATSP changed its name to SoundHound AI, Inc.</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Cash proceeds of the Business Combination were funded through a combination of $5.4 million in cash held in trust by ATSP (following satisfaction of redemptions by public stockholders) with 532,050 shares of SoundHound AI Class A common stock remaining outstanding, and $113.0 million in aggregate gross proceeds from PIPE investors in exchange for 11,300,000 shares of SoundHound Class A common stock that closed substantially contemporaneously with the Closing of the Business Combination. The combined company incurred $27.7 million of expenses related to the transaction. After giving effect to these transactions, SoundHound received $90.7 million in net proceeds, which are intended to be used for general corporate purposes, including investments in sales, marketing and advancement of product development, but which may also be used to acquire other companies in the Voice AI industry. SoundHound has not entered into any agreements to acquire companies in the Voice AI industry, nor does it require consummation of mergers or acquisitions of other businesses to achieve its stated goals. That said, if there are candidates that makes strategic, operational and financial sense, the combined company may consider such opportunities from time to time as they become available.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Impact of the Business Combination</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with no goodwill or other intangible assets recorded, in accordance with GAAP. A reverse recapitalization did not result in a new basis of accounting, and the financial statements of the combined entity represent the continuation of the financial statements of Legacy SoundHound in many respects.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this method of accounting, ATSP was treated as the “acquired” company for financial reporting purposes. For accounting purposes, SoundHound was deemed to be the accounting acquirer in the transaction and, consequently, the transaction was treated as a recapitalization of SoundHound (i.e., a capital transaction involving the issuance of stock by ATSP for the stock of SoundHound). Accordingly, the consolidated assets, liabilities and results of operations of SoundHound became the historical financial statements of the combined company, and ATSP’s assets, liabilities and results of operations were consolidated with SoundHound’s beginning on the acquisition date. Operations prior to the Business Combination were presented as those of SoundHound in future reports. The net assets of SoundHound were recognized at carrying value, with no goodwill or other intangible assets recorded.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the full impact of the COVID-19 pandemic on our business continues to develop, we are closely monitoring the global situation. As a supplier to multiple industries, including the automotive industry, we are adversely impacted by the decline in the production of certain of our customers’ products in connection with the COVID-19 pandemic, including reductions in automotive production, chip shortages in the semiconductor industry and broader supply chain challenges across the globe. We are unable at this time to predict the full impact of COVID-19 on our operations, liquidity and financial results, and, depending on the magnitude and duration of the COVID-19 pandemic, such impact may be material. During the three and six months ended June 30, 2021, the COVID-19 pandemic had an impact on our billings and revenue recognized from per unit royalties for Houndify Solutions and, although the impact during the three and six months ended June 30, 2022 was not considered material, the extent of this impact in future periods is not currently determinable. However, we expect billings to increase as car manufacturers continue to recover from delayed production due to the pandemic. Accordingly, it may not be indicative of future results and trends for reasons other than COVID-19 discussed herein may not be indicative of future operating results and trends. While we are unable to accurately predict the full impact that COVID-19 will have on our results from operations, financial condition, liquidity and cash flows due to numerous uncertainties, including the duration and severity of the pandemic and containment measures, these measures have impacted, and may continue to impact, our business, as well as our customers and consumers.</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SoundHound continues to monitor its operations and government recommendations and has modified its operations because of the COVID-19 pandemic, including making remote work more accessible to its employees. SoundHound does not yet know the full extent of potential impacts on our business and operations. Given the extant uncertainty, SoundHound cannot reasonably estimate the impact on our future results of operations, cash flows or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Demands, Commitments, Events or Uncertainties Impacting Our Business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SoundHound believes that its performance and future success depend on many factors that present significant opportunities for us but also pose risks and challenges, including the following:</w:t>
      </w:r>
    </w:p>
    <w:p>
      <w:pPr>
        <w:spacing w:after="0" w:line="158" w:lineRule="exact"/>
        <w:rPr>
          <w:sz w:val="20"/>
          <w:szCs w:val="20"/>
          <w:color w:val="auto"/>
        </w:rPr>
      </w:pPr>
    </w:p>
    <w:p>
      <w:pPr>
        <w:jc w:val="both"/>
        <w:ind w:left="660" w:hanging="328"/>
        <w:spacing w:after="0" w:line="26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Investments in Technology. </w:t>
      </w:r>
      <w:r>
        <w:rPr>
          <w:rFonts w:ascii="Times New Roman" w:cs="Times New Roman" w:eastAsia="Times New Roman" w:hAnsi="Times New Roman"/>
          <w:sz w:val="18"/>
          <w:szCs w:val="18"/>
          <w:color w:val="auto"/>
        </w:rPr>
        <w:t>Our business model since inception has been to invest significantly in our Houndify platform technology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form of dedicated research and development. We will continue to invest in the development of our software platform to deliver consumers with continually improving value and delight. Our investments include continuous enhancements to our ASR and NLU models, investments in data to help refine and improve our underlying algorithms, and other costs to attract and retain a world-class technical workforce.</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Revenue Growth. </w:t>
      </w:r>
      <w:r>
        <w:rPr>
          <w:rFonts w:ascii="Times New Roman" w:cs="Times New Roman" w:eastAsia="Times New Roman" w:hAnsi="Times New Roman"/>
          <w:sz w:val="18"/>
          <w:szCs w:val="18"/>
          <w:color w:val="auto"/>
        </w:rPr>
        <w:t>Our commercial success, including acceptance and use of our applications, will depend on a number of factors, some of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beyond our control, such as size of the market opportunity, successful integration with original equipment manufacturers (“OEM”), competition and demand from the public and members of the conversational AI community. Our product offerings have disruptive effects in the ways human interact with computers and we are developing new, innovative economic models that we believe will enhance value to customers, partners and shareholders.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 longer than consumer cycles. Additionally, as we build new customer relationships, we continually focus on maintaining and growing our existing relationships through long-term partnerships through significant upfront investment in customer specific engineering projects. Our revenue consists of subscription revenue, royalties, and monetization revenues, which we consider recurring if our customer contract does not terminate the relationship and we continue to provide the customer with same or other services in the subsequent year. For example, if we perform a one-time non-recurring engineering project for a customer and that same customer engages with us afterwards for a Product Royalty contract, the revenue in both years, regardless of the specific service, would contribute towards our overall customer retention rate. By contrast, if SoundHound provides an annual subscription contract to a customer and that customer does not execute an agreement for services for the subsequent annual period, SoundHound would not consider that customer as retained. As determined on the foregoing basis, based on the number of customers to whom we provide services during one year compared to the prior year period, our customer retention rate as of June 30, 2022 is at least 90%.</w:t>
      </w:r>
    </w:p>
    <w:p>
      <w:pPr>
        <w:spacing w:after="0" w:line="194"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The results of our business will depend in part on our ability to establish and increase our gross margins by scaling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Seasonality. </w:t>
      </w:r>
      <w:r>
        <w:rPr>
          <w:rFonts w:ascii="Times New Roman" w:cs="Times New Roman" w:eastAsia="Times New Roman" w:hAnsi="Times New Roman"/>
          <w:sz w:val="18"/>
          <w:szCs w:val="18"/>
          <w:color w:val="auto"/>
        </w:rPr>
        <w:t>Our ability to accurately forecast demand for our technology could be negatively affected by many factors, including seasonal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demand. We anticipate that we will experience fluctuations in customer and user demand based on seasonality. Given that we address markets across several different industry verticals, the associated overall seasonality impact to us may not be consistent year-to-year.</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Development of International Markets. </w:t>
      </w:r>
      <w:r>
        <w:rPr>
          <w:rFonts w:ascii="Times New Roman" w:cs="Times New Roman" w:eastAsia="Times New Roman" w:hAnsi="Times New Roman"/>
          <w:sz w:val="18"/>
          <w:szCs w:val="18"/>
          <w:color w:val="auto"/>
        </w:rPr>
        <w:t>We have rapidly expanded our capabilities and global reach. We have globalized our solution from 1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22 languages, with a roadmap of 38 languages and 114 acoustic variations. We view opportunities for conversational Voice AI to be global in reach, and we expect our growth to be fueled across multiple geographies.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Industry Risks. </w:t>
      </w:r>
      <w:r>
        <w:rPr>
          <w:rFonts w:ascii="Times New Roman" w:cs="Times New Roman" w:eastAsia="Times New Roman" w:hAnsi="Times New Roman"/>
          <w:sz w:val="18"/>
          <w:szCs w:val="18"/>
          <w:color w:val="auto"/>
        </w:rPr>
        <w:t>The COVID-19 pandemic has adversely affected our business and results of operations to date. The duration and extent to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COVID-19 pandemic will continue to adversely impact our business and results of operations remains uncertain and could be material. Additionally, the military conflict between Russia and Ukraine, which began on February 24, 2022, has had an adverse impact on the global economy and financial markets. Although our business has not been materially impacted by this ongoing military conflict, it is impossible to predict the extent to which our operations, or those of our customers’ suppliers and manufacturers, will be impacted in the short and long term, or the ways in which the conflict may impact our business. The extent and duration of the military action, sanctions and resulting market disruptions are impossible to predict but could be substantial.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69"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were prepared in accordance with U.S. GAAP for the three and six months ended June 30, 2022 and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SoundHound generates revenues through: (1) “Product Royalties,” meaning royalties from voice-enabled products which are driven by volume, usage or life of applicable products and are affected by number of devices, users and units of usage time, (2) “Service Subscriptions,” meaning subscription revenues, derived from monthly fees based on usage-based revenue, revenue per query or revenue per user, and (3) “Monetization,” meaning revenues generated from focused ad targeting to users of products and services that employ our technologies. Currently, our monetization revenue is derived from our music identification application primarily in the form of ad impression revenue — revenue generated when an ad is shown in our music identification app — and, to a lesser extent, affiliate revenue for referrals to music stores for content sales and downloads of our premium music application.</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“Houndified Products,” meaning products of our customers that employ SoundHound technology, and “Houndified Services,” meaning services provided to customers related to SoundHound technology, provide our customers with access to our Houndify platform over a contractual period without taking possession of the software. This generally includes revenues derived from up-front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 revenues from distinct professional services are recognized as the services are performed or when the services are complete depending on the arrangement.</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and may continue to experience volatility for our remaining performance obligations and deferred revenue as a result of the timing for completing our performance obligations. We had remaining performance obligations in the amount of $23.1 million as of June 30, 2022, consisting of both billed and unbilled consideration. Deferred revenue consists of billings or payments received in advance of revenue being recognized and can fluctuate with changes in billing frequency and other factors. As a result of these factors, as well as our mix of revenue streams and billing frequencies, we do not believe that changes in our remaining performance obligations and deferred revenue in a given period are directly correlated with our revenue growth in that period.</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anticipate that we will experience fluctuations in our revenues from quarter-to-quarter due to a variety of factors, including the supply and demand of end user products such as automobiles, the size and success of our sales force and the number of users who are aware of and use our applications.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classify our operating expenses into the following four categories, which are cost of revenues, sales and marketing, research and development, and general and administrative. Excluding cost of revenues, each expense category includes overhead, including rent and related occupancy costs, which is allocated based on headcount.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SoundHound’s cost of revenues are comprised of direct costs associated directly with SoundHound’s revenue streams as described above. This primarily includes costs and depreciation related to hosting for cloud-based services, such as data centers, electricity charges, content fees and certain personnel-related expenses that are directly related to these revenue streams.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of personnel-related expenses related costs of the sales and marketing team, promotional campaigns, advertising fees and other marketing related costs. Advertising costs are expensed to sales and marketing when incurred. We expect that our sales and marketing expenses will continue to increase as we continue to increase headcount and program spend to support a greater investment in go-to-market strategies and customer engagement.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are our largest operating expense as we continue to develop our software platforms and produce new technological capabilities.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in the periods in which they are incurred. We expect that our research and development expenses will continue to increase as we continue to invest in development activities related to our current and future applications.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accounting and legal expenses, third-party consulting costs, insurance and allocated overhead including rent, depreciation and utilities.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due to our operations as a public company, including expenses related to compliance with the rules and regulations applicable to companies listed on a national securities exchange and related to compliance and reporting obligations pursuant to the rules and regulations of the SEC, as well as increased expenses for insurance (including director and officer insurance), investor relations activities and other administrative and professional services such as accounting, legal, regulatory and tax. We also expect our administrative expenses, including personnel related expenses, to increase as we increase our headcount and expand our facilities and information technology to support our operations as a public company. Our general and administrative expenses may fluctuate from period-to-period due to seasonality.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consists of stated interest incurred on our outstanding convertible notes and debt during the relevant periods, as well as the amortization of debt discounts and issuance costs over the life of the instruments or a shorter period if a lender can demand payment in the event certain events occur that are outside of the control of the Company.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issuance of debt instruments with direct transaction costs and the bifurcation of embedded derivatives and warrant instruments has resulted in debt discounts. Direct transaction costs consist of various transaction fees, such as bank and legal fees, that are incurred upon issuance. Overall, the discounts from debt issuance costs result in an increased amount of interest expense over the amortization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and Warrant Liability</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account for certain warrants and conversion features as liabilities at fair value and adjust the instruments to fair value at each reporting period. We determined that the conversion feature associated with one of our debt instruments is a freestanding derivative instrument. The derivative and warrant liabilities’ changes in fair value that result from remeasurement at each balance sheet date is recognized in the Company’s condensed consolidated statement of operations and comprehensive loss as other income (expense), net.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income (expense), net consists of realized and unrealized gains and losses related to foreign currency revaluation. As the functional currency of the Company and its subsidiaries is the U.S. dollar, transactions denominated in foreign currency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Income tax expense includes federal, state and foreign taxes and is based on reported income before income taxes. We are in a cumulative loss position for tax purposes based on historical earnings. As of December 31, 2021, the Company had net operating loss carry forwards of approximately $301.5 million and $102.9 million available to reduce future taxable income, if any, for both federal and state income tax purposes, respectively. Additionally, as of December 31, 2021, the Company had net operating loss carryforwards of $3.4 million relating to net operating losses in Germany (“Germany Net Operating Losses”). The federal and state net operating loss carry forwards will start to expire in 2025 and 2028, respectively, with the exception of $212.9 million in federal net operating loss carryforwards, which can be carried forward indefinitely. The Germany Net Operating Losses can be carried forward indefinitely. The Company also had federal and state research and development credit carry forwards of approximately $8.9 million and $8.0 million, respectively, at December 31, 2021. The federal credits will expire starting in 2029 if not utilized. State research and development tax credits will carry forward indefinitely.</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may in the future experience ownership changes as a result of changes in our stock ownership (some of which are not in our control). For these reasons, or other factors outside of our control, such as future regulatory or other changes, our ability to utilize our NOL carryforwards and other tax attributes to reduce future tax liabilities may be limited.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significant components of our results of operations for the three and six months ended June 30, 2022 and 2021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5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59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r>
      <w:tr>
        <w:trPr>
          <w:trHeight w:val="236"/>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w:t>
            </w:r>
          </w:p>
        </w:tc>
      </w:tr>
      <w:tr>
        <w:trPr>
          <w:trHeight w:val="203"/>
        </w:trPr>
        <w:tc>
          <w:tcPr>
            <w:tcW w:w="59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2,488</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1,628</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860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4,370</w:t>
            </w:r>
          </w:p>
        </w:tc>
        <w:tc>
          <w:tcPr>
            <w:tcW w:w="2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1,008</w:t>
            </w:r>
          </w:p>
        </w:tc>
        <w:tc>
          <w:tcPr>
            <w:tcW w:w="3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3,362</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18,862</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14,023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4,839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7"/>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9,362</w:t>
            </w:r>
          </w:p>
        </w:tc>
        <w:tc>
          <w:tcPr>
            <w:tcW w:w="280" w:type="dxa"/>
            <w:vAlign w:val="bottom"/>
          </w:tcPr>
          <w:p>
            <w:pPr>
              <w:spacing w:after="0"/>
              <w:rPr>
                <w:sz w:val="20"/>
                <w:szCs w:val="20"/>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4,119</w:t>
            </w:r>
          </w:p>
        </w:tc>
        <w:tc>
          <w:tcPr>
            <w:tcW w:w="300" w:type="dxa"/>
            <w:vAlign w:val="bottom"/>
          </w:tcPr>
          <w:p>
            <w:pPr>
              <w:spacing w:after="0"/>
              <w:rPr>
                <w:sz w:val="20"/>
                <w:szCs w:val="20"/>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5,243</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6"/>
        </w:trPr>
        <w:tc>
          <w:tcPr>
            <w:tcW w:w="59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4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(28,930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(12,499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(16,431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w:t>
            </w:r>
          </w:p>
        </w:tc>
        <w:tc>
          <w:tcPr>
            <w:tcW w:w="2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(1,572)</w:t>
            </w:r>
          </w:p>
        </w:tc>
        <w:tc>
          <w:tcPr>
            <w:tcW w:w="2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(2,294)</w:t>
            </w:r>
          </w:p>
        </w:tc>
        <w:tc>
          <w:tcPr>
            <w:tcW w:w="3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722</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9"/>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223</w:t>
            </w: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184</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0"/>
        </w:trPr>
        <w:tc>
          <w:tcPr>
            <w:tcW w:w="594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(2,110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761</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w:t>
            </w:r>
          </w:p>
        </w:tc>
        <w:tc>
          <w:tcPr>
            <w:tcW w:w="2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w w:val="95"/>
              </w:rPr>
              <w:t>)%</w:t>
            </w:r>
          </w:p>
        </w:tc>
      </w:tr>
      <w:tr>
        <w:trPr>
          <w:trHeight w:val="216"/>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389</w:t>
            </w:r>
          </w:p>
        </w:tc>
        <w:tc>
          <w:tcPr>
            <w:tcW w:w="280" w:type="dxa"/>
            <w:vAlign w:val="bottom"/>
          </w:tcPr>
          <w:p>
            <w:pPr>
              <w:spacing w:after="0"/>
              <w:rPr>
                <w:sz w:val="20"/>
                <w:szCs w:val="20"/>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tcPr>
          <w:p>
            <w:pPr>
              <w:spacing w:after="0"/>
              <w:rPr>
                <w:sz w:val="20"/>
                <w:szCs w:val="20"/>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346</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50"/>
        </w:trPr>
        <w:tc>
          <w:tcPr>
            <w:tcW w:w="59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66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5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36"/>
        </w:trPr>
        <w:tc>
          <w:tcPr>
            <w:tcW w:w="59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r>
      <w:tr>
        <w:trPr>
          <w:trHeight w:val="236"/>
        </w:trPr>
        <w:tc>
          <w:tcPr>
            <w:tcW w:w="5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12,018</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w:t>
            </w:r>
          </w:p>
        </w:tc>
      </w:tr>
      <w:tr>
        <w:trPr>
          <w:trHeight w:val="230"/>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5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4,261</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3,221</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1,040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5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6,951</w:t>
            </w:r>
          </w:p>
        </w:tc>
        <w:tc>
          <w:tcPr>
            <w:tcW w:w="2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2,084</w:t>
            </w:r>
          </w:p>
        </w:tc>
        <w:tc>
          <w:tcPr>
            <w:tcW w:w="3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4,867</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5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35,512</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28,466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7,046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6"/>
        </w:trPr>
        <w:tc>
          <w:tcPr>
            <w:tcW w:w="5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13,365</w:t>
            </w:r>
          </w:p>
        </w:tc>
        <w:tc>
          <w:tcPr>
            <w:tcW w:w="280" w:type="dxa"/>
            <w:vAlign w:val="bottom"/>
          </w:tcPr>
          <w:p>
            <w:pPr>
              <w:spacing w:after="0"/>
              <w:rPr>
                <w:sz w:val="20"/>
                <w:szCs w:val="20"/>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7,365</w:t>
            </w:r>
          </w:p>
        </w:tc>
        <w:tc>
          <w:tcPr>
            <w:tcW w:w="300" w:type="dxa"/>
            <w:vAlign w:val="bottom"/>
          </w:tcPr>
          <w:p>
            <w:pPr>
              <w:spacing w:after="0"/>
              <w:rPr>
                <w:sz w:val="20"/>
                <w:szCs w:val="20"/>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6,000</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6"/>
        </w:trPr>
        <w:tc>
          <w:tcPr>
            <w:tcW w:w="59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40" w:type="dxa"/>
            <w:vAlign w:val="bottom"/>
            <w:tcBorders>
              <w:bottom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(49,647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(29,118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(20,529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r>
      <w:tr>
        <w:trPr>
          <w:trHeight w:val="243"/>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16"/>
        </w:trPr>
        <w:tc>
          <w:tcPr>
            <w:tcW w:w="5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(4,549)</w:t>
            </w:r>
          </w:p>
        </w:tc>
        <w:tc>
          <w:tcPr>
            <w:tcW w:w="2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(3,042)</w:t>
            </w:r>
          </w:p>
        </w:tc>
        <w:tc>
          <w:tcPr>
            <w:tcW w:w="3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(1,507)</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50"/>
        </w:trPr>
        <w:tc>
          <w:tcPr>
            <w:tcW w:w="5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(834)</w:t>
            </w: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(1,542)</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708</w:t>
            </w:r>
          </w:p>
        </w:tc>
        <w:tc>
          <w:tcPr>
            <w:tcW w:w="3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0"/>
        </w:trPr>
        <w:tc>
          <w:tcPr>
            <w:tcW w:w="5940" w:type="dxa"/>
            <w:vAlign w:val="bottom"/>
            <w:tcBorders>
              <w:top w:val="single" w:sz="8" w:color="CCEEFF"/>
              <w:bottom w:val="single" w:sz="8" w:color="CCEEFF"/>
            </w:tcBorders>
          </w:tcPr>
          <w:p>
            <w:pPr>
              <w:ind w:left="460"/>
              <w:spacing w:after="0" w:line="203" w:lineRule="exact"/>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(5,383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(4,584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7"/>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741</w:t>
            </w:r>
          </w:p>
        </w:tc>
        <w:tc>
          <w:tcPr>
            <w:tcW w:w="280" w:type="dxa"/>
            <w:vAlign w:val="bottom"/>
          </w:tcPr>
          <w:p>
            <w:pPr>
              <w:spacing w:after="0"/>
              <w:rPr>
                <w:sz w:val="20"/>
                <w:szCs w:val="20"/>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tcPr>
          <w:p>
            <w:pPr>
              <w:spacing w:after="0"/>
              <w:rPr>
                <w:sz w:val="20"/>
                <w:szCs w:val="20"/>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531</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50"/>
        </w:trPr>
        <w:tc>
          <w:tcPr>
            <w:tcW w:w="59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revenues by type and geographic regions for the three and six months ended June 30, 2022 and 2021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5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560" w:type="dxa"/>
            <w:vAlign w:val="bottom"/>
            <w:tcBorders>
              <w:bottom w:val="single" w:sz="8" w:color="CCEEFF"/>
            </w:tcBorders>
          </w:tcPr>
          <w:p>
            <w:pPr>
              <w:spacing w:after="0"/>
              <w:rPr>
                <w:sz w:val="20"/>
                <w:szCs w:val="20"/>
                <w:color w:val="auto"/>
              </w:rPr>
            </w:pPr>
          </w:p>
        </w:tc>
        <w:tc>
          <w:tcPr>
            <w:tcW w:w="23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Royalties</w:t>
            </w:r>
          </w:p>
        </w:tc>
        <w:tc>
          <w:tcPr>
            <w:tcW w:w="23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Service Subscriptions</w:t>
            </w: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392</w:t>
            </w:r>
          </w:p>
        </w:tc>
        <w:tc>
          <w:tcPr>
            <w:tcW w:w="3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Monetization</w:t>
            </w:r>
          </w:p>
        </w:tc>
        <w:tc>
          <w:tcPr>
            <w:tcW w:w="23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(199)</w:t>
            </w:r>
          </w:p>
        </w:tc>
        <w:tc>
          <w:tcPr>
            <w:tcW w:w="3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7"/>
        </w:trPr>
        <w:tc>
          <w:tcPr>
            <w:tcW w:w="3560" w:type="dxa"/>
            <w:vAlign w:val="bottom"/>
            <w:tcBorders>
              <w:top w:val="single" w:sz="8" w:color="CCEEFF"/>
            </w:tcBorders>
          </w:tcPr>
          <w:p>
            <w:pPr>
              <w:spacing w:after="0"/>
              <w:rPr>
                <w:sz w:val="20"/>
                <w:szCs w:val="20"/>
                <w:color w:val="auto"/>
              </w:rPr>
            </w:pPr>
          </w:p>
        </w:tc>
        <w:tc>
          <w:tcPr>
            <w:tcW w:w="238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220" w:type="dxa"/>
            <w:vAlign w:val="bottom"/>
            <w:tcBorders>
              <w:top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220" w:type="dxa"/>
            <w:vAlign w:val="bottom"/>
            <w:tcBorders>
              <w:top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3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5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5"/>
        </w:trPr>
        <w:tc>
          <w:tcPr>
            <w:tcW w:w="5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6"/>
        </w:trPr>
        <w:tc>
          <w:tcPr>
            <w:tcW w:w="59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Royalties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Service Subscriptions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745</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795</w:t>
            </w:r>
          </w:p>
        </w:tc>
        <w:tc>
          <w:tcPr>
            <w:tcW w:w="3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Monetization</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(342)</w:t>
            </w:r>
          </w:p>
        </w:tc>
        <w:tc>
          <w:tcPr>
            <w:tcW w:w="3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7"/>
        </w:trPr>
        <w:tc>
          <w:tcPr>
            <w:tcW w:w="594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22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12,018</w:t>
            </w:r>
          </w:p>
        </w:tc>
        <w:tc>
          <w:tcPr>
            <w:tcW w:w="22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1"/>
        </w:trPr>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5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59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923</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921</w:t>
            </w:r>
          </w:p>
        </w:tc>
        <w:tc>
          <w:tcPr>
            <w:tcW w:w="3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1,143</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5,198</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(4,055)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1,837</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w:t>
            </w:r>
          </w:p>
        </w:tc>
        <w:tc>
          <w:tcPr>
            <w:tcW w:w="3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1,444</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0"/>
        </w:trPr>
        <w:tc>
          <w:tcPr>
            <w:tcW w:w="59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1"/>
        </w:trPr>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5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59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1,850</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1,954</w:t>
            </w:r>
          </w:p>
        </w:tc>
        <w:tc>
          <w:tcPr>
            <w:tcW w:w="3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1,826</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6,217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(4,391)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2,296</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w:t>
            </w:r>
          </w:p>
        </w:tc>
        <w:tc>
          <w:tcPr>
            <w:tcW w:w="3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1,903</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653</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278</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50"/>
        </w:trPr>
        <w:tc>
          <w:tcPr>
            <w:tcW w:w="59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Total revenues decreased by $2.1 million, or 26% and $1.6 million, or 13% in the three and six months ended June 30, 2022, compared to the same periods in 2021. The decrease is primarily attributed to the recognition of $4.3 million in nonrecurring revenue as a result of a contract modification to end a distinct professional service contract prior to completion with a customer in Germany during the three and six months ended June 30, 2021, partially offset by a $1.3 million increase in hosted services during the three and six months ended June 30, 2022 and a $0.9 million and $1.5 million increase in professional services during the three and six months ended June 30, 2022, respectively. In addition, monetization revenue decreased by $0.2 million and $0.3 million during the three and six months ended June 30, 2022, respectively, compared to the same periods in 2021. The decrease in monetization revenue is due to a decrease in advertising revenue from lower traffic and less user impressions on the SoundHound music application.</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benefited from growth across the United States, France and other smaller foreign regions from scaling our Houndify Products with large automotive and device makers. We have experienced additional growth of revenue of Houndified Products in geographic regions of France and the United States of $1.4 million and $0.6 million, and $1.9 million and $0.9 million, respectively, during the three and six months ended June 30, 2022 compared to the same periods in 2021. In France, our revenue increased due to distinct customization services sold to an existing large automotive company which also commenced production of our Houndified Product in their vehicles. In the United States, the increase is primarily attributed to an increase in royalties from one customer due to higher usage and hosting. Additionally, we experienced a $4.1 million and $4.4 million decrease in revenue from Germany during the three and six months ended June 30, 2022, respectively, compared to the same periods in 2021. This was primarily due to a one-time contract modification to end a distinct professional service contract prior to completion with a customer in Germany during the three and six months ended June 30, 2021. This customer was retained through ongoing hosting services. Revenue in both periods came principally from customers across the automotive and IoT sectors, with less significant amounts derived from other industry verticals.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Cost of revenues increased by $0.9 million, or 53%, and $1.0 million, or 32%, in the three and six months ended June 30, 2022, respectively, compared to the same periods in 2021. The increases are primarily related to incurring additional data center and hosting costs due to system migrations in order to support our revenue growth. The increase in cost of revenues relative to revenues (gross margin) was primarily due to the one-time contract modification to end the distinct professional service contract prior to completion with a customer in Germany as described above during the three and six months ended June 30,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$4.8 million, or 35%, and $7.0 million, or 25%, in the three and six months ended June 30, 2022, respectively, compared to the same periods in 2021. This increase in research and development expenses was primarily related to our investment in technology and engineering and increasing our full-time engineer headcount to ensure we remain at the forefront of innovation, while also helping to develop and scale new products and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$3.4 million, or 334%, and $4.9 million, or 234%, in the three and six months ended June 30, 2022, respectively, compared to the same periods in 2021. This increase is due to an increase in headcount and program spend to support a greater investment in go-to-market strategies and customer engagement.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General and administrative costs increased by $5.2 million, or 127%, and $6.0 million, or 81%, in the three and six months ended June 30, 2022, respectively, compared to the same periods in 2021. This increase represents investments in our human resources, finance and legal functions, including increased personnel-related expenses as we prepared and began to function as a public entity. The increase includes higher salaries and compensation packages for executive hires as well as an additional $4.3 million and $4.7 million of stock -based compensation expense in the three and six months ended June 30, 2022, respectively, compared to the same periods in 2021. Our expansion efforts, focused both on geographical reach and service compatibility, led to an increase of operational costs and resources incurred. Expenses related to the Business Combination also contributed to an increase in costs related to third-party specialists. In addition, an increase in other public readiness costs includes directors’ and officers’ insurance, capital markets advisory, accounting and legal support for SEC filings following the Business Combination. We also continued our efforts in reviewing and realigning our cost structure based on teams' evolving responsibilities. As a result, we shifted resources from research and development to general and administrative activities to better align with the investments being made to fuel the growth as we scale as a new public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Interest expense decreased by $0.7 million, or 31%, and increased by $1.5 million, or 50%, in the three and six months ended June 30, 2022, respectively, compared to the same periods in 2021. The increase in the six months ended June 30, 2022, was attributable to the issuance of SoundHound’s 2021 note payable (“SVB March 2021 Note”) and 2021 convertible note (“SCI June 2021 Note”), resulting in $30.0 million and $15.0 million draws, respectively. These debt instruments were accompanied by the issuances of related common stock warrants, resulting in debt discounts to be amortized over the life of the instrument. The increase in our debt balance related to these draws in 2021 has led to increases in interest expense and amortization of debt issuance costs during the six months ended June 30, 2022.</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decrease in interest expense in the three months ended June 30, 2022 was attributable to the conversion of the promissory note issued in June 2020 (“SNAP June 2020 Note”). On April 26, 2022, all outstanding principal of $15.0 million and accrued interest of $1.4 million were converted into Class A Common Stock. As our debt balance significantly decreased in the three months ended June 30, 2022, our interest expense and amortization of debt issuance costs have decreased as well. In addition, the Business Combination extended the SVB March 2021 Note’s maturity date, leading to a reduction in interest expense due to discounts being amortized over longer periods starting on April 26, 2022.</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The following tables summarize our other income (expense), net, by type (in thousands):</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3600%</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and warrant liability</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89</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237"/>
        </w:trPr>
        <w:tc>
          <w:tcPr>
            <w:tcW w:w="59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tcPr>
          <w:p>
            <w:pPr>
              <w:spacing w:after="0"/>
              <w:rPr>
                <w:sz w:val="20"/>
                <w:szCs w:val="20"/>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tcPr>
          <w:p>
            <w:pPr>
              <w:spacing w:after="0"/>
              <w:rPr>
                <w:sz w:val="20"/>
                <w:szCs w:val="20"/>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and warrant liability</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(606)</w:t>
            </w:r>
          </w:p>
        </w:tc>
        <w:tc>
          <w:tcPr>
            <w:tcW w:w="2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(1,314)</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708</w:t>
            </w:r>
          </w:p>
        </w:tc>
        <w:tc>
          <w:tcPr>
            <w:tcW w:w="3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(267)</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(234)</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237"/>
        </w:trPr>
        <w:tc>
          <w:tcPr>
            <w:tcW w:w="59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20" w:type="dxa"/>
            <w:vAlign w:val="bottom"/>
            <w:vMerge w:val="continue"/>
          </w:tcPr>
          <w:p>
            <w:pPr>
              <w:spacing w:after="0"/>
              <w:rPr>
                <w:sz w:val="20"/>
                <w:szCs w:val="20"/>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220" w:type="dxa"/>
            <w:vAlign w:val="bottom"/>
            <w:vMerge w:val="continue"/>
          </w:tcPr>
          <w:p>
            <w:pPr>
              <w:spacing w:after="0"/>
              <w:rPr>
                <w:sz w:val="20"/>
                <w:szCs w:val="20"/>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708</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and Warrant Liability</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gain attributable to the change in fair value of derivative and warrant liability decreased by $0.1 million, or 116%, in the three months ended June 30, 2022, compared to the same period in 2021. The loss attributable to the change in fair value of derivative and warrant liability decreased by $0.7 million, or 54%, in the six months ended June 30, 2022, compared to the same period in 2021. The changes were partially attributed to $0.6 million and $0.9 million in losses, from the change in fair value of the warrant liability during the three and six months ended June 30, 2021, respectively, as compared to no change in the fair value of the warrant liability during the three and six months ended June 30, 2022, due to the exercise of Series C Warrants in December 2021, which extinguished the Company’s corresponding warrant liability.</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balances during the three and six months ended June 30, 2022 solely reflect the changes in fair value of the embedded derivative from the SNAP June 2020 Note. The fair value of the derivative liability decreased by a nominal amount and $0.6 million during the three and six months ended June 30, 2022, respectively, compared to an increase of $0.7 million and a decrease of $0.5 million during the three months and six months ended June 30, 2021, respectively. The changes in fair value of the derivative liability represent corresponding gains or losses on the Condensed Consolidated Statement of Operations and Comprehensive Loss due to changes in probability assumptions of a change in control or SPAC transaction as the transaction approached closing.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income, net increased by $0.1 million, or 113%, in the three months ended June 30, 2022, compared to the same period in 2021. This increase was primarily due to favorable foreign currency exchange rates during the three months ended June 30, 2022, resulting in greater gain from currency revaluation on transactions denominated in a foreign currency compared to those conducted in the three months ended June 30, 2021.</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expense, net increased by a nominal amount in the six months ended June 30, 2022, compared to the same period in 2021. This increase was primarily due to unfavorable foreign currency exchange rates during the six months ended June 30, 2022, resulting in greater loss from currency revaluation on transactions denominated in a foreign currency compared to those conducted in the six months ended June 30,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Provision for income taxes increased by $0.3 million, or 805%, and $0.5 million, or 253%, during the three and six months ended June 30, 2022, respectively, compared to the same periods in 2021. Our effective tax rates increased by approximately a percentage point for each of the three and six months ended June 30, 2022 when compared to the same periods in 2021.</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increase in the effective tax rate for the three and six months ended June 30, 2022, compared to the three and six months ended June 30, 2021, is primarily due to the amount and mix of income (loss) from multiple tax jurisdictions and withholding taxes in excluded loss jurisdictions.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recorded effective tax rate differs from the U.S. statutory rate primarily due to an increase in the domestic valuation allowance caused by tax losses, foreign withholding taxes and foreign tax rate differentials from the U.S. domestic statutory tax rate.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Business Combination, we raised gross proceeds of $118.4 million including a combination of $5.4 million in cash held in trust by ATSP (following satisfaction of redemptions by public stockholders), and $113.0 million in aggregate gross proceeds from PIPE investors. The combined company incurred $27.7 million of expenses related to the transaction.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had $65.0 million in cash and cash equivalents as of June 30, 2022. We believe our operating cash flows together with our cash on hand is sufficient to meet our current working capital and capital expenditure requirements for a period of at least twelve months from the date of the Form 10-Q. However, the Company may choose to raise additional capital through a debt or equity financing in order to pursue additional strategic investment opportunities. Additional capital, if required, may not be available on reasonable terms, if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and Other Obligations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Because we expect to continue significantly increasing our investments in software application and development, we enter into various contracts and agreements to increase our availability of capital..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 finance lease obligations and a diversified spread of debt instruments. See Note 7 and Note 14 to our unaudited condensed consolidated financial statements included within this Quarterly Report on Form 10-Q for more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Financing</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are our material debt agreements as of June 30, 2022:</w:t>
      </w:r>
    </w:p>
    <w:p>
      <w:pPr>
        <w:spacing w:after="0" w:line="223" w:lineRule="exact"/>
        <w:rPr>
          <w:sz w:val="20"/>
          <w:szCs w:val="20"/>
          <w:color w:val="auto"/>
        </w:rPr>
      </w:pPr>
    </w:p>
    <w:p>
      <w:pPr>
        <w:jc w:val="both"/>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SVB March 2021 </w:t>
      </w:r>
      <w:r>
        <w:rPr>
          <w:rFonts w:ascii="Times New Roman" w:cs="Times New Roman" w:eastAsia="Times New Roman" w:hAnsi="Times New Roman"/>
          <w:sz w:val="18"/>
          <w:szCs w:val="18"/>
          <w:color w:val="auto"/>
        </w:rPr>
        <w:t>— In March 2021, we entered into a loan and security agreement with a commercial bank to borrow $30.0 million (“SVB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Note”). In April 2022, the Company entered into a loan modification agreement, which extended the SVB March 2021 Note’s early maturity date from April 26, 2022 to May 26, 2022. As the SNAP June 2020 Note converted on April 26, 2022 the performance milestone was met and the SVB March 2021 Note’s maturity date was extended to September 1, 2024.</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SCI June 2021 Note </w:t>
      </w:r>
      <w:r>
        <w:rPr>
          <w:rFonts w:ascii="Times New Roman" w:cs="Times New Roman" w:eastAsia="Times New Roman" w:hAnsi="Times New Roman"/>
          <w:sz w:val="18"/>
          <w:szCs w:val="18"/>
          <w:color w:val="auto"/>
        </w:rPr>
        <w:t>— In June 2021, we issued a note pursuant to a loan and security agreement with a lender to borrow up to a commitment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$15.0 million in $5.0 million increments (“SCI June 2021 Note”). Through December 31, 2021, we had borrowed $15.0 million. The maturity date of the loan is May 31,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six months ended June 30, 2022 and 2021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424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tcPr>
          <w:p>
            <w:pPr>
              <w:spacing w:after="0"/>
              <w:rPr>
                <w:sz w:val="20"/>
                <w:szCs w:val="20"/>
                <w:color w:val="auto"/>
              </w:rPr>
            </w:pPr>
          </w:p>
        </w:tc>
        <w:tc>
          <w:tcPr>
            <w:tcW w:w="44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4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(982)</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90,167</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35,254</w:t>
            </w:r>
          </w:p>
        </w:tc>
        <w:tc>
          <w:tcPr>
            <w:tcW w:w="0" w:type="dxa"/>
            <w:vAlign w:val="bottom"/>
          </w:tcPr>
          <w:p>
            <w:pPr>
              <w:spacing w:after="0"/>
              <w:rPr>
                <w:sz w:val="1"/>
                <w:szCs w:val="1"/>
                <w:color w:val="auto"/>
              </w:rPr>
            </w:pPr>
          </w:p>
        </w:tc>
      </w:tr>
      <w:tr>
        <w:trPr>
          <w:trHeight w:val="27"/>
        </w:trPr>
        <w:tc>
          <w:tcPr>
            <w:tcW w:w="4240" w:type="dxa"/>
            <w:vAlign w:val="bottom"/>
            <w:shd w:val="clear" w:color="auto" w:fill="CCEEFF"/>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Pr>
          <w:p>
            <w:pPr>
              <w:spacing w:after="0"/>
              <w:rPr>
                <w:sz w:val="21"/>
                <w:szCs w:val="21"/>
                <w:color w:val="auto"/>
              </w:rPr>
            </w:pPr>
          </w:p>
        </w:tc>
        <w:tc>
          <w:tcPr>
            <w:tcW w:w="46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42,418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444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during the six months ended June 30, 2022 was $46.8 million, consisting primarily of our net loss of $55.8 million, adjusted for non-cash charges of $16.9 million and net cash used by changes in our operating assets and liabilities of $7.9 million. The non-cash charges were driven by $10.3 million in stock-based compensation expense, $2.2 million in amortization of debt issuance cost, $2.3 million in depreciation and amortization expense, $1.5 million in non-cash lease amortization and $0.6 million in remeasurement of derivative and warrant liability fair value. Net cash used in changes in our operating assets and liabilities of $7.9 million was primarily due to a decrease of $5.4 million in deferred revenue due to amortization of customers’ contracts during the six months ended June 30, 2022, an increase of $3.4 million in prepaid expenses due to a prepayment for directors and officers insurance as well as our increased activity with more subscriptions and prepaid costs, a decrease in operating lease liabilities of $2.3 million due to monthly lease payments and the maturity of some of our leases during the six months ended June 30, 2022 and was partially offset by an increase of $1.8 million in accounts payable.</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during the six months ended June 30, 2021 was $32.6 million, consisting primarily of our net loss of $33.9 million, adjusted for non-cash charges of $10.1 million and net cash used by changes in our operating assets and liabilities of $8.8 million. The non-cash charges were driven by depreciation and amortization expense of $2.8 million, stock-based compensation expense of $2.7 million, non-cash lease amortization of $1.8 million, amortization of debt issuance costs of $1.4 million and change in fair value of derivative and warrant liability of $1.3 million. Net cash used by changes in our operating assets and liabilities of $8.8 million was primarily due to a $4.8 million decrease in deferred revenue, a $2.3 million increase in accounts receivable, a $2.1 million decrease in operating lease liabilities and was partially offset by an increase of $1.5 million in accrued liabilities. The decrease in deferred revenue is primarily attributed to upfront billings in 2020 for three projects that began in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2022 and 2021 were $1.0 million and $0.1 million, respectively, driven by purchases of property and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during the six months ended June 30, 2022 was $90.2 million, consisting primarily of $91.7 million in proceeds from the Business Combination, net of transaction costs paid and $2.9 million in proceeds from common stock options exercised. This was partially offset by $3.4 million in repayments of the SVB March 2021 Note and the SCI June 2021 Note principal balances and $1.0 million in repayments of finance lease obligations.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six months ended June 30, 2021 was $35.3 million, consisting primarily of $34.9 million in proceeds from the issuance of the SVB March 2021 Note and the SCI June 2021 Note and $1.7 million in proceeds from common stock options exercised. This was partially offset by $1.3 million in repayments of finance lease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no material changes to our commitments and contingencies as of June 30, 2022 as disclosed in the contractual obligations and commitment section in our audited consolidated financial statements as of December 31, 2021 included within our Form S-1/A.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unaudited condensed consolidated financial statements included elsewhere in the Form 10-Q that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income (loss)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a discussion of our critical accounting policies, see “Management’s discussion and analysis of financial condition and results of operations of SoundHound” in our most recently filed Form S-1/A, and the notes to the consolidated financial statements appearing in the Form S-1/A as of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required for smaller reporting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Evaluation of disclosure controls and procedures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Rule 13a-15(b) under the Securities Exchange Act of 1934 (“Exchange Act”), our management carried out an evaluation, with the participation of our Chief Executive Officer (“CEO”) and Chief Financial Officer (“CFO”), of the effectiveness of our disclosure controls and procedures (as defined under Rule 13a-15(e) under the Exchange Act) as of the end of the period covered by this report. Based upon that evaluation, our CEO and CFO concluded that our disclosure controls and procedures as of June 30, 2022 are effective to ensure that information required to be disclosed by us in the reports that we file or submit under the Exchange Act, was recorded, processed, summarized and reported, within the time periods specified in the SEC’s rules and forms, and that such information is accumulated and communicated to our management, including our CEO and CFO, to allow timely decisions regarding required disclosure.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our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our management is required to apply its judgment in evaluating the benefits of possible controls and procedures relative to their costs.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this evaluation, the CEO and CFO have concluded that, as of the end of the period covered by this report, the Company’s disclosure controls and procedures were at the reasonable assurance level.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Changes in Internal Control over Financial Reporting</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has not been any change in our internal control over financial reporting (as defined in Rules 13a-15(f) and 15d-15(f) of the Exchange Act) that occurred during our fiscal quarter ended June 30, 2022 that has materially affected, or is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not a party to any material pending legal proceedings, nor are we aware of any pending litigation or legal proceeding against us that would have a material adverse effect upon our results of operations or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Not required for smaller reporting companies. However, as of the date of this Quarterly Report, there have been no material changes to the risk factors disclosed in our current report on Form 8-K, which was originally filed with the SEC on May 2, 2022 and amended by Amendment No. 1 to Current Report on Form 8-K. Any of these factors could result in a significant or material adverse effect on our results of operations or financial condition. Additional risk factors not presently known to us or that we currently deem immaterial may also impair our business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sales of equity securities during the period covered by this Quarterly Report that were not either registered under the Securities Act or were not previously reported in a Quarterly Report on Form 10-Q or a Current Report on Form 8-K filed by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616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5"/>
        </w:trPr>
        <w:tc>
          <w:tcPr>
            <w:tcW w:w="13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31.1*</w:t>
            </w: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0000EE"/>
            </w:tcBorders>
            <w:shd w:val="clear" w:color="auto" w:fill="CCEEFF"/>
          </w:tcPr>
          <w:p>
            <w:pPr>
              <w:spacing w:after="0"/>
              <w:rPr>
                <w:sz w:val="15"/>
                <w:szCs w:val="15"/>
                <w:color w:val="auto"/>
              </w:rPr>
            </w:pPr>
          </w:p>
        </w:tc>
        <w:tc>
          <w:tcPr>
            <w:tcW w:w="97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Securities Exchange Act Rules 13a-14(a) and 15(d)-14(a), as adopted Pursuant</w:t>
            </w:r>
          </w:p>
        </w:tc>
      </w:tr>
      <w:tr>
        <w:trPr>
          <w:trHeight w:val="196"/>
        </w:trPr>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760" w:type="dxa"/>
            <w:vAlign w:val="bottom"/>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to Section 302 of the Sarbanes-Oxley Act of 2002</w:t>
            </w:r>
          </w:p>
        </w:tc>
      </w:tr>
      <w:tr>
        <w:trPr>
          <w:trHeight w:val="21"/>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2260" w:type="dxa"/>
            <w:vAlign w:val="bottom"/>
            <w:tcBorders>
              <w:top w:val="single" w:sz="8" w:color="0000EE"/>
            </w:tcBorders>
            <w:shd w:val="clear" w:color="auto" w:fill="CCEEFF"/>
          </w:tcPr>
          <w:p>
            <w:pPr>
              <w:spacing w:after="0" w:line="20" w:lineRule="exact"/>
              <w:rPr>
                <w:sz w:val="1"/>
                <w:szCs w:val="1"/>
                <w:color w:val="auto"/>
              </w:rPr>
            </w:pPr>
          </w:p>
        </w:tc>
        <w:tc>
          <w:tcPr>
            <w:tcW w:w="6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31.2*</w:t>
            </w:r>
          </w:p>
        </w:tc>
        <w:tc>
          <w:tcPr>
            <w:tcW w:w="120" w:type="dxa"/>
            <w:vAlign w:val="bottom"/>
          </w:tcPr>
          <w:p>
            <w:pPr>
              <w:spacing w:after="0"/>
              <w:rPr>
                <w:sz w:val="15"/>
                <w:szCs w:val="15"/>
                <w:color w:val="auto"/>
              </w:rPr>
            </w:pPr>
          </w:p>
        </w:tc>
        <w:tc>
          <w:tcPr>
            <w:tcW w:w="9760" w:type="dxa"/>
            <w:vAlign w:val="bottom"/>
            <w:tcBorders>
              <w:bottom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Securities Exchange Act Rules 13a-14(a) and 15(d)-14(a), as adopted Pursuant</w:t>
            </w: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to Section 302 of the Sarbanes-Oxley Act of 2002</w:t>
            </w: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3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976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w:t>
            </w:r>
          </w:p>
        </w:tc>
      </w:tr>
      <w:tr>
        <w:trPr>
          <w:trHeight w:val="196"/>
        </w:trPr>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760" w:type="dxa"/>
            <w:vAlign w:val="bottom"/>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6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5"/>
                <w:szCs w:val="15"/>
                <w:color w:val="auto"/>
              </w:rPr>
            </w:pPr>
          </w:p>
        </w:tc>
        <w:tc>
          <w:tcPr>
            <w:tcW w:w="97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 Section 906 of the Sarbanes-</w:t>
            </w: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4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shd w:val="clear" w:color="auto" w:fill="CCEEFF"/>
          </w:tcPr>
          <w:p>
            <w:pPr>
              <w:spacing w:after="0"/>
              <w:rPr>
                <w:sz w:val="18"/>
                <w:szCs w:val="18"/>
                <w:color w:val="auto"/>
              </w:rPr>
            </w:pPr>
          </w:p>
        </w:tc>
        <w:tc>
          <w:tcPr>
            <w:tcW w:w="9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8"/>
                <w:szCs w:val="18"/>
                <w:color w:val="auto"/>
              </w:rPr>
            </w:pPr>
          </w:p>
        </w:tc>
        <w:tc>
          <w:tcPr>
            <w:tcW w:w="9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101.CAL*</w:t>
            </w:r>
          </w:p>
        </w:tc>
        <w:tc>
          <w:tcPr>
            <w:tcW w:w="120" w:type="dxa"/>
            <w:vAlign w:val="bottom"/>
            <w:shd w:val="clear" w:color="auto" w:fill="CCEEFF"/>
          </w:tcPr>
          <w:p>
            <w:pPr>
              <w:spacing w:after="0"/>
              <w:rPr>
                <w:sz w:val="18"/>
                <w:szCs w:val="18"/>
                <w:color w:val="auto"/>
              </w:rPr>
            </w:pPr>
          </w:p>
        </w:tc>
        <w:tc>
          <w:tcPr>
            <w:tcW w:w="9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101.DEF*</w:t>
            </w:r>
          </w:p>
        </w:tc>
        <w:tc>
          <w:tcPr>
            <w:tcW w:w="120" w:type="dxa"/>
            <w:vAlign w:val="bottom"/>
          </w:tcPr>
          <w:p>
            <w:pPr>
              <w:spacing w:after="0"/>
              <w:rPr>
                <w:sz w:val="18"/>
                <w:szCs w:val="18"/>
                <w:color w:val="auto"/>
              </w:rPr>
            </w:pPr>
          </w:p>
        </w:tc>
        <w:tc>
          <w:tcPr>
            <w:tcW w:w="9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101.LAB*</w:t>
            </w:r>
          </w:p>
        </w:tc>
        <w:tc>
          <w:tcPr>
            <w:tcW w:w="120" w:type="dxa"/>
            <w:vAlign w:val="bottom"/>
            <w:shd w:val="clear" w:color="auto" w:fill="CCEEFF"/>
          </w:tcPr>
          <w:p>
            <w:pPr>
              <w:spacing w:after="0"/>
              <w:rPr>
                <w:sz w:val="18"/>
                <w:szCs w:val="18"/>
                <w:color w:val="auto"/>
              </w:rPr>
            </w:pPr>
          </w:p>
        </w:tc>
        <w:tc>
          <w:tcPr>
            <w:tcW w:w="9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18"/>
                <w:szCs w:val="18"/>
                <w:color w:val="auto"/>
              </w:rPr>
            </w:pPr>
          </w:p>
        </w:tc>
        <w:tc>
          <w:tcPr>
            <w:tcW w:w="9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20" w:type="dxa"/>
            <w:vAlign w:val="bottom"/>
            <w:shd w:val="clear" w:color="auto" w:fill="CCEEFF"/>
          </w:tcPr>
          <w:p>
            <w:pPr>
              <w:spacing w:after="0"/>
              <w:rPr>
                <w:sz w:val="18"/>
                <w:szCs w:val="18"/>
                <w:color w:val="auto"/>
              </w:rPr>
            </w:pPr>
          </w:p>
        </w:tc>
        <w:tc>
          <w:tcPr>
            <w:tcW w:w="9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right="9820" w:firstLine="8"/>
        <w:spacing w:after="0" w:line="53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 Furnished.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Exchange Act, the registrant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3160"/>
              <w:spacing w:after="0"/>
              <w:rPr>
                <w:sz w:val="20"/>
                <w:szCs w:val="20"/>
                <w:color w:val="auto"/>
              </w:rPr>
            </w:pPr>
            <w:r>
              <w:rPr>
                <w:rFonts w:ascii="Times New Roman" w:cs="Times New Roman" w:eastAsia="Times New Roman" w:hAnsi="Times New Roman"/>
                <w:sz w:val="18"/>
                <w:szCs w:val="18"/>
                <w:b w:val="1"/>
                <w:bCs w:val="1"/>
                <w:color w:val="auto"/>
              </w:rPr>
              <w:t>SOUNDHOUND AI, INC</w:t>
            </w:r>
          </w:p>
        </w:tc>
      </w:tr>
      <w:tr>
        <w:trPr>
          <w:trHeight w:val="43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2022</w:t>
            </w:r>
          </w:p>
        </w:tc>
        <w:tc>
          <w:tcPr>
            <w:tcW w:w="374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Keyvan Mohajer</w:t>
            </w:r>
          </w:p>
        </w:tc>
      </w:tr>
      <w:tr>
        <w:trPr>
          <w:trHeight w:val="198"/>
        </w:trPr>
        <w:tc>
          <w:tcPr>
            <w:tcW w:w="3580" w:type="dxa"/>
            <w:vAlign w:val="bottom"/>
          </w:tcPr>
          <w:p>
            <w:pPr>
              <w:spacing w:after="0"/>
              <w:rPr>
                <w:sz w:val="17"/>
                <w:szCs w:val="17"/>
                <w:color w:val="auto"/>
              </w:rPr>
            </w:pPr>
          </w:p>
        </w:tc>
        <w:tc>
          <w:tcPr>
            <w:tcW w:w="3740" w:type="dxa"/>
            <w:vAlign w:val="bottom"/>
          </w:tcPr>
          <w:p>
            <w:pPr>
              <w:ind w:left="31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Dr. Keyvan Mohajer</w:t>
            </w:r>
          </w:p>
        </w:tc>
      </w:tr>
      <w:tr>
        <w:trPr>
          <w:trHeight w:val="216"/>
        </w:trPr>
        <w:tc>
          <w:tcPr>
            <w:tcW w:w="3580" w:type="dxa"/>
            <w:vAlign w:val="bottom"/>
          </w:tcPr>
          <w:p>
            <w:pPr>
              <w:spacing w:after="0"/>
              <w:rPr>
                <w:sz w:val="18"/>
                <w:szCs w:val="18"/>
                <w:color w:val="auto"/>
              </w:rPr>
            </w:pPr>
          </w:p>
        </w:tc>
        <w:tc>
          <w:tcPr>
            <w:tcW w:w="374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2022</w:t>
            </w:r>
          </w:p>
        </w:tc>
        <w:tc>
          <w:tcPr>
            <w:tcW w:w="374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Nitesh Sharan</w:t>
            </w:r>
          </w:p>
        </w:tc>
      </w:tr>
      <w:tr>
        <w:trPr>
          <w:trHeight w:val="198"/>
        </w:trPr>
        <w:tc>
          <w:tcPr>
            <w:tcW w:w="3580" w:type="dxa"/>
            <w:vAlign w:val="bottom"/>
          </w:tcPr>
          <w:p>
            <w:pPr>
              <w:spacing w:after="0"/>
              <w:rPr>
                <w:sz w:val="17"/>
                <w:szCs w:val="17"/>
                <w:color w:val="auto"/>
              </w:rPr>
            </w:pPr>
          </w:p>
        </w:tc>
        <w:tc>
          <w:tcPr>
            <w:tcW w:w="3740" w:type="dxa"/>
            <w:vAlign w:val="bottom"/>
          </w:tcPr>
          <w:p>
            <w:pPr>
              <w:ind w:left="31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Nitesh Sharan</w:t>
            </w:r>
          </w:p>
        </w:tc>
      </w:tr>
      <w:tr>
        <w:trPr>
          <w:trHeight w:val="216"/>
        </w:trPr>
        <w:tc>
          <w:tcPr>
            <w:tcW w:w="3580" w:type="dxa"/>
            <w:vAlign w:val="bottom"/>
          </w:tcPr>
          <w:p>
            <w:pPr>
              <w:spacing w:after="0"/>
              <w:rPr>
                <w:sz w:val="18"/>
                <w:szCs w:val="18"/>
                <w:color w:val="auto"/>
              </w:rPr>
            </w:pPr>
          </w:p>
        </w:tc>
        <w:tc>
          <w:tcPr>
            <w:tcW w:w="374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55"/>
        </w:trPr>
        <w:tc>
          <w:tcPr>
            <w:tcW w:w="35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48</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 Keyvan Mohajer, certify that:</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SoundHound AI,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7300" w:val="left"/>
        </w:tabs>
        <w:rPr>
          <w:sz w:val="20"/>
          <w:szCs w:val="20"/>
          <w:color w:val="auto"/>
        </w:rPr>
      </w:pPr>
      <w:r>
        <w:rPr>
          <w:rFonts w:ascii="Times New Roman" w:cs="Times New Roman" w:eastAsia="Times New Roman" w:hAnsi="Times New Roman"/>
          <w:sz w:val="18"/>
          <w:szCs w:val="18"/>
          <w:color w:val="auto"/>
        </w:rPr>
        <w:t>August 12, 2022</w:t>
      </w:r>
      <w:r>
        <w:rPr>
          <w:sz w:val="20"/>
          <w:szCs w:val="20"/>
          <w:color w:val="auto"/>
        </w:rPr>
        <w:tab/>
      </w:r>
      <w:r>
        <w:rPr>
          <w:rFonts w:ascii="Times New Roman" w:cs="Times New Roman" w:eastAsia="Times New Roman" w:hAnsi="Times New Roman"/>
          <w:sz w:val="17"/>
          <w:szCs w:val="17"/>
          <w:i w:val="1"/>
          <w:iCs w:val="1"/>
          <w:color w:val="auto"/>
        </w:rPr>
        <w:t>/s/ 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Dr. Keyvan Mohajer</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8"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Nitesh Sharan,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SoundHound AI,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7300" w:val="left"/>
        </w:tabs>
        <w:rPr>
          <w:sz w:val="20"/>
          <w:szCs w:val="20"/>
          <w:color w:val="auto"/>
        </w:rPr>
      </w:pPr>
      <w:r>
        <w:rPr>
          <w:rFonts w:ascii="Times New Roman" w:cs="Times New Roman" w:eastAsia="Times New Roman" w:hAnsi="Times New Roman"/>
          <w:sz w:val="18"/>
          <w:szCs w:val="18"/>
          <w:color w:val="auto"/>
        </w:rPr>
        <w:t>August 12, 2022</w:t>
      </w:r>
      <w:r>
        <w:rPr>
          <w:sz w:val="20"/>
          <w:szCs w:val="20"/>
          <w:color w:val="auto"/>
        </w:rPr>
        <w:tab/>
      </w:r>
      <w:r>
        <w:rPr>
          <w:rFonts w:ascii="Times New Roman" w:cs="Times New Roman" w:eastAsia="Times New Roman" w:hAnsi="Times New Roman"/>
          <w:sz w:val="17"/>
          <w:szCs w:val="17"/>
          <w:i w:val="1"/>
          <w:iCs w:val="1"/>
          <w:color w:val="auto"/>
        </w:rPr>
        <w:t>/s/ Nitesh Sharan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Nitesh Sharan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SoundHound AI, Inc. (the “Company’s Quarterly Report”) on Form 10-Q for the period ended June 30, 2022, as filed with the Securities and Exchange Commission on the date hereof (the “Report”), Dr. Keyvan Mohajer, as Chief Executive Officer and principal executive officer of the Company, hereby certifies, pursuant to 18 U.S.C. Section 1350, as adopted pursuant to Section 906 of the Sarbanes-Oxley Act of 2002, to the best of the undersigned’s knowledge and belief, that:</w:t>
      </w:r>
    </w:p>
    <w:p>
      <w:pPr>
        <w:spacing w:after="0" w:line="180"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 as of the dates and for the periods expressed in the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Keyvan Mohajer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12, 2022</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11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SoundHound AI, Inc. (the “Company’s Quarterly Report”) on Form 10-Q for the period ended June 30, 2022, as filed with the Securities and Exchange Commission on the date hereof (the “Report”), Nitesh Sharan, as Chief Financial Officer and principal financial officer of the Company, hereby certifies, pursuant to 18 U.S.C. Section 1350, as adopted pursuant to Section 906 of the Sarbanes-Oxley Act of 2002, to the best of the undersigned’s knowledge and belief, that:</w:t>
      </w:r>
    </w:p>
    <w:p>
      <w:pPr>
        <w:spacing w:after="0" w:line="180"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 as of the dates and for the periods expressed in the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Nitesh Sharan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Nitesh Sharan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12, 2022</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lvl w:ilvl="1">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2"/>
    </w:lvl>
  </w:abstractNum>
  <w:abstractNum w:abstractNumId="5">
    <w:nsid w:val="109CF92E"/>
    <w:multiLevelType w:val="hybridMultilevel"/>
    <w:lvl w:ilvl="0">
      <w:lvlJc w:val="left"/>
      <w:lvlText w:val="(%1)"/>
      <w:numFmt w:val="lowerRoman"/>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3"/>
    </w:lvl>
  </w:abstractNum>
  <w:abstractNum w:abstractNumId="9">
    <w:nsid w:val="41A7C4C9"/>
    <w:multiLevelType w:val="hybridMultilevel"/>
    <w:lvl w:ilvl="0">
      <w:lvlJc w:val="left"/>
      <w:lvlText w:val="%1."/>
      <w:numFmt w:val="decimal"/>
      <w:start w:val="4"/>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9"/>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606"/>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2022-08-15T06:06:58Z</dcterms:created>
  <dcterms:modified xsi:type="dcterms:W3CDTF">2022-08-15T06:06:58Z</dcterms:modified>
</cp:coreProperties>
</file>