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Santa Clara, CA 95054</w:t>
      </w: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August 2,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Austin Pattan</w:t>
      </w:r>
    </w:p>
    <w:p>
      <w:pPr>
        <w:spacing w:after="0" w:line="211" w:lineRule="exact"/>
        <w:rPr>
          <w:sz w:val="24"/>
          <w:szCs w:val="24"/>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SoundHound AI, Inc.</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Filed July 24, 2023</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File No. 333-273393</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Pattan:</w:t>
      </w:r>
    </w:p>
    <w:p>
      <w:pPr>
        <w:spacing w:after="0" w:line="225" w:lineRule="exact"/>
        <w:rPr>
          <w:sz w:val="24"/>
          <w:szCs w:val="24"/>
          <w:color w:val="auto"/>
        </w:rPr>
      </w:pPr>
    </w:p>
    <w:p>
      <w:pPr>
        <w:ind w:firstLine="648"/>
        <w:spacing w:after="0" w:line="342" w:lineRule="auto"/>
        <w:rPr>
          <w:sz w:val="20"/>
          <w:szCs w:val="20"/>
          <w:color w:val="auto"/>
        </w:rPr>
      </w:pPr>
      <w:r>
        <w:rPr>
          <w:rFonts w:ascii="Arial" w:cs="Arial" w:eastAsia="Arial" w:hAnsi="Arial"/>
          <w:sz w:val="16"/>
          <w:szCs w:val="16"/>
          <w:color w:val="auto"/>
        </w:rPr>
        <w:t>Pursuant to Rule 461 under the Securities Act of 1933, as amended, SoundHound AI, Inc., hereby requests acceleration of effectiveness of the above referenced Registration Statement so that it will become effective at 4:00 p.m. EST on Friday, August 4, 2023, or as soon as thereafter practicable.</w:t>
      </w:r>
    </w:p>
    <w:p>
      <w:pPr>
        <w:spacing w:after="0" w:line="124"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 Dr.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Dr. Keyvan Mohajer</w:t>
      </w:r>
    </w:p>
    <w:p>
      <w:pPr>
        <w:spacing w:after="0" w:line="2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Ellenoff Grossman &amp; Schole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2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2023-09-01T23:15:50Z</dcterms:created>
  <dcterms:modified xsi:type="dcterms:W3CDTF">2023-09-01T23:15:50Z</dcterms:modified>
</cp:coreProperties>
</file>