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188-8k_soundhound.htm"/>
      <w:bookmarkStart w:id="1" w:name="ksea03041888k_soundhound"/>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9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28" w:type="dxa"/>
          <w:right w:w="0" w:type="dxa"/>
        </w:tblCellMar>
      </w:tblPr>
      <w:tblGrid>
        <w:gridCol w:w="2660"/>
        <w:gridCol w:w="60"/>
        <w:gridCol w:w="2300"/>
        <w:gridCol w:w="60"/>
        <w:gridCol w:w="1565"/>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904"/>
            <w:bookmarkEnd w:id="6"/>
            <w:r>
              <w:rPr>
                <w:rFonts w:ascii="Times New Roman;Times;Serif" w:hAnsi="Times New Roman;Times;Serif"/>
                <w:b/>
                <w:i w:val="false"/>
                <w:caps w:val="false"/>
                <w:smallCaps w:val="false"/>
                <w:sz w:val="20"/>
              </w:rPr>
              <w:t>1-40193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85-1286799</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5400 Betsy Ross Drive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Santa Clara, </w:t>
            </w:r>
            <w:bookmarkStart w:id="10" w:name="xdx_903_edei--EntityAddressStateOrProvin"/>
            <w:bookmarkEnd w:id="10"/>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95054</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0904__20"/>
      <w:bookmarkEnd w:id="12"/>
      <w:r>
        <w:rPr>
          <w:rFonts w:ascii="Times New Roman;Times;Serif" w:hAnsi="Times New Roman;Times;Serif"/>
          <w:b/>
          <w:i w:val="false"/>
          <w:caps w:val="false"/>
          <w:smallCaps w:val="false"/>
          <w:sz w:val="20"/>
        </w:rPr>
        <w:t xml:space="preserve">408) </w:t>
      </w:r>
      <w:bookmarkStart w:id="13" w:name="xdx_905_edei--LocalPhoneNumber_c20260904"/>
      <w:bookmarkEnd w:id="13"/>
      <w:r>
        <w:rPr>
          <w:rFonts w:ascii="Times New Roman;Times;Serif" w:hAnsi="Times New Roman;Times;Serif"/>
          <w:b/>
          <w:i w:val="false"/>
          <w:caps w:val="false"/>
          <w:smallCaps w:val="false"/>
          <w:sz w:val="20"/>
        </w:rPr>
        <w:t>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5" w:name="xdx_906_edei--SolicitingMaterial_c202609"/>
            <w:bookmarkEnd w:id="15"/>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5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7" w:name="xdx_905_edei--PreCommencementIssuerTende"/>
            <w:bookmarkEnd w:id="17"/>
            <w:r>
              <w:rPr>
                <w:caps w:val="false"/>
                <w:smallCaps w:val="false"/>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90"/>
        <w:gridCol w:w="60"/>
        <w:gridCol w:w="1222"/>
        <w:gridCol w:w="60"/>
        <w:gridCol w:w="2573"/>
      </w:tblGrid>
      <w:tr>
        <w:trPr/>
        <w:tc>
          <w:tcPr>
            <w:tcW w:w="62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7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2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E_edei--Security12bTitle_c20260904"/>
            <w:bookmarkEnd w:id="18"/>
            <w:r>
              <w:rPr>
                <w:rFonts w:ascii="Times New Roman;Times;Serif" w:hAnsi="Times New Roman;Times;Serif"/>
                <w:b w:val="false"/>
                <w:i w:val="false"/>
                <w:caps w:val="false"/>
                <w:smallCaps w:val="false"/>
                <w:sz w:val="20"/>
              </w:rPr>
              <w:t>Class A Common Stock, $0.0001 par value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TradingSymbol_c20260904__2"/>
            <w:bookmarkEnd w:id="19"/>
            <w:r>
              <w:rPr>
                <w:rFonts w:ascii="Times New Roman;Times;Serif" w:hAnsi="Times New Roman;Times;Serif"/>
                <w:b w:val="false"/>
                <w:i w:val="false"/>
                <w:caps w:val="false"/>
                <w:smallCaps w:val="false"/>
                <w:sz w:val="20"/>
              </w:rPr>
              <w:t>SOUN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7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6"/>
            <w:bookmarkEnd w:id="20"/>
            <w:r>
              <w:rPr>
                <w:rFonts w:ascii="Times New Roman;Times;Serif" w:hAnsi="Times New Roman;Times;Serif"/>
                <w:b w:val="false"/>
                <w:i w:val="false"/>
                <w:caps w:val="false"/>
                <w:smallCaps w:val="false"/>
                <w:sz w:val="20"/>
              </w:rPr>
              <w:t>Nasdaq Stock Market LLC</w:t>
            </w:r>
          </w:p>
        </w:tc>
      </w:tr>
      <w:tr>
        <w:trPr/>
        <w:tc>
          <w:tcPr>
            <w:tcW w:w="62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12bTitle_c20260904"/>
            <w:bookmarkEnd w:id="21"/>
            <w:r>
              <w:rPr>
                <w:rFonts w:ascii="Times New Roman;Times;Serif" w:hAnsi="Times New Roman;Times;Serif"/>
                <w:b w:val="false"/>
                <w:i w:val="false"/>
                <w:caps w:val="false"/>
                <w:smallCaps w:val="false"/>
                <w:sz w:val="20"/>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TradingSymbol_c20260904__2"/>
            <w:bookmarkEnd w:id="22"/>
            <w:r>
              <w:rPr>
                <w:rFonts w:ascii="Times New Roman;Times;Serif" w:hAnsi="Times New Roman;Times;Serif"/>
                <w:b w:val="false"/>
                <w:i w:val="false"/>
                <w:caps w:val="false"/>
                <w:smallCaps w:val="false"/>
                <w:sz w:val="20"/>
              </w:rPr>
              <w:t>SOUNW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7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1_edei--SecurityExchangeName_c2026"/>
            <w:bookmarkEnd w:id="23"/>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B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1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SoundHound AI, Inc. (the “Company”) filed with the Securities and Exchange Commission (the “SEC”) a prospectus supplement to the prospectus included in the Company’s registration statement on Form S-3 (Registration No. 333-295779) filed with the SEC on May 11, 2026 (the “Registration Statement”), relating to the resale of shares of Class A Common Stock, par value $0.0001 per share (the “Common Shares”), issued to former noteholders of LivePerson, Inc. in connection with the Company’s recently completed acquisition of LivePerson, Inc. in order to satisfy certain contractual rights in the registration rights agreement entered into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Latham &amp; Watkins LLP relating to the validity of the Common Shares is filed herewith as Exhibit 5.1 and is incorporated herein by reference, and is filed with reference to, and is hereby incorporated by reference into,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firstLine="490"/>
        <w:jc w:val="left"/>
        <w:rPr>
          <w:caps w:val="false"/>
          <w:smallCaps w:val="false"/>
        </w:rPr>
      </w:pPr>
      <w:r>
        <w:rPr>
          <w:caps w:val="false"/>
          <w:smallCaps w:val="false"/>
        </w:rPr>
        <w:t> </w:t>
      </w:r>
    </w:p>
    <w:tbl>
      <w:tblPr>
        <w:tblW w:w="8395" w:type="dxa"/>
        <w:jc w:val="left"/>
        <w:tblInd w:w="0" w:type="dxa"/>
        <w:tblLayout w:type="fixed"/>
        <w:tblCellMar>
          <w:top w:w="0" w:type="dxa"/>
          <w:left w:w="0" w:type="dxa"/>
          <w:bottom w:w="30" w:type="dxa"/>
          <w:right w:w="0" w:type="dxa"/>
        </w:tblCellMar>
      </w:tblPr>
      <w:tblGrid>
        <w:gridCol w:w="995"/>
        <w:gridCol w:w="60"/>
        <w:gridCol w:w="734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0" w:type="dxa"/>
            <w:tcBorders/>
            <w:shd w:fill="CCEEFF" w:val="clear"/>
            <w:tcMar>
              <w:bottom w:w="0" w:type="dxa"/>
            </w:tcMar>
            <w:vAlign w:val="center"/>
          </w:tcPr>
          <w:p>
            <w:pPr>
              <w:pStyle w:val="TableContents"/>
              <w:bidi w:val="0"/>
              <w:spacing w:before="0" w:after="283"/>
              <w:jc w:val="both"/>
              <w:rPr/>
            </w:pPr>
            <w:hyperlink w:anchor="ea030418801ex5-1.htm">
              <w:r>
                <w:rPr>
                  <w:rStyle w:val="InternetLink"/>
                  <w:rFonts w:ascii="Times New Roman;Times;Serif" w:hAnsi="Times New Roman;Times;Serif"/>
                  <w:b w:val="false"/>
                  <w:i w:val="false"/>
                  <w:caps w:val="false"/>
                  <w:smallCaps w:val="false"/>
                  <w:sz w:val="20"/>
                </w:rPr>
                <w:t>Opinion of Latham &amp; Watkins LLP.</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0" w:type="dxa"/>
            <w:tcBorders/>
            <w:shd w:fill="FFFFFF" w:val="clear"/>
            <w:tcMar>
              <w:bottom w:w="0" w:type="dxa"/>
            </w:tcMar>
            <w:vAlign w:val="center"/>
          </w:tcPr>
          <w:p>
            <w:pPr>
              <w:pStyle w:val="TableContents"/>
              <w:bidi w:val="0"/>
              <w:spacing w:before="0" w:after="283"/>
              <w:jc w:val="left"/>
              <w:rPr/>
            </w:pPr>
            <w:hyperlink w:anchor="ea030418801ex5-1.htm">
              <w:r>
                <w:rPr>
                  <w:rStyle w:val="InternetLink"/>
                  <w:rFonts w:ascii="Times New Roman;Times;Serif" w:hAnsi="Times New Roman;Times;Serif"/>
                  <w:b w:val="false"/>
                  <w:i w:val="false"/>
                  <w:caps w:val="false"/>
                  <w:smallCaps w:val="false"/>
                  <w:sz w:val="20"/>
                </w:rPr>
                <w:t>Consent of Latham &amp; Watkins LLP (contained in the opinion filed as Exhibit 5.1 hereto).</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030"/>
        <w:gridCol w:w="545"/>
        <w:gridCol w:w="195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SOUNDHOUND AI,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Keyvan Mohajer</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Mohajer</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5" w:name="ea030418801ex5-1.htm"/>
      <w:bookmarkStart w:id="26" w:name="ksea030418801ex51"/>
      <w:bookmarkEnd w:id="25"/>
      <w:bookmarkEnd w:id="26"/>
      <w:r>
        <w:rPr>
          <w:rFonts w:ascii="Times New Roman;Times;Serif" w:hAnsi="Times New Roman;Times;Serif"/>
          <w:b/>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7039" w:type="dxa"/>
        <w:jc w:val="left"/>
        <w:tblInd w:w="0" w:type="dxa"/>
        <w:tblLayout w:type="fixed"/>
        <w:tblCellMar>
          <w:top w:w="0" w:type="dxa"/>
          <w:left w:w="0" w:type="dxa"/>
          <w:bottom w:w="0" w:type="dxa"/>
          <w:right w:w="0" w:type="dxa"/>
        </w:tblCellMar>
      </w:tblPr>
      <w:tblGrid>
        <w:gridCol w:w="3390"/>
        <w:gridCol w:w="1547"/>
        <w:gridCol w:w="2102"/>
      </w:tblGrid>
      <w:tr>
        <w:trPr/>
        <w:tc>
          <w:tcPr>
            <w:tcW w:w="3390" w:type="dxa"/>
            <w:vMerge w:val="restart"/>
            <w:tcBorders/>
            <w:vAlign w:val="center"/>
          </w:tcPr>
          <w:p>
            <w:pPr>
              <w:pStyle w:val="TableContents"/>
              <w:bidi w:val="0"/>
              <w:spacing w:before="0" w:after="283"/>
              <w:jc w:val="left"/>
              <w:rPr/>
            </w:pPr>
            <w:r>
              <w:rPr/>
              <w:drawing>
                <wp:inline distT="0" distB="0" distL="0" distR="0">
                  <wp:extent cx="2143125"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219075"/>
                          </a:xfrm>
                          <a:prstGeom prst="rect">
                            <a:avLst/>
                          </a:prstGeom>
                        </pic:spPr>
                      </pic:pic>
                    </a:graphicData>
                  </a:graphic>
                </wp:inline>
              </w:drawing>
            </w:r>
          </w:p>
        </w:tc>
        <w:tc>
          <w:tcPr>
            <w:tcW w:w="3649" w:type="dxa"/>
            <w:gridSpan w:val="2"/>
            <w:tcBorders/>
            <w:vAlign w:val="center"/>
          </w:tcPr>
          <w:p>
            <w:pPr>
              <w:pStyle w:val="TableContents"/>
              <w:bidi w:val="0"/>
              <w:spacing w:before="0" w:after="283"/>
              <w:jc w:val="left"/>
              <w:rPr>
                <w:sz w:val="20"/>
              </w:rPr>
            </w:pPr>
            <w:r>
              <w:rPr>
                <w:sz w:val="20"/>
              </w:rPr>
              <w:t>330 North Wabash Avenue, Suite 2800</w:t>
            </w:r>
          </w:p>
        </w:tc>
      </w:tr>
      <w:tr>
        <w:trPr/>
        <w:tc>
          <w:tcPr>
            <w:tcW w:w="3390" w:type="dxa"/>
            <w:vMerge w:val="continue"/>
            <w:tcBorders/>
            <w:vAlign w:val="center"/>
          </w:tcPr>
          <w:p>
            <w:pPr>
              <w:pStyle w:val="Normal"/>
              <w:bidi w:val="0"/>
              <w:jc w:val="left"/>
              <w:rPr/>
            </w:pPr>
            <w:r>
              <w:rPr/>
            </w:r>
          </w:p>
        </w:tc>
        <w:tc>
          <w:tcPr>
            <w:tcW w:w="3649" w:type="dxa"/>
            <w:gridSpan w:val="2"/>
            <w:tcBorders/>
            <w:vAlign w:val="center"/>
          </w:tcPr>
          <w:p>
            <w:pPr>
              <w:pStyle w:val="TableContents"/>
              <w:bidi w:val="0"/>
              <w:spacing w:before="0" w:after="283"/>
              <w:jc w:val="left"/>
              <w:rPr>
                <w:sz w:val="20"/>
              </w:rPr>
            </w:pPr>
            <w:r>
              <w:rPr>
                <w:sz w:val="20"/>
              </w:rPr>
              <w:t>Chicago, Illinois 60611</w:t>
            </w:r>
          </w:p>
        </w:tc>
      </w:tr>
      <w:tr>
        <w:trPr/>
        <w:tc>
          <w:tcPr>
            <w:tcW w:w="3390" w:type="dxa"/>
            <w:vMerge w:val="continue"/>
            <w:tcBorders/>
            <w:vAlign w:val="center"/>
          </w:tcPr>
          <w:p>
            <w:pPr>
              <w:pStyle w:val="Normal"/>
              <w:bidi w:val="0"/>
              <w:jc w:val="left"/>
              <w:rPr/>
            </w:pPr>
            <w:r>
              <w:rPr/>
            </w:r>
          </w:p>
        </w:tc>
        <w:tc>
          <w:tcPr>
            <w:tcW w:w="3649" w:type="dxa"/>
            <w:gridSpan w:val="2"/>
            <w:tcBorders/>
            <w:vAlign w:val="center"/>
          </w:tcPr>
          <w:p>
            <w:pPr>
              <w:pStyle w:val="TableContents"/>
              <w:bidi w:val="0"/>
              <w:spacing w:before="0" w:after="283"/>
              <w:jc w:val="left"/>
              <w:rPr>
                <w:sz w:val="20"/>
              </w:rPr>
            </w:pPr>
            <w:r>
              <w:rPr>
                <w:sz w:val="20"/>
              </w:rPr>
              <w:t>Tel: +1.312.876.7700 Fax: +1.312.993.9767</w:t>
            </w:r>
          </w:p>
        </w:tc>
      </w:tr>
      <w:tr>
        <w:trPr/>
        <w:tc>
          <w:tcPr>
            <w:tcW w:w="3390" w:type="dxa"/>
            <w:vMerge w:val="continue"/>
            <w:tcBorders/>
            <w:vAlign w:val="center"/>
          </w:tcPr>
          <w:p>
            <w:pPr>
              <w:pStyle w:val="Normal"/>
              <w:bidi w:val="0"/>
              <w:jc w:val="left"/>
              <w:rPr/>
            </w:pPr>
            <w:r>
              <w:rPr/>
            </w:r>
          </w:p>
        </w:tc>
        <w:tc>
          <w:tcPr>
            <w:tcW w:w="3649" w:type="dxa"/>
            <w:gridSpan w:val="2"/>
            <w:tcBorders/>
            <w:vAlign w:val="center"/>
          </w:tcPr>
          <w:p>
            <w:pPr>
              <w:pStyle w:val="TableContents"/>
              <w:bidi w:val="0"/>
              <w:spacing w:before="0" w:after="283"/>
              <w:jc w:val="left"/>
              <w:rPr>
                <w:sz w:val="20"/>
              </w:rPr>
            </w:pPr>
            <w:r>
              <w:rPr>
                <w:sz w:val="20"/>
              </w:rPr>
              <w:t>www.lw.com</w:t>
            </w:r>
          </w:p>
        </w:tc>
      </w:tr>
      <w:tr>
        <w:trPr/>
        <w:tc>
          <w:tcPr>
            <w:tcW w:w="339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339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sz w:val="20"/>
              </w:rPr>
            </w:pPr>
            <w:r>
              <w:rPr>
                <w:sz w:val="20"/>
              </w:rPr>
              <w:t>FIRM / AFFILIATE OFFICES</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Austin</w:t>
            </w:r>
          </w:p>
        </w:tc>
        <w:tc>
          <w:tcPr>
            <w:tcW w:w="2102" w:type="dxa"/>
            <w:tcBorders/>
            <w:vAlign w:val="center"/>
          </w:tcPr>
          <w:p>
            <w:pPr>
              <w:pStyle w:val="TableContents"/>
              <w:bidi w:val="0"/>
              <w:spacing w:before="0" w:after="283"/>
              <w:jc w:val="left"/>
              <w:rPr>
                <w:sz w:val="20"/>
              </w:rPr>
            </w:pPr>
            <w:r>
              <w:rPr>
                <w:sz w:val="20"/>
              </w:rPr>
              <w:t>Milan</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Beijing</w:t>
            </w:r>
          </w:p>
        </w:tc>
        <w:tc>
          <w:tcPr>
            <w:tcW w:w="2102" w:type="dxa"/>
            <w:tcBorders/>
            <w:vAlign w:val="center"/>
          </w:tcPr>
          <w:p>
            <w:pPr>
              <w:pStyle w:val="TableContents"/>
              <w:bidi w:val="0"/>
              <w:spacing w:before="0" w:after="283"/>
              <w:jc w:val="left"/>
              <w:rPr>
                <w:sz w:val="20"/>
              </w:rPr>
            </w:pPr>
            <w:r>
              <w:rPr>
                <w:sz w:val="20"/>
              </w:rPr>
              <w:t>Munich</w:t>
            </w:r>
          </w:p>
        </w:tc>
      </w:tr>
      <w:tr>
        <w:trPr/>
        <w:tc>
          <w:tcPr>
            <w:tcW w:w="3390" w:type="dxa"/>
            <w:tcBorders/>
            <w:vAlign w:val="center"/>
          </w:tcPr>
          <w:p>
            <w:pPr>
              <w:pStyle w:val="TableContents"/>
              <w:bidi w:val="0"/>
              <w:spacing w:before="0" w:after="283"/>
              <w:jc w:val="left"/>
              <w:rPr>
                <w:sz w:val="20"/>
              </w:rPr>
            </w:pPr>
            <w:r>
              <w:rPr>
                <w:sz w:val="20"/>
              </w:rPr>
              <w:t>September 4, 2026</w:t>
            </w:r>
          </w:p>
        </w:tc>
        <w:tc>
          <w:tcPr>
            <w:tcW w:w="1547" w:type="dxa"/>
            <w:tcBorders/>
            <w:vAlign w:val="center"/>
          </w:tcPr>
          <w:p>
            <w:pPr>
              <w:pStyle w:val="TableContents"/>
              <w:bidi w:val="0"/>
              <w:spacing w:before="0" w:after="283"/>
              <w:jc w:val="left"/>
              <w:rPr>
                <w:sz w:val="20"/>
              </w:rPr>
            </w:pPr>
            <w:r>
              <w:rPr>
                <w:sz w:val="20"/>
              </w:rPr>
              <w:t>Boston</w:t>
            </w:r>
          </w:p>
        </w:tc>
        <w:tc>
          <w:tcPr>
            <w:tcW w:w="2102" w:type="dxa"/>
            <w:tcBorders/>
            <w:vAlign w:val="center"/>
          </w:tcPr>
          <w:p>
            <w:pPr>
              <w:pStyle w:val="TableContents"/>
              <w:bidi w:val="0"/>
              <w:spacing w:before="0" w:after="283"/>
              <w:jc w:val="left"/>
              <w:rPr>
                <w:sz w:val="20"/>
              </w:rPr>
            </w:pPr>
            <w:r>
              <w:rPr>
                <w:sz w:val="20"/>
              </w:rPr>
              <w:t>New York</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Brussels</w:t>
            </w:r>
          </w:p>
        </w:tc>
        <w:tc>
          <w:tcPr>
            <w:tcW w:w="2102" w:type="dxa"/>
            <w:tcBorders/>
            <w:vAlign w:val="center"/>
          </w:tcPr>
          <w:p>
            <w:pPr>
              <w:pStyle w:val="TableContents"/>
              <w:bidi w:val="0"/>
              <w:spacing w:before="0" w:after="283"/>
              <w:jc w:val="left"/>
              <w:rPr>
                <w:sz w:val="20"/>
              </w:rPr>
            </w:pPr>
            <w:r>
              <w:rPr>
                <w:sz w:val="20"/>
              </w:rPr>
              <w:t>Orange County</w:t>
            </w:r>
          </w:p>
        </w:tc>
      </w:tr>
      <w:tr>
        <w:trPr/>
        <w:tc>
          <w:tcPr>
            <w:tcW w:w="3390" w:type="dxa"/>
            <w:tcBorders/>
            <w:vAlign w:val="center"/>
          </w:tcPr>
          <w:p>
            <w:pPr>
              <w:pStyle w:val="TableContents"/>
              <w:bidi w:val="0"/>
              <w:spacing w:before="0" w:after="283"/>
              <w:jc w:val="left"/>
              <w:rPr>
                <w:sz w:val="20"/>
              </w:rPr>
            </w:pPr>
            <w:r>
              <w:rPr>
                <w:sz w:val="20"/>
              </w:rPr>
              <w:t>SoundHound AI, Inc.</w:t>
            </w:r>
          </w:p>
        </w:tc>
        <w:tc>
          <w:tcPr>
            <w:tcW w:w="1547" w:type="dxa"/>
            <w:tcBorders/>
            <w:vAlign w:val="center"/>
          </w:tcPr>
          <w:p>
            <w:pPr>
              <w:pStyle w:val="TableContents"/>
              <w:bidi w:val="0"/>
              <w:spacing w:before="0" w:after="283"/>
              <w:jc w:val="left"/>
              <w:rPr>
                <w:sz w:val="20"/>
              </w:rPr>
            </w:pPr>
            <w:r>
              <w:rPr>
                <w:sz w:val="20"/>
              </w:rPr>
              <w:t>Century City</w:t>
            </w:r>
          </w:p>
        </w:tc>
        <w:tc>
          <w:tcPr>
            <w:tcW w:w="2102" w:type="dxa"/>
            <w:tcBorders/>
            <w:vAlign w:val="center"/>
          </w:tcPr>
          <w:p>
            <w:pPr>
              <w:pStyle w:val="TableContents"/>
              <w:bidi w:val="0"/>
              <w:spacing w:before="0" w:after="283"/>
              <w:jc w:val="left"/>
              <w:rPr>
                <w:sz w:val="20"/>
              </w:rPr>
            </w:pPr>
            <w:r>
              <w:rPr>
                <w:sz w:val="20"/>
              </w:rPr>
              <w:t>Paris</w:t>
            </w:r>
          </w:p>
        </w:tc>
      </w:tr>
      <w:tr>
        <w:trPr/>
        <w:tc>
          <w:tcPr>
            <w:tcW w:w="3390" w:type="dxa"/>
            <w:tcBorders/>
            <w:vAlign w:val="center"/>
          </w:tcPr>
          <w:p>
            <w:pPr>
              <w:pStyle w:val="TableContents"/>
              <w:bidi w:val="0"/>
              <w:spacing w:before="0" w:after="283"/>
              <w:jc w:val="left"/>
              <w:rPr>
                <w:sz w:val="20"/>
              </w:rPr>
            </w:pPr>
            <w:r>
              <w:rPr>
                <w:sz w:val="20"/>
              </w:rPr>
              <w:t>5400 Betsy Ross Drive</w:t>
            </w:r>
          </w:p>
        </w:tc>
        <w:tc>
          <w:tcPr>
            <w:tcW w:w="1547" w:type="dxa"/>
            <w:tcBorders/>
            <w:vAlign w:val="center"/>
          </w:tcPr>
          <w:p>
            <w:pPr>
              <w:pStyle w:val="TableContents"/>
              <w:bidi w:val="0"/>
              <w:spacing w:before="0" w:after="283"/>
              <w:jc w:val="left"/>
              <w:rPr>
                <w:sz w:val="20"/>
              </w:rPr>
            </w:pPr>
            <w:r>
              <w:rPr>
                <w:sz w:val="20"/>
              </w:rPr>
              <w:t>Chicago</w:t>
            </w:r>
          </w:p>
        </w:tc>
        <w:tc>
          <w:tcPr>
            <w:tcW w:w="2102" w:type="dxa"/>
            <w:tcBorders/>
            <w:vAlign w:val="center"/>
          </w:tcPr>
          <w:p>
            <w:pPr>
              <w:pStyle w:val="TableContents"/>
              <w:bidi w:val="0"/>
              <w:spacing w:before="0" w:after="283"/>
              <w:jc w:val="left"/>
              <w:rPr>
                <w:sz w:val="20"/>
              </w:rPr>
            </w:pPr>
            <w:r>
              <w:rPr>
                <w:sz w:val="20"/>
              </w:rPr>
              <w:t>Riyadh</w:t>
            </w:r>
          </w:p>
        </w:tc>
      </w:tr>
      <w:tr>
        <w:trPr/>
        <w:tc>
          <w:tcPr>
            <w:tcW w:w="3390" w:type="dxa"/>
            <w:tcBorders/>
            <w:vAlign w:val="center"/>
          </w:tcPr>
          <w:p>
            <w:pPr>
              <w:pStyle w:val="TableContents"/>
              <w:bidi w:val="0"/>
              <w:spacing w:before="0" w:after="283"/>
              <w:jc w:val="left"/>
              <w:rPr>
                <w:sz w:val="20"/>
              </w:rPr>
            </w:pPr>
            <w:r>
              <w:rPr>
                <w:sz w:val="20"/>
              </w:rPr>
              <w:t>Santa Clara, CA 95054</w:t>
            </w:r>
          </w:p>
        </w:tc>
        <w:tc>
          <w:tcPr>
            <w:tcW w:w="1547" w:type="dxa"/>
            <w:tcBorders/>
            <w:vAlign w:val="center"/>
          </w:tcPr>
          <w:p>
            <w:pPr>
              <w:pStyle w:val="TableContents"/>
              <w:bidi w:val="0"/>
              <w:spacing w:before="0" w:after="283"/>
              <w:jc w:val="left"/>
              <w:rPr>
                <w:sz w:val="20"/>
              </w:rPr>
            </w:pPr>
            <w:r>
              <w:rPr>
                <w:sz w:val="20"/>
              </w:rPr>
              <w:t>Dubai</w:t>
            </w:r>
          </w:p>
        </w:tc>
        <w:tc>
          <w:tcPr>
            <w:tcW w:w="2102" w:type="dxa"/>
            <w:tcBorders/>
            <w:vAlign w:val="center"/>
          </w:tcPr>
          <w:p>
            <w:pPr>
              <w:pStyle w:val="TableContents"/>
              <w:bidi w:val="0"/>
              <w:spacing w:before="0" w:after="283"/>
              <w:jc w:val="left"/>
              <w:rPr>
                <w:sz w:val="20"/>
              </w:rPr>
            </w:pPr>
            <w:r>
              <w:rPr>
                <w:sz w:val="20"/>
              </w:rPr>
              <w:t>San Diego</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Düsseldorf</w:t>
            </w:r>
          </w:p>
        </w:tc>
        <w:tc>
          <w:tcPr>
            <w:tcW w:w="2102" w:type="dxa"/>
            <w:tcBorders/>
            <w:vAlign w:val="center"/>
          </w:tcPr>
          <w:p>
            <w:pPr>
              <w:pStyle w:val="TableContents"/>
              <w:bidi w:val="0"/>
              <w:spacing w:before="0" w:after="283"/>
              <w:jc w:val="left"/>
              <w:rPr>
                <w:sz w:val="20"/>
              </w:rPr>
            </w:pPr>
            <w:r>
              <w:rPr>
                <w:sz w:val="20"/>
              </w:rPr>
              <w:t>San Francisco</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Frankfurt</w:t>
            </w:r>
          </w:p>
        </w:tc>
        <w:tc>
          <w:tcPr>
            <w:tcW w:w="2102" w:type="dxa"/>
            <w:tcBorders/>
            <w:vAlign w:val="center"/>
          </w:tcPr>
          <w:p>
            <w:pPr>
              <w:pStyle w:val="TableContents"/>
              <w:bidi w:val="0"/>
              <w:spacing w:before="0" w:after="283"/>
              <w:jc w:val="left"/>
              <w:rPr>
                <w:sz w:val="20"/>
              </w:rPr>
            </w:pPr>
            <w:r>
              <w:rPr>
                <w:sz w:val="20"/>
              </w:rPr>
              <w:t>Seoul</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Hamburg</w:t>
            </w:r>
          </w:p>
        </w:tc>
        <w:tc>
          <w:tcPr>
            <w:tcW w:w="2102" w:type="dxa"/>
            <w:tcBorders/>
            <w:vAlign w:val="center"/>
          </w:tcPr>
          <w:p>
            <w:pPr>
              <w:pStyle w:val="TableContents"/>
              <w:bidi w:val="0"/>
              <w:spacing w:before="0" w:after="283"/>
              <w:jc w:val="left"/>
              <w:rPr>
                <w:sz w:val="20"/>
              </w:rPr>
            </w:pPr>
            <w:r>
              <w:rPr>
                <w:sz w:val="20"/>
              </w:rPr>
              <w:t>Silicon Valley</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Hong Kong</w:t>
            </w:r>
          </w:p>
        </w:tc>
        <w:tc>
          <w:tcPr>
            <w:tcW w:w="2102" w:type="dxa"/>
            <w:tcBorders/>
            <w:vAlign w:val="center"/>
          </w:tcPr>
          <w:p>
            <w:pPr>
              <w:pStyle w:val="TableContents"/>
              <w:bidi w:val="0"/>
              <w:spacing w:before="0" w:after="283"/>
              <w:jc w:val="left"/>
              <w:rPr>
                <w:sz w:val="20"/>
              </w:rPr>
            </w:pPr>
            <w:r>
              <w:rPr>
                <w:sz w:val="20"/>
              </w:rPr>
              <w:t>Singapore</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Houston</w:t>
            </w:r>
          </w:p>
        </w:tc>
        <w:tc>
          <w:tcPr>
            <w:tcW w:w="2102" w:type="dxa"/>
            <w:tcBorders/>
            <w:vAlign w:val="center"/>
          </w:tcPr>
          <w:p>
            <w:pPr>
              <w:pStyle w:val="TableContents"/>
              <w:bidi w:val="0"/>
              <w:spacing w:before="0" w:after="283"/>
              <w:jc w:val="left"/>
              <w:rPr>
                <w:sz w:val="20"/>
              </w:rPr>
            </w:pPr>
            <w:r>
              <w:rPr>
                <w:sz w:val="20"/>
              </w:rPr>
              <w:t>Tel Aviv</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London</w:t>
            </w:r>
          </w:p>
        </w:tc>
        <w:tc>
          <w:tcPr>
            <w:tcW w:w="2102" w:type="dxa"/>
            <w:tcBorders/>
            <w:vAlign w:val="center"/>
          </w:tcPr>
          <w:p>
            <w:pPr>
              <w:pStyle w:val="TableContents"/>
              <w:bidi w:val="0"/>
              <w:spacing w:before="0" w:after="283"/>
              <w:jc w:val="left"/>
              <w:rPr>
                <w:sz w:val="20"/>
              </w:rPr>
            </w:pPr>
            <w:r>
              <w:rPr>
                <w:sz w:val="20"/>
              </w:rPr>
              <w:t>Tokyo</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Los Angeles</w:t>
            </w:r>
          </w:p>
        </w:tc>
        <w:tc>
          <w:tcPr>
            <w:tcW w:w="2102" w:type="dxa"/>
            <w:tcBorders/>
            <w:vAlign w:val="center"/>
          </w:tcPr>
          <w:p>
            <w:pPr>
              <w:pStyle w:val="TableContents"/>
              <w:bidi w:val="0"/>
              <w:spacing w:before="0" w:after="283"/>
              <w:jc w:val="left"/>
              <w:rPr>
                <w:sz w:val="20"/>
              </w:rPr>
            </w:pPr>
            <w:r>
              <w:rPr>
                <w:sz w:val="20"/>
              </w:rPr>
              <w:t>Washington, D.C.</w:t>
            </w:r>
          </w:p>
        </w:tc>
      </w:tr>
      <w:tr>
        <w:trPr/>
        <w:tc>
          <w:tcPr>
            <w:tcW w:w="3390" w:type="dxa"/>
            <w:tcBorders/>
            <w:vAlign w:val="center"/>
          </w:tcPr>
          <w:p>
            <w:pPr>
              <w:pStyle w:val="TableContents"/>
              <w:bidi w:val="0"/>
              <w:spacing w:before="0" w:after="283"/>
              <w:jc w:val="left"/>
              <w:rPr/>
            </w:pPr>
            <w:r>
              <w:rPr/>
              <w:t> </w:t>
            </w:r>
          </w:p>
        </w:tc>
        <w:tc>
          <w:tcPr>
            <w:tcW w:w="1547" w:type="dxa"/>
            <w:tcBorders/>
            <w:vAlign w:val="center"/>
          </w:tcPr>
          <w:p>
            <w:pPr>
              <w:pStyle w:val="TableContents"/>
              <w:bidi w:val="0"/>
              <w:spacing w:before="0" w:after="283"/>
              <w:jc w:val="left"/>
              <w:rPr>
                <w:sz w:val="20"/>
              </w:rPr>
            </w:pPr>
            <w:r>
              <w:rPr>
                <w:sz w:val="20"/>
              </w:rPr>
              <w:t>Madrid</w:t>
            </w:r>
          </w:p>
        </w:tc>
        <w:tc>
          <w:tcPr>
            <w:tcW w:w="210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of up to 36,894,839 shares of Class A common stock, par value $0.0001 per share, of SoundHound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SoundHound AI,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resale from time to time by the selling stockholders (the “</w:t>
      </w:r>
      <w:r>
        <w:rPr>
          <w:rFonts w:ascii="Times New Roman;Times;Serif" w:hAnsi="Times New Roman;Times;Serif"/>
          <w:b/>
          <w:i/>
          <w:caps w:val="false"/>
          <w:smallCaps w:val="false"/>
          <w:sz w:val="20"/>
        </w:rPr>
        <w:t>Selling Stockholders</w:t>
      </w:r>
      <w:r>
        <w:rPr>
          <w:rFonts w:ascii="Times New Roman;Times;Serif" w:hAnsi="Times New Roman;Times;Serif"/>
          <w:b w:val="false"/>
          <w:i w:val="false"/>
          <w:caps w:val="false"/>
          <w:smallCaps w:val="false"/>
          <w:sz w:val="20"/>
        </w:rPr>
        <w:t>”) named in the Prospectus (as defined below) of up to 36,894,839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Class A common stock, $0.0001 par value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issuable to the Selling Stockholders in connection with that certain Notes Restructuring Agreement, dated as of April 21, 2026 (the “</w:t>
      </w:r>
      <w:r>
        <w:rPr>
          <w:rFonts w:ascii="Times New Roman;Times;Serif" w:hAnsi="Times New Roman;Times;Serif"/>
          <w:b/>
          <w:i/>
          <w:caps w:val="false"/>
          <w:smallCaps w:val="false"/>
          <w:sz w:val="20"/>
        </w:rPr>
        <w:t>Notes Restructuring Agreement</w:t>
      </w:r>
      <w:r>
        <w:rPr>
          <w:rFonts w:ascii="Times New Roman;Times;Serif" w:hAnsi="Times New Roman;Times;Serif"/>
          <w:b w:val="false"/>
          <w:i w:val="false"/>
          <w:caps w:val="false"/>
          <w:smallCaps w:val="false"/>
          <w:sz w:val="20"/>
        </w:rPr>
        <w:t>”), by and among the Company, LivePerson, Inc. (“</w:t>
      </w:r>
      <w:r>
        <w:rPr>
          <w:rFonts w:ascii="Times New Roman;Times;Serif" w:hAnsi="Times New Roman;Times;Serif"/>
          <w:b/>
          <w:i/>
          <w:caps w:val="false"/>
          <w:smallCaps w:val="false"/>
          <w:sz w:val="20"/>
        </w:rPr>
        <w:t>LivePerson</w:t>
      </w:r>
      <w:r>
        <w:rPr>
          <w:rFonts w:ascii="Times New Roman;Times;Serif" w:hAnsi="Times New Roman;Times;Serif"/>
          <w:b w:val="false"/>
          <w:i w:val="false"/>
          <w:caps w:val="false"/>
          <w:smallCaps w:val="false"/>
          <w:sz w:val="20"/>
        </w:rPr>
        <w:t>”) and the noteholders party thereto. The Shares are included in a registration statement on Form S-3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May 11, 2026 (Registration No. 333-295779)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 base prospectus, dated May 11, 2026, included in the Registration Statement at the time it originally became effective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a prospectus supplement, dated September 4, 2026, filed with the Commission pursuant to Rule 424(b) under the Act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we express no opinion with respect to any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the Shares have been duly authorized by all necessary corporate action of the Company, and are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September 4, 2026 and its incorporation by reference into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4320" w:right="0" w:hanging="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 Latham &amp; Watkins LLP</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1197</Words>
  <Characters>6390</Characters>
  <CharactersWithSpaces>7559</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