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51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MOHAJER KEYVAN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0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000" w:type="dxa"/>
            <w:vAlign w:val="bottom"/>
            <w:vMerge w:val="continue"/>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0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00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08/01/2024</w:t>
            </w:r>
          </w:p>
        </w:tc>
        <w:tc>
          <w:tcPr>
            <w:tcW w:w="1440" w:type="dxa"/>
            <w:vAlign w:val="bottom"/>
          </w:tcPr>
          <w:p>
            <w:pPr>
              <w:spacing w:after="0"/>
              <w:rPr>
                <w:sz w:val="8"/>
                <w:szCs w:val="8"/>
                <w:color w:val="auto"/>
              </w:rPr>
            </w:pPr>
          </w:p>
        </w:tc>
        <w:tc>
          <w:tcPr>
            <w:tcW w:w="200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380" w:type="dxa"/>
            <w:vAlign w:val="bottom"/>
            <w:gridSpan w:val="3"/>
            <w:vMerge w:val="continue"/>
          </w:tcPr>
          <w:p>
            <w:pPr>
              <w:spacing w:after="0"/>
              <w:rPr>
                <w:sz w:val="11"/>
                <w:szCs w:val="11"/>
                <w:color w:val="auto"/>
              </w:rPr>
            </w:pPr>
          </w:p>
        </w:tc>
        <w:tc>
          <w:tcPr>
            <w:tcW w:w="1440" w:type="dxa"/>
            <w:vAlign w:val="bottom"/>
          </w:tcPr>
          <w:p>
            <w:pPr>
              <w:spacing w:after="0"/>
              <w:rPr>
                <w:sz w:val="11"/>
                <w:szCs w:val="11"/>
                <w:color w:val="auto"/>
              </w:rPr>
            </w:pPr>
          </w:p>
        </w:tc>
        <w:tc>
          <w:tcPr>
            <w:tcW w:w="2000" w:type="dxa"/>
            <w:vAlign w:val="bottom"/>
            <w:vMerge w:val="restart"/>
          </w:tcPr>
          <w:p>
            <w:pPr>
              <w:ind w:left="1480"/>
              <w:spacing w:after="0"/>
              <w:rPr>
                <w:sz w:val="20"/>
                <w:szCs w:val="20"/>
                <w:color w:val="auto"/>
              </w:rPr>
            </w:pPr>
            <w:r>
              <w:rPr>
                <w:rFonts w:ascii="Times New Roman" w:cs="Times New Roman" w:eastAsia="Times New Roman" w:hAnsi="Times New Roman"/>
                <w:sz w:val="17"/>
                <w:szCs w:val="17"/>
                <w:color w:val="0000FF"/>
              </w:rPr>
              <w:t>CEO</w:t>
            </w: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08/01/2024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9"/>
              </w:rPr>
              <w:t>1,500,000</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2,453,333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under the SoundHound AI, Inc. 2022 Incentive Award Plan (the "Plan"). These restricted stock units vest over three years in approximately equal monthly installments.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08/05/2024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12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w w:val="99"/>
              </w:rPr>
              <w:t>fact for MOHAJER KEYVAN</w:t>
            </w:r>
          </w:p>
        </w:tc>
        <w:tc>
          <w:tcPr>
            <w:tcW w:w="8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2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MOHAJER KEYVAN - CIK # 0001917995</w:t>
      </w:r>
    </w:p>
    <w:p>
      <w:pPr>
        <w:spacing w:after="0" w:line="175" w:lineRule="exact"/>
        <w:rPr>
          <w:sz w:val="20"/>
          <w:szCs w:val="20"/>
          <w:color w:val="auto"/>
        </w:rPr>
      </w:pPr>
    </w:p>
    <w:p>
      <w:pPr>
        <w:ind w:right="3539" w:firstLine="520"/>
        <w:spacing w:after="0" w:line="26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or Nitesh Sharan signing singly, the undersigned's true and lawful attorney-in-fact to:</w:t>
      </w:r>
    </w:p>
    <w:p>
      <w:pPr>
        <w:spacing w:after="0" w:line="1" w:lineRule="exact"/>
        <w:rPr>
          <w:sz w:val="20"/>
          <w:szCs w:val="20"/>
          <w:color w:val="auto"/>
        </w:rPr>
      </w:pP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Keyvan Mohajer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Keyvan Mohajer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17995"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2024-08-05T16:51:40Z</dcterms:created>
  <dcterms:modified xsi:type="dcterms:W3CDTF">2024-08-05T16:51:40Z</dcterms:modified>
</cp:coreProperties>
</file>