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12b-25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NOTIFICATION OF LATE FILING</w:t>
      </w:r>
    </w:p>
    <w:p>
      <w:pPr>
        <w:spacing w:after="0" w:line="184" w:lineRule="exact"/>
        <w:rPr>
          <w:sz w:val="24"/>
          <w:szCs w:val="24"/>
          <w:color w:val="auto"/>
        </w:rPr>
      </w:pPr>
    </w:p>
    <w:p>
      <w:pPr>
        <w:ind w:left="1180"/>
        <w:spacing w:after="0" w:line="196" w:lineRule="exact"/>
        <w:rPr>
          <w:sz w:val="20"/>
          <w:szCs w:val="20"/>
          <w:color w:val="auto"/>
        </w:rPr>
      </w:pPr>
      <w:r>
        <w:rPr>
          <w:rFonts w:ascii="Arial" w:cs="Arial" w:eastAsia="Arial" w:hAnsi="Arial"/>
          <w:sz w:val="17"/>
          <w:szCs w:val="17"/>
          <w:color w:val="auto"/>
        </w:rPr>
        <w:t xml:space="preserve">(Check One): </w:t>
      </w:r>
      <w:r>
        <w:rPr>
          <w:rFonts w:ascii="MS PGothic" w:cs="MS PGothic" w:eastAsia="MS PGothic" w:hAnsi="MS PGothic"/>
          <w:sz w:val="17"/>
          <w:szCs w:val="17"/>
          <w:color w:val="auto"/>
        </w:rPr>
        <w:t>☐</w:t>
      </w:r>
      <w:r>
        <w:rPr>
          <w:rFonts w:ascii="Arial" w:cs="Arial" w:eastAsia="Arial" w:hAnsi="Arial"/>
          <w:sz w:val="17"/>
          <w:szCs w:val="17"/>
          <w:color w:val="auto"/>
        </w:rPr>
        <w:t xml:space="preserve"> Form 10-K </w:t>
      </w:r>
      <w:r>
        <w:rPr>
          <w:rFonts w:ascii="MS PGothic" w:cs="MS PGothic" w:eastAsia="MS PGothic" w:hAnsi="MS PGothic"/>
          <w:sz w:val="17"/>
          <w:szCs w:val="17"/>
          <w:color w:val="auto"/>
        </w:rPr>
        <w:t>☐</w:t>
      </w:r>
      <w:r>
        <w:rPr>
          <w:rFonts w:ascii="Arial" w:cs="Arial" w:eastAsia="Arial" w:hAnsi="Arial"/>
          <w:sz w:val="17"/>
          <w:szCs w:val="17"/>
          <w:color w:val="auto"/>
        </w:rPr>
        <w:t xml:space="preserve"> Form 20-F </w:t>
      </w:r>
      <w:r>
        <w:rPr>
          <w:rFonts w:ascii="MS PGothic" w:cs="MS PGothic" w:eastAsia="MS PGothic" w:hAnsi="MS PGothic"/>
          <w:sz w:val="17"/>
          <w:szCs w:val="17"/>
          <w:color w:val="auto"/>
        </w:rPr>
        <w:t>☐</w:t>
      </w:r>
      <w:r>
        <w:rPr>
          <w:rFonts w:ascii="Arial" w:cs="Arial" w:eastAsia="Arial" w:hAnsi="Arial"/>
          <w:sz w:val="17"/>
          <w:szCs w:val="17"/>
          <w:color w:val="auto"/>
        </w:rPr>
        <w:t xml:space="preserve"> Form 11-K </w:t>
      </w:r>
      <w:r>
        <w:rPr>
          <w:rFonts w:ascii="MS PGothic" w:cs="MS PGothic" w:eastAsia="MS PGothic" w:hAnsi="MS PGothic"/>
          <w:sz w:val="17"/>
          <w:szCs w:val="17"/>
          <w:color w:val="auto"/>
        </w:rPr>
        <w:t>☒</w:t>
      </w:r>
      <w:r>
        <w:rPr>
          <w:rFonts w:ascii="Arial" w:cs="Arial" w:eastAsia="Arial" w:hAnsi="Arial"/>
          <w:sz w:val="17"/>
          <w:szCs w:val="17"/>
          <w:color w:val="auto"/>
        </w:rPr>
        <w:t xml:space="preserve"> Form 10-Q </w:t>
      </w:r>
      <w:r>
        <w:rPr>
          <w:rFonts w:ascii="MS PGothic" w:cs="MS PGothic" w:eastAsia="MS PGothic" w:hAnsi="MS PGothic"/>
          <w:sz w:val="17"/>
          <w:szCs w:val="17"/>
          <w:color w:val="auto"/>
        </w:rPr>
        <w:t>☐</w:t>
      </w:r>
      <w:r>
        <w:rPr>
          <w:rFonts w:ascii="Arial" w:cs="Arial" w:eastAsia="Arial" w:hAnsi="Arial"/>
          <w:sz w:val="17"/>
          <w:szCs w:val="17"/>
          <w:color w:val="auto"/>
        </w:rPr>
        <w:t xml:space="preserve"> Form 10-D </w:t>
      </w:r>
      <w:r>
        <w:rPr>
          <w:rFonts w:ascii="MS PGothic" w:cs="MS PGothic" w:eastAsia="MS PGothic" w:hAnsi="MS PGothic"/>
          <w:sz w:val="17"/>
          <w:szCs w:val="17"/>
          <w:color w:val="auto"/>
        </w:rPr>
        <w:t>☐</w:t>
      </w:r>
      <w:r>
        <w:rPr>
          <w:rFonts w:ascii="Arial" w:cs="Arial" w:eastAsia="Arial" w:hAnsi="Arial"/>
          <w:sz w:val="17"/>
          <w:szCs w:val="17"/>
          <w:color w:val="auto"/>
        </w:rPr>
        <w:t xml:space="preserve"> Form N-SAR </w:t>
      </w:r>
      <w:r>
        <w:rPr>
          <w:rFonts w:ascii="MS PGothic" w:cs="MS PGothic" w:eastAsia="MS PGothic" w:hAnsi="MS PGothic"/>
          <w:sz w:val="17"/>
          <w:szCs w:val="17"/>
          <w:color w:val="auto"/>
        </w:rPr>
        <w:t>☐</w:t>
      </w:r>
      <w:r>
        <w:rPr>
          <w:rFonts w:ascii="Arial" w:cs="Arial" w:eastAsia="Arial" w:hAnsi="Arial"/>
          <w:sz w:val="17"/>
          <w:szCs w:val="17"/>
          <w:color w:val="auto"/>
        </w:rPr>
        <w:t xml:space="preserve"> Form N-CSR</w:t>
      </w:r>
    </w:p>
    <w:p>
      <w:pPr>
        <w:spacing w:after="0" w:line="28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Period Ended: September 30, 2023</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5"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N-SAR</w:t>
      </w:r>
    </w:p>
    <w:p>
      <w:pPr>
        <w:spacing w:after="0" w:line="20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the Transition Period Ended: _____________________________________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Read Instructions (on back page) Before Preparing Form. Please Print or Type.</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NOTHING IN THIS FORM SHALL BE CONSTRUED TO IMPLY THAT THE COMMISSION HAS VERIFIED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ANY INFORMATION CONTAINED HEREIN.</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ectPr>
          <w:pgSz w:w="11900" w:h="16838" w:orient="portrait"/>
          <w:cols w:equalWidth="0" w:num="1">
            <w:col w:w="11240"/>
          </w:cols>
          <w:pgMar w:left="320" w:top="513" w:right="339" w:bottom="1440" w:gutter="0" w:footer="0" w:header="0"/>
        </w:sectPr>
      </w:pP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Full name of Registrant: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jc w:val="center"/>
        <w:ind w:right="4060"/>
        <w:spacing w:after="0"/>
        <w:rPr>
          <w:sz w:val="20"/>
          <w:szCs w:val="20"/>
          <w:color w:val="auto"/>
        </w:rPr>
      </w:pPr>
      <w:r>
        <w:rPr>
          <w:rFonts w:ascii="Arial" w:cs="Arial" w:eastAsia="Arial" w:hAnsi="Arial"/>
          <w:sz w:val="16"/>
          <w:szCs w:val="16"/>
          <w:color w:val="auto"/>
        </w:rPr>
        <w:t>SoundHound AI, Inc.</w:t>
      </w:r>
    </w:p>
    <w:p>
      <w:pPr>
        <w:spacing w:after="0" w:line="200" w:lineRule="exact"/>
        <w:rPr>
          <w:sz w:val="24"/>
          <w:szCs w:val="24"/>
          <w:color w:val="auto"/>
        </w:rPr>
      </w:pPr>
    </w:p>
    <w:p>
      <w:pPr>
        <w:sectPr>
          <w:pgSz w:w="11900" w:h="16838" w:orient="portrait"/>
          <w:cols w:equalWidth="0" w:num="2">
            <w:col w:w="4900" w:space="720"/>
            <w:col w:w="5620"/>
          </w:cols>
          <w:pgMar w:left="320" w:top="513" w:right="3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Address of principal executive office: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5400 Betsy Ross Drive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Santa Clara, CA 95054</w:t>
      </w:r>
    </w:p>
    <w:p>
      <w:pPr>
        <w:spacing w:after="0" w:line="222" w:lineRule="exact"/>
        <w:rPr>
          <w:sz w:val="24"/>
          <w:szCs w:val="24"/>
          <w:color w:val="auto"/>
        </w:rPr>
      </w:pPr>
    </w:p>
    <w:p>
      <w:pPr>
        <w:sectPr>
          <w:pgSz w:w="11900" w:h="16838" w:orient="portrait"/>
          <w:cols w:equalWidth="0" w:num="2">
            <w:col w:w="4900" w:space="720"/>
            <w:col w:w="5620"/>
          </w:cols>
          <w:pgMar w:left="320" w:top="513"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PART II - RULES 12b-25(b) AND (c)</w:t>
      </w:r>
    </w:p>
    <w:p>
      <w:pPr>
        <w:sectPr>
          <w:pgSz w:w="11900" w:h="16838" w:orient="portrait"/>
          <w:cols w:equalWidth="0" w:num="1">
            <w:col w:w="11240"/>
          </w:cols>
          <w:pgMar w:left="320" w:top="513" w:right="339" w:bottom="1440" w:gutter="0" w:footer="0" w:header="0"/>
          <w:type w:val="continuous"/>
        </w:sectPr>
      </w:pPr>
    </w:p>
    <w:p>
      <w:pPr>
        <w:spacing w:after="0" w:line="24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4"/>
          <w:szCs w:val="24"/>
          <w:color w:val="auto"/>
        </w:rPr>
      </w:pPr>
    </w:p>
    <w:p>
      <w:pPr>
        <w:ind w:left="980" w:hanging="324"/>
        <w:spacing w:after="0"/>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reasons described in reasonable detail in Part III of this form could not be eliminated without unreasonable effort or expense;</w:t>
      </w:r>
    </w:p>
    <w:p>
      <w:pPr>
        <w:spacing w:after="0" w:line="34" w:lineRule="exact"/>
        <w:rPr>
          <w:rFonts w:ascii="Arial" w:cs="Arial" w:eastAsia="Arial" w:hAnsi="Arial"/>
          <w:sz w:val="17"/>
          <w:szCs w:val="17"/>
          <w:color w:val="auto"/>
        </w:rPr>
      </w:pPr>
    </w:p>
    <w:p>
      <w:pPr>
        <w:ind w:left="980" w:hanging="729"/>
        <w:spacing w:after="0" w:line="250" w:lineRule="auto"/>
        <w:tabs>
          <w:tab w:leader="none" w:pos="65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(b) 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 w:lineRule="exact"/>
        <w:rPr>
          <w:rFonts w:ascii="MS PGothic" w:cs="MS PGothic" w:eastAsia="MS PGothic" w:hAnsi="MS PGothic"/>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State below in reasonable detail the reasons why the Form 10-Q could not be filed within the prescribed time period.</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SoundHound AI, Inc. (the “Company”) has determined that it is unable to file its Quarterly Report on Form 10-Q for the fiscal quarter ended September 30, 2023 (the “Form 10-Q”) without unreasonable effort or expense. On November 9, 2023, the Company issued a press release (the “Press Release”) announcing its preliminary financial results for the quarter ended September 30, 2023. The Company expects to file the Form 10-Q on November 15, 2023. The reason that the Company was unable to file timely is because the Company identified immaterial accounting errors related to historical financing transactions for certain prior periods, which will be revised in the Form 10-Q. The Company expects to report in the Form 10-Q material weaknesses in its internal control over financial reporting. As a result, the disclosure controls and procedures will be ineffective as of September 30,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PART IV — OTHER INFORMATION</w:t>
            </w:r>
          </w:p>
        </w:tc>
        <w:tc>
          <w:tcPr>
            <w:tcW w:w="4380" w:type="dxa"/>
            <w:vAlign w:val="bottom"/>
          </w:tcPr>
          <w:p>
            <w:pPr>
              <w:spacing w:after="0"/>
              <w:rPr>
                <w:sz w:val="20"/>
                <w:szCs w:val="20"/>
                <w:color w:val="auto"/>
              </w:rPr>
            </w:pPr>
          </w:p>
        </w:tc>
      </w:tr>
      <w:tr>
        <w:trPr>
          <w:trHeight w:val="432"/>
        </w:trPr>
        <w:tc>
          <w:tcPr>
            <w:tcW w:w="6860" w:type="dxa"/>
            <w:vAlign w:val="bottom"/>
            <w:gridSpan w:val="3"/>
          </w:tcPr>
          <w:p>
            <w:pPr>
              <w:spacing w:after="0"/>
              <w:rPr>
                <w:sz w:val="20"/>
                <w:szCs w:val="20"/>
                <w:color w:val="auto"/>
              </w:rPr>
            </w:pPr>
            <w:r>
              <w:rPr>
                <w:rFonts w:ascii="Arial" w:cs="Arial" w:eastAsia="Arial" w:hAnsi="Arial"/>
                <w:sz w:val="18"/>
                <w:szCs w:val="18"/>
                <w:color w:val="auto"/>
              </w:rPr>
              <w:t>(1) Name and telephone number of person to contact in regard to this notification:</w:t>
            </w:r>
          </w:p>
        </w:tc>
        <w:tc>
          <w:tcPr>
            <w:tcW w:w="4380" w:type="dxa"/>
            <w:vAlign w:val="bottom"/>
          </w:tcPr>
          <w:p>
            <w:pPr>
              <w:spacing w:after="0"/>
              <w:rPr>
                <w:sz w:val="24"/>
                <w:szCs w:val="24"/>
                <w:color w:val="auto"/>
              </w:rPr>
            </w:pPr>
          </w:p>
        </w:tc>
      </w:tr>
      <w:tr>
        <w:trPr>
          <w:trHeight w:val="452"/>
        </w:trPr>
        <w:tc>
          <w:tcPr>
            <w:tcW w:w="6860" w:type="dxa"/>
            <w:vAlign w:val="bottom"/>
            <w:gridSpan w:val="3"/>
          </w:tcPr>
          <w:p>
            <w:pPr>
              <w:jc w:val="center"/>
              <w:ind w:right="1340"/>
              <w:spacing w:after="0"/>
              <w:rPr>
                <w:sz w:val="20"/>
                <w:szCs w:val="20"/>
                <w:color w:val="auto"/>
              </w:rPr>
            </w:pPr>
            <w:r>
              <w:rPr>
                <w:rFonts w:ascii="Arial" w:cs="Arial" w:eastAsia="Arial" w:hAnsi="Arial"/>
                <w:sz w:val="18"/>
                <w:szCs w:val="18"/>
                <w:color w:val="auto"/>
                <w:w w:val="93"/>
              </w:rPr>
              <w:t>Dr. Keyvan Mohajer</w:t>
            </w:r>
          </w:p>
        </w:tc>
        <w:tc>
          <w:tcPr>
            <w:tcW w:w="4380" w:type="dxa"/>
            <w:vAlign w:val="bottom"/>
          </w:tcPr>
          <w:p>
            <w:pPr>
              <w:jc w:val="right"/>
              <w:ind w:right="2090"/>
              <w:spacing w:after="0"/>
              <w:rPr>
                <w:sz w:val="20"/>
                <w:szCs w:val="20"/>
                <w:color w:val="auto"/>
              </w:rPr>
            </w:pPr>
            <w:r>
              <w:rPr>
                <w:rFonts w:ascii="Arial" w:cs="Arial" w:eastAsia="Arial" w:hAnsi="Arial"/>
                <w:sz w:val="18"/>
                <w:szCs w:val="18"/>
                <w:color w:val="auto"/>
              </w:rPr>
              <w:t>(408) 441-3200</w:t>
            </w:r>
          </w:p>
        </w:tc>
      </w:tr>
      <w:tr>
        <w:trPr>
          <w:trHeight w:val="234"/>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380" w:type="dxa"/>
            <w:vAlign w:val="bottom"/>
            <w:tcBorders>
              <w:top w:val="single" w:sz="8" w:color="auto"/>
            </w:tcBorders>
          </w:tcPr>
          <w:p>
            <w:pPr>
              <w:jc w:val="center"/>
              <w:ind w:right="1030"/>
              <w:spacing w:after="0"/>
              <w:rPr>
                <w:sz w:val="20"/>
                <w:szCs w:val="20"/>
                <w:color w:val="auto"/>
              </w:rPr>
            </w:pPr>
            <w:r>
              <w:rPr>
                <w:rFonts w:ascii="Arial" w:cs="Arial" w:eastAsia="Arial" w:hAnsi="Arial"/>
                <w:sz w:val="18"/>
                <w:szCs w:val="18"/>
                <w:b w:val="1"/>
                <w:bCs w:val="1"/>
                <w:color w:val="auto"/>
                <w:w w:val="89"/>
              </w:rPr>
              <w:t>Telephone Number</w:t>
            </w:r>
          </w:p>
        </w:tc>
      </w:tr>
    </w:tbl>
    <w:p>
      <w:pPr>
        <w:spacing w:after="0" w:line="183" w:lineRule="exact"/>
        <w:rPr>
          <w:sz w:val="20"/>
          <w:szCs w:val="20"/>
          <w:color w:val="auto"/>
        </w:rPr>
      </w:pPr>
    </w:p>
    <w:p>
      <w:pPr>
        <w:jc w:val="both"/>
        <w:ind w:left="34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38" w:lineRule="exact"/>
        <w:rPr>
          <w:rFonts w:ascii="Arial" w:cs="Arial" w:eastAsia="Arial" w:hAnsi="Arial"/>
          <w:sz w:val="18"/>
          <w:szCs w:val="18"/>
          <w:color w:val="auto"/>
        </w:rPr>
      </w:pPr>
    </w:p>
    <w:p>
      <w:pPr>
        <w:ind w:left="10460" w:hanging="206"/>
        <w:spacing w:after="0" w:line="196" w:lineRule="exact"/>
        <w:tabs>
          <w:tab w:leader="none" w:pos="10460" w:val="left"/>
        </w:tabs>
        <w:numPr>
          <w:ilvl w:val="1"/>
          <w:numId w:val="4"/>
        </w:numPr>
        <w:rPr>
          <w:rFonts w:ascii="MS PGothic" w:cs="MS PGothic" w:eastAsia="MS PGothic" w:hAnsi="MS PGothic"/>
          <w:sz w:val="17"/>
          <w:szCs w:val="17"/>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81" w:lineRule="exact"/>
        <w:rPr>
          <w:rFonts w:ascii="MS PGothic" w:cs="MS PGothic" w:eastAsia="MS PGothic" w:hAnsi="MS PGothic"/>
          <w:sz w:val="17"/>
          <w:szCs w:val="17"/>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25" w:lineRule="exact"/>
        <w:rPr>
          <w:rFonts w:ascii="Arial" w:cs="Arial" w:eastAsia="Arial" w:hAnsi="Arial"/>
          <w:sz w:val="18"/>
          <w:szCs w:val="18"/>
          <w:color w:val="auto"/>
        </w:rPr>
      </w:pPr>
    </w:p>
    <w:p>
      <w:pPr>
        <w:ind w:left="10460" w:hanging="205"/>
        <w:spacing w:after="0" w:line="196" w:lineRule="exact"/>
        <w:tabs>
          <w:tab w:leader="none" w:pos="10460" w:val="left"/>
        </w:tabs>
        <w:numPr>
          <w:ilvl w:val="1"/>
          <w:numId w:val="4"/>
        </w:numPr>
        <w:rPr>
          <w:rFonts w:ascii="MS PGothic" w:cs="MS PGothic" w:eastAsia="MS PGothic" w:hAnsi="MS PGothic"/>
          <w:sz w:val="17"/>
          <w:szCs w:val="17"/>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9, 2023, the Company issued the Press Release announcing its financial results for the quarter ended September 30, 2023, which included a comparison to its results of operations from the corresponding periods in the last fiscal year. The financial results included in the Press Release are preliminary, unaudited and subject to change pending the completion of the Form 10-Q.</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3380" w:type="dxa"/>
            <w:vAlign w:val="bottom"/>
          </w:tcPr>
          <w:p>
            <w:pPr>
              <w:spacing w:after="0"/>
              <w:rPr>
                <w:sz w:val="20"/>
                <w:szCs w:val="20"/>
                <w:color w:val="auto"/>
              </w:rPr>
            </w:pPr>
          </w:p>
        </w:tc>
        <w:tc>
          <w:tcPr>
            <w:tcW w:w="7860" w:type="dxa"/>
            <w:vAlign w:val="bottom"/>
            <w:gridSpan w:val="3"/>
          </w:tcPr>
          <w:p>
            <w:pPr>
              <w:jc w:val="center"/>
              <w:ind w:right="3360"/>
              <w:spacing w:after="0"/>
              <w:rPr>
                <w:sz w:val="20"/>
                <w:szCs w:val="20"/>
                <w:color w:val="auto"/>
              </w:rPr>
            </w:pPr>
            <w:r>
              <w:rPr>
                <w:rFonts w:ascii="Arial" w:cs="Arial" w:eastAsia="Arial" w:hAnsi="Arial"/>
                <w:sz w:val="18"/>
                <w:szCs w:val="18"/>
                <w:color w:val="auto"/>
                <w:w w:val="92"/>
              </w:rPr>
              <w:t>SoundHound AI, Inc.</w:t>
            </w:r>
          </w:p>
        </w:tc>
      </w:tr>
      <w:tr>
        <w:trPr>
          <w:trHeight w:val="234"/>
        </w:trPr>
        <w:tc>
          <w:tcPr>
            <w:tcW w:w="3380" w:type="dxa"/>
            <w:vAlign w:val="bottom"/>
          </w:tcPr>
          <w:p>
            <w:pPr>
              <w:spacing w:after="0"/>
              <w:rPr>
                <w:sz w:val="20"/>
                <w:szCs w:val="20"/>
                <w:color w:val="auto"/>
              </w:rPr>
            </w:pPr>
          </w:p>
        </w:tc>
        <w:tc>
          <w:tcPr>
            <w:tcW w:w="45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(Name of Registrant as Specified in Charter)</w:t>
            </w:r>
          </w:p>
        </w:tc>
        <w:tc>
          <w:tcPr>
            <w:tcW w:w="3360" w:type="dxa"/>
            <w:vAlign w:val="bottom"/>
          </w:tcPr>
          <w:p>
            <w:pPr>
              <w:spacing w:after="0"/>
              <w:rPr>
                <w:sz w:val="20"/>
                <w:szCs w:val="20"/>
                <w:color w:val="auto"/>
              </w:rPr>
            </w:pPr>
          </w:p>
        </w:tc>
      </w:tr>
      <w:tr>
        <w:trPr>
          <w:trHeight w:val="427"/>
        </w:trPr>
        <w:tc>
          <w:tcPr>
            <w:tcW w:w="11240" w:type="dxa"/>
            <w:vAlign w:val="bottom"/>
            <w:gridSpan w:val="4"/>
          </w:tcPr>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tc>
      </w:tr>
      <w:tr>
        <w:trPr>
          <w:trHeight w:val="439"/>
        </w:trPr>
        <w:tc>
          <w:tcPr>
            <w:tcW w:w="3380" w:type="dxa"/>
            <w:vAlign w:val="bottom"/>
          </w:tcPr>
          <w:p>
            <w:pPr>
              <w:spacing w:after="0"/>
              <w:rPr>
                <w:sz w:val="20"/>
                <w:szCs w:val="20"/>
                <w:color w:val="auto"/>
              </w:rPr>
            </w:pPr>
            <w:r>
              <w:rPr>
                <w:rFonts w:ascii="Arial" w:cs="Arial" w:eastAsia="Arial" w:hAnsi="Arial"/>
                <w:sz w:val="18"/>
                <w:szCs w:val="18"/>
                <w:color w:val="auto"/>
              </w:rPr>
              <w:t>Date: November 15, 2023</w:t>
            </w:r>
          </w:p>
        </w:tc>
        <w:tc>
          <w:tcPr>
            <w:tcW w:w="3380" w:type="dxa"/>
            <w:vAlign w:val="bottom"/>
          </w:tcPr>
          <w:p>
            <w:pPr>
              <w:spacing w:after="0"/>
              <w:rPr>
                <w:sz w:val="24"/>
                <w:szCs w:val="24"/>
                <w:color w:val="auto"/>
              </w:rPr>
            </w:pP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Dr. Keyvan Mohajer</w:t>
            </w:r>
          </w:p>
        </w:tc>
      </w:tr>
      <w:tr>
        <w:trPr>
          <w:trHeight w:val="215"/>
        </w:trPr>
        <w:tc>
          <w:tcPr>
            <w:tcW w:w="33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Dr. Keyvan Mohajer</w:t>
            </w:r>
          </w:p>
        </w:tc>
      </w:tr>
      <w:tr>
        <w:trPr>
          <w:trHeight w:val="230"/>
        </w:trPr>
        <w:tc>
          <w:tcPr>
            <w:tcW w:w="33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682"/>
        </w:trPr>
        <w:tc>
          <w:tcPr>
            <w:tcW w:w="33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jc w:val="center"/>
              <w:ind w:left="1010"/>
              <w:spacing w:after="0"/>
              <w:rPr>
                <w:sz w:val="20"/>
                <w:szCs w:val="20"/>
                <w:color w:val="auto"/>
              </w:rPr>
            </w:pPr>
            <w:r>
              <w:rPr>
                <w:rFonts w:ascii="Arial" w:cs="Arial" w:eastAsia="Arial" w:hAnsi="Arial"/>
                <w:sz w:val="18"/>
                <w:szCs w:val="18"/>
                <w:color w:val="auto"/>
                <w:w w:val="79"/>
              </w:rPr>
              <w:t>3</w:t>
            </w:r>
          </w:p>
        </w:tc>
        <w:tc>
          <w:tcPr>
            <w:tcW w:w="1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lowerLetter"/>
      <w:start w:val="1"/>
    </w:lvl>
  </w:abstractNum>
  <w:abstractNum w:abstractNumId="2">
    <w:nsid w:val="2AE8944A"/>
    <w:multiLevelType w:val="hybridMultilevel"/>
    <w:lvl w:ilvl="0">
      <w:lvlJc w:val="left"/>
      <w:lvlText w:val="☒"/>
      <w:numFmt w:val="bullet"/>
      <w:start w:val="1"/>
    </w:lvl>
    <w:lvl w:ilvl="1">
      <w:lvlJc w:val="left"/>
      <w:lvlText w:val="(%2)"/>
      <w:numFmt w:val="lowerLetter"/>
      <w:start w:val="3"/>
    </w:lvl>
  </w:abstractNum>
  <w:abstractNum w:abstractNumId="3">
    <w:nsid w:val="625558EC"/>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2023-11-15T15:45:40Z</dcterms:created>
  <dcterms:modified xsi:type="dcterms:W3CDTF">2023-11-15T15:45:40Z</dcterms:modified>
</cp:coreProperties>
</file>