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July 13,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120" w:type="dxa"/>
            <w:vAlign w:val="bottom"/>
          </w:tcPr>
          <w:p>
            <w:pPr>
              <w:spacing w:after="0"/>
              <w:rPr>
                <w:sz w:val="21"/>
                <w:szCs w:val="21"/>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12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1345 Avenue of the Americas,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370-7889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83185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As soon as practicable after the effective date of this registration statement.</w:t>
      </w:r>
    </w:p>
    <w:p>
      <w:pPr>
        <w:spacing w:after="0" w:line="131"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check the following box. </w:t>
      </w:r>
      <w:r>
        <w:rPr>
          <w:rFonts w:ascii="MS PGothic" w:cs="MS PGothic" w:eastAsia="MS PGothic" w:hAnsi="MS PGothic"/>
          <w:sz w:val="18"/>
          <w:szCs w:val="18"/>
          <w:color w:val="auto"/>
        </w:rPr>
        <w:t>☐</w:t>
      </w:r>
    </w:p>
    <w:p>
      <w:pPr>
        <w:spacing w:after="0" w:line="15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888"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spacing w:after="0"/>
        <w:tabs>
          <w:tab w:leader="none" w:pos="9440" w:val="left"/>
        </w:tabs>
        <w:rPr>
          <w:sz w:val="20"/>
          <w:szCs w:val="20"/>
          <w:color w:val="auto"/>
        </w:rPr>
      </w:pPr>
      <w:r>
        <w:rPr>
          <w:rFonts w:ascii="Times New Roman" w:cs="Times New Roman" w:eastAsia="Times New Roman" w:hAnsi="Times New Roman"/>
          <w:sz w:val="18"/>
          <w:szCs w:val="18"/>
          <w:b w:val="1"/>
          <w:bCs w:val="1"/>
          <w:color w:val="FF0000"/>
        </w:rPr>
        <w:t>PRELIMINARY PROSPECTUS SUBJECT TO COMPLETION</w:t>
      </w:r>
      <w:r>
        <w:rPr>
          <w:sz w:val="20"/>
          <w:szCs w:val="20"/>
          <w:color w:val="auto"/>
        </w:rPr>
        <w:tab/>
      </w:r>
      <w:r>
        <w:rPr>
          <w:rFonts w:ascii="Times New Roman" w:cs="Times New Roman" w:eastAsia="Times New Roman" w:hAnsi="Times New Roman"/>
          <w:sz w:val="17"/>
          <w:szCs w:val="17"/>
          <w:b w:val="1"/>
          <w:bCs w:val="1"/>
          <w:color w:val="FF0000"/>
        </w:rPr>
        <w:t>DATED JULY 13,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56,834,904 Shares of Class A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40,396,600 Shares of Class A Common Stock Underlying Shares of Class B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208,000 Placement 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3,532,984 Shares of Class A Common Stock Underlying Warrants</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relates to (i) the offer and resale of an aggregate of up to 56,834,904 shares of Class A common stock, par value $0.0001 per share (the “Class A Shares” or “Class A Common Stock”), of SoundHound AI, Inc. (“SoundHound AI,” “the Company,” “we,” “us” or “our”) held by selling securityholders named in this prospectus (each a “Selling Securityholder” and, collectively with the securityholders in (ii) and (iii) below, the “Selling Securityholders”), including (a) the PIPE Shares (as defined below) issued at $10.00 per share, (b) securities held by our officers, directors and their affiliates which were originally issued as (1) founder shares in connection with ATSP’s IPO (each as defined below) for approximately $0.009 per share and (2) as part of placement units in connection with ATSP’s IPO at a price of $10.00 per placement unit, (c) securities held by EarlyBirdCapital and their affiliates which were originally issued (1) as representative shares for no separate cash consideration and (2) as part of placement units in connection with ATSP’s IPO at a price of $10.00 per placement unit, (d) shares of Class A Common Stock exercisable under options held by certain of the Selling Securityholders which were assumed by us and converted into options of SoundHound AI in connection with the Business Combination (as defined below) and have an weighted average exercise price of $3.05 per share after giving effect to the Business Combination, (ii) the resale by certain of our affiliates from time to time of up to 40,396,600 Class A Shares issuable upon conversion of shares of Class B common stock, par value $0.0001 per share, issued pursuant to the Merger Agreement (as defined below) in connection with the Business Combination as merger consideration at an acquiror share value of $0.0073 per share (the “Class B Shares” or “Class B Common Stock”), (iii) the resale from time to time of up to 208,000 warrants, each exercisable for one share of Class A Common Stock at a price of $11.50, subject to adjustment, which were originally issued as part of placement units in connection with ATSP’s IPO at a price of $10.00 per placement unit (the “Placement Warrants”) and (iv) the issuance by us of up to 3,532,984 Class A Shares upon the exercise of outstanding warrants to purchase our Class A Shares at an exercise price of $11.50, which were originally issued as part of the units in connection with ATSP’s IPO at a price of $10.00 per unit (the “Warrants,” as further defined below).</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became a wholly owned subsidiary of ATSP and ATSP changed its name to “SoundHound AI, Inc.” SoundHound AI currently owns 100% of the outstanding common stock of SoundHound, Inc.</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Merger Agreement, ATSP entered into subscription agreements (collectively, the “Subscription Agreements”) with certain accredited investors (the “Subscribers”) pursuant to which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common stock that were held by the Company’s public stockholders at the time of the closing of the Business Combination, except that the PIPE Shares were not registered under the Securities Act of 1933, as amended, and are restricted shares. The sale of PIPE Shares was consummated concurrently with the closing of the Merger Agreement.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registering the issuance of shares of Class A Common Stock issuable upon exercise of certain warrants as provided in the Warrant Agreement (as defined below). Cash proceeds associated with the exercise of Warrants to purchase our Class A Shares are dependent on our stock price. To the extent the sales price of Class A Shares is lower than the exercise price of such Warrants, we are unlikely to receive proceeds from the exercise of such Warrants. We do not currently anticipate this will have a material impact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also covers any additional shares of Class A Common Stock that may become issuable upon any anti-dilution adjustment pursuant to the terms of the Warrants by reason of stock splits, stock dividends, and other events described therein.</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holders of 96% of ATSP’s securities with redemption rights exercised their right to redeem their securities for cash at a redemption price of approximately $10.00 per unit, for an aggregate redemption amount of $127,679,500. The shares of Class A Common Stock being offered for resale pursuant to this prospectus by the selling securityholders represent approximately 24.8% of shares outstanding on a fully diluted basis as of June 30, 2022. Given the substantial number of shares of Class A Common Stock being registered for potential resale by selling securityholders pursuant to this prospectus, the sale of shares by the selling securityholders, or the perception in the market that the selling securityholders of a large number of shares intend to sell shares, could increase the volatility of the market price of our common stock or result in a significant decline in the public trading price of our common stock. Even if our trading price is significantly below $10.00, the offering price for the units offered in ATSP’s IPO, certain of the selling securityholders, including EarlyBirdCapital, may still have an incentive to sell shares of our common stock because they purchased or received the shares at prices lower than the public investors or the current trading price of our common stock. For example, based on the closing price of our Class A Common Stock of $3.59 as of June 22, 2022, holders of the founder shares may experience a potential profit of up to approximately $3.58 per share, or approximately $11.9 million in the aggregate.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or their respective transferees, pledgees, donees or other successors-in-interest, may sell their securities through public or private transactions at prevailing market prices, at prices related to prevailing market prices or at privately negotiated prices. The Selling Securityholders may sell any, all or none of the securities offered by this prospectus, and we do not know when or in what amount the Selling Securityholders may sell their Shares or Warrant Shares hereunder following the effective date of the registration statement of which this prospectus forms a part. We provide more information about how a Selling Securityholder may sell Shares or Warrant Shares in the section titled “Plan of Distribution” on page 121.</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registering the securities on behalf of the Selling Securityholders, to be offered and sold by them from time to time as well as on behalf of the Company with respect to the Warrant Shares. We will not receive any proceeds from the sale of our Shares or Warrants by the Selling Securityholders in the offering described in this prospectus, but we will receive proceeds resulting from any exercise of the Warrants. We cannot predict when and in what amounts or if the Warrants will be exercised. We have agreed to bear all of the expenses incurred in connection with the registration of the Shares and the Warrants. The Selling Securityholders will be responsible for the payment of all discounts, commissions and fees of underwriters, selling brokers or dealer managers and similar expenses, if any, incurred in connection with the sale of the Shares and the Warrants.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such terms are defined under federal securities laws, and, as such have elected to take advantage of certain reduced public company reporting requirements for this prospectus and may elect to do so in future filings.</w:t>
      </w:r>
    </w:p>
    <w:p>
      <w:pPr>
        <w:spacing w:after="0" w:line="162"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Our Class A Shares and Warrants are listed on The Nasdaq Global Market under the symbols “SOUN” and “SOUNW,” respectively. On June 22, 2022, the last reported sales price of the Class A Common Stock was $3.59 per share and the last reported sales price of our Warrants was $0.40 per warrant.</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Please read “Risk Factors” beginning on page 11 of this prospectus.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20" w:type="dxa"/>
            <w:vAlign w:val="bottom"/>
          </w:tcPr>
          <w:p>
            <w:pPr>
              <w:jc w:val="right"/>
              <w:ind w:right="391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55"/>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20" w:type="dxa"/>
            <w:vAlign w:val="bottom"/>
            <w:gridSpan w:val="9"/>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4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6"/>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2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710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CLASS A STOCK AND DIVIDEND POLICY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ATSP</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9200" w:type="dxa"/>
            <w:vAlign w:val="bottom"/>
            <w:tcBorders>
              <w:top w:val="single" w:sz="8" w:color="0000EE"/>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w:t>
            </w:r>
          </w:p>
        </w:tc>
        <w:tc>
          <w:tcPr>
            <w:tcW w:w="460" w:type="dxa"/>
            <w:vAlign w:val="bottom"/>
            <w:tcBorders>
              <w:top w:val="single" w:sz="8" w:color="0000EE"/>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18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SOUNDHOUND</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480" w:type="dxa"/>
            <w:vAlign w:val="bottom"/>
            <w:tcBorders>
              <w:bottom w:val="single" w:sz="8" w:color="CCEEFF"/>
            </w:tcBorders>
            <w:gridSpan w:val="2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88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176"/>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DIRECTOR COMPENSATION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04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EXECUTIVE COMPENSATION ARRANGEMENTS — POST-CLOSING ARRANGEMENTS</w:t>
            </w:r>
          </w:p>
        </w:tc>
        <w:tc>
          <w:tcPr>
            <w:tcW w:w="330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176"/>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46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111</w:t>
            </w:r>
          </w:p>
        </w:tc>
      </w:tr>
      <w:tr>
        <w:trPr>
          <w:trHeight w:val="176"/>
        </w:trPr>
        <w:tc>
          <w:tcPr>
            <w:tcW w:w="103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176"/>
        </w:trPr>
        <w:tc>
          <w:tcPr>
            <w:tcW w:w="57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60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5"/>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2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123</w:t>
            </w:r>
          </w:p>
        </w:tc>
      </w:tr>
      <w:tr>
        <w:trPr>
          <w:trHeight w:val="175"/>
        </w:trPr>
        <w:tc>
          <w:tcPr>
            <w:tcW w:w="382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520" w:type="dxa"/>
            <w:vAlign w:val="bottom"/>
            <w:tcBorders>
              <w:top w:val="single" w:sz="8" w:color="CCEEFF"/>
            </w:tcBorders>
            <w:gridSpan w:val="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Under the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shares of Class A Common Stock issuable upon exercise of certain warrants as provided in the Warrant Agreement (as defined below). We will receive proceeds from any exercise of the Warrants for cash.</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any of the Selling Securityholders takes responsibility for, nor can we or they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The Selling Securityholders may offer, sell or distribute all or a portion of the securities hereby registered publicly or through private transactions at prevailing market prices or at negotiated prices. We will not receive any of the proceeds from such sales of the securities hereunder, except with respect to amounts received by us upon the exercise of the Warrants.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or Warrants. See “Plan of Distribution” beginning on page 121 of this prospectus.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the delivery of this prospectus nor any distribution of shares or Warrants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“SoundHound AI,” “Company,” “we,” “us” and “our” refer to SoundHound AI, Inc., a Delaware corporation,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in this prospectus, the terms, “we,” “us,” “our” “the Company” or “SoundHound AI” refer to , a Delaware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 this document:</w:t>
      </w:r>
    </w:p>
    <w:p>
      <w:pPr>
        <w:spacing w:after="0" w:line="207"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Bylaws” means the Amended &amp; Restated Bylaws of the Company, which took effect upon the effectiveness of the Amended Charter.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contemplated by the Merger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or “Class A Shares” mean the Class A common stock, $0.0001 par value per share, of the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consummation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April 26, 2022, the date of the Closing.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“common stock” means the shares of common stock, par value $0.0001 per share, of ATSP prior to the Closing, and the Class A Common Stock and Class B Common Stock of the Company following the Closing, as applicable.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 our transfer agent and warrant agent.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means the 3,325,000 outstanding shares of common stock initially purchased by the Sponsor for an aggregate purchase price of $25,000 on January 4, 2021.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Stockholders” means the Sponsor and other initial holders of common stock and Private Units, excluding the holders of the Representative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the initial public offering of 13,300,000 Units of the Company consummated in March 2021, inclusive of the partial exercise of the over-allotment option.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means the United States Internal Revenue Service.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that certain Merger Agreement, dated as of November 15, 2021, by and among ATSP, Merger Sub and SoundHound, as it may be amended or supplemented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means ATSPC Merger Sub, Inc., a Delaware corporation, which was, prior to the Closing, a wholly-owned subsidiary of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 means organizational or governing documents of an applicable entity.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means the issuance of 11.3 million shares of Class A Common Stock to certain investors for an aggregate purchase price of $113.0 million in a private placement immediately prior to the Closing of the Business Combination.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Warrants” means 175,750 Warrants sold in private placement consummated concurrently with the IPO as well as 33,250 Warrants held by EarlyBirdCapital or its transferees or designees.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Units” mean the 416,000 Units issued to the Sponsor and EarlyBirdCapital in a private placement concurrently with the IPO.</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means holders of Public Subunits.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Subunits” means Subunits sold in the IPO as part of the Public Units, whether they were purchased in the IPO or thereafter in the open market.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Units” means Units sold in the IPO, whether they were purchased in the IPO or thereafter in the open market.</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Warrants sold as part of the securities in the IPO, whether they were purchased in the IPO or thereafter in the open market.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or “EarlyBirdCapital” means EarlyBirdCapital, Inc., the representative of the underwriters in the IPO.</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Shares” means the 420,000 shares of common stock issued to EarlyBirdCapital, the representative of the underwriters in the IPO.</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means SoundHound, Inc., a Delaware corporation, which is a wholly owned subsidiary of the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Board” means the board of directors of SoundHound.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Founders” means Dr. Keyvan Mohajer, Dr. Majid Emami and James Hom.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Archimedes Tech SPAC Sponsors LLC., a Delaware limited liability company.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means the Subscription Agreements with investors (the “PIPE Investors”) subscribing to participate in the PIPE Investment.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“Subunits” means the subunits issued as part of the Units in the IPO, each consisting of one share of common stock and one-quarter of one redeemable Warrant.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the Company’s trust account maintained by Continental prior to the Closing.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means the units of the Company, each consisting of one Subunit and one-quarter of one redeemable Warrant.</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 refers to that certain Amended and Restated Warrant Agreement, dated as of April 26, 2022, between ATSP and Continental Stock Transfer &amp; Trust Company, as warrant agent.</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refer to the Placement Warrants and the Public Warrants, in each case redeemable and entitling the holder thereof to purchase one share of Class A Common Stock at a price of $11.50 per share (subject to adjustment).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Shares” refer to the Class A Shares issuable upon exercise of the Placement Warrants and the Public Warrants.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contains forward-looking statements within the meaning of Section 27A of the Securities Act of 1933, as amended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9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SoundHound AI Class A Common Stock on Nasdaq;</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the ability of SoundHound AI to manage its growth;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SoundHound AI to protect intellectual property and trade secrets;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the Company’s operations and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SoundHound AI customers to use competitors’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or any similar public health developments on SoundHound AI’s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SoundHound AI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of this prospectus.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127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127875"/>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that you should consider before investing in our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technologies developed over the past 16 years, our advanced Voice AI platform provides exceptional speed and accuracy.</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three months ended March 31, 2022, queries were over 90%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w:t>
      </w:r>
    </w:p>
    <w:p>
      <w:pPr>
        <w:spacing w:after="0" w:line="195"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and more. To ensure that our content domains continue to evolve and grow, our platform is built on our breakthrough Collective AI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sectPr>
      </w:pPr>
    </w:p>
    <w:bookmarkStart w:id="10" w:name="page11"/>
    <w:bookmarkEnd w:id="1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710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t>Our technology is backed by SoundHound AI’s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contemplated by the Merger Agreement (the Merger and such other transactions, the “Business Combination”). On April 26, 2022, the parties consummated the Business Combination as well as the other transactions contemplated by the Merger Agreement. As a result of the Merger, the registrant owns 100% of the outstanding common stock of SoundHound, Inc. In connection with the closing of the Business Combination, the registrant changed its name from “Archimedes Tech SPAC Partners Co.” to “SoundHound AI, Inc.” In connection with the Closing, each share of common stock of ATSP was redesignated as Class A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176" w:lineRule="exact"/>
        <w:rPr>
          <w:sz w:val="20"/>
          <w:szCs w:val="20"/>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executive compensation arrangements in our periodic reports, registration statements and proxy statements;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seek non-binding advisory votes on executive compensation or golden parachute arrangements.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our IPO, (ii) the last day of the first fiscal year in which our annual gross revenues exceed $1.07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436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Summary of Risks Related to Our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beginning on page 11 of this prospectus. These risks include, but are not limited to,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 AI’s Business</w:t>
      </w:r>
    </w:p>
    <w:p>
      <w:pPr>
        <w:spacing w:after="0" w:line="229" w:lineRule="exact"/>
        <w:rPr>
          <w:sz w:val="20"/>
          <w:szCs w:val="20"/>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Voice AI market is a relatively new and rapidly changing market, and we may be unable to compete successfully.</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does not maintain a customer base that will generate a recurring stream of revenues, its operating results may be adversely affected.</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fails to grow its business as anticipated, its revenues and gross margin will be adversely affected.</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failure to comply with data privacy laws and regulations could damage SoundHound AI’s reputation, result in government action and have an adverse impact on its operating results.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key personnel in the future could harm SoundHound AI’s business and negatively affect our ability to successfully grow our business.</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AI’s use of open source technology could impose limitations on its ability to commercialize its software.</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SoundHound AI’s proprietary technology and intellectual property could adversely affect its business and results of operations.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or worsening of the COVID-19 pandemic, or other similar public health developments, could have an adverse effect on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uncertain regulatory environment and may from time to time be subject to governmental investigations or other inquiries by state, federal and local governmental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9"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securities is likely to be highly volatile, and you may lose some or all of your investment.</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could subject us to securities class action litigation.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contained on or accessible through our website is not a part of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sectPr>
      </w:pPr>
    </w:p>
    <w:bookmarkStart w:id="12" w:name="page13"/>
    <w:bookmarkEnd w:id="12"/>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Class A Common Stock</w:t>
      </w:r>
    </w:p>
    <w:p>
      <w:pPr>
        <w:spacing w:after="0" w:line="229" w:lineRule="exact"/>
        <w:rPr>
          <w:sz w:val="20"/>
          <w:szCs w:val="20"/>
          <w:color w:val="auto"/>
        </w:rPr>
      </w:pPr>
    </w:p>
    <w:p>
      <w:pPr>
        <w:ind w:left="160" w:right="840" w:hanging="161"/>
        <w:spacing w:after="0" w:line="282" w:lineRule="auto"/>
        <w:rPr>
          <w:sz w:val="20"/>
          <w:szCs w:val="20"/>
          <w:color w:val="auto"/>
        </w:rPr>
      </w:pPr>
      <w:r>
        <w:rPr>
          <w:rFonts w:ascii="Times New Roman" w:cs="Times New Roman" w:eastAsia="Times New Roman" w:hAnsi="Times New Roman"/>
          <w:sz w:val="18"/>
          <w:szCs w:val="18"/>
          <w:color w:val="auto"/>
        </w:rPr>
        <w:t>Class A Common Stock Offered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160" w:hanging="161"/>
        <w:spacing w:after="0" w:line="266" w:lineRule="auto"/>
        <w:rPr>
          <w:sz w:val="20"/>
          <w:szCs w:val="20"/>
          <w:color w:val="auto"/>
        </w:rPr>
      </w:pPr>
      <w:r>
        <w:rPr>
          <w:rFonts w:ascii="Times New Roman" w:cs="Times New Roman" w:eastAsia="Times New Roman" w:hAnsi="Times New Roman"/>
          <w:sz w:val="18"/>
          <w:szCs w:val="18"/>
          <w:color w:val="auto"/>
        </w:rPr>
        <w:t>Class A Common Stock Offered by certain Affiliates Issuable on Conversion of Class B Common Stock Held by Such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Offered by 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of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Offered by the Selling Warrantholders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Market Symbols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-268605</wp:posOffset>
            </wp:positionV>
            <wp:extent cx="7127875" cy="7847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56,834,904 shares.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Class A Common Stock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40,396,600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proceeds will be payable to us on the conversion of the Class B Common Stock into Class A Common Stock.</w:t>
      </w:r>
    </w:p>
    <w:p>
      <w:pPr>
        <w:spacing w:after="0" w:line="200" w:lineRule="exact"/>
        <w:rPr>
          <w:sz w:val="20"/>
          <w:szCs w:val="20"/>
          <w:color w:val="auto"/>
        </w:rPr>
      </w:pPr>
    </w:p>
    <w:p>
      <w:pPr>
        <w:spacing w:after="0" w:line="3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 to 3,532,984 shares of Class A Common Stock upon the exercise of outstanding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warrant, subject to adjustment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receive proceeds equal to the aggregate exercise price from any exercises of the Warrants, assuming the exercise of the Warrants for cash. We expect to use the net proceeds from the exercise of the Warrants for general corporate purposes, including working capital, operating expenses and capital expenditures. To the extent that any Warrants are exercised on a “cashless basis,” the amount of cash we would receive from the exercise of the Warrants will decrease. Cash proceeds associated with the exercise of Warrants to purchase our Class A Shares are dependent on our stock price. To the extent the sales price of Class A Shares is lower than the exercise price of such Warrants, we are unlikely to receive proceeds from the exercise of such Warrants. We do not currently anticipate this will have a material impact on our liquidity.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208,000 Warrants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Warrants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under the symbol “SOUN”. Our Warrants are listed under the symbol “SOUNW”.</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 investment in our Class A Shares involves a high degree of risk. You should read this prospectus carefully, including the section titled “Risk Factors” and the combined and condensed consolidated financial statements and the related notes to those statements included in this prospectus, before investing in our common stock</w:t>
      </w:r>
    </w:p>
    <w:p>
      <w:pPr>
        <w:spacing w:after="0" w:line="200" w:lineRule="exact"/>
        <w:rPr>
          <w:sz w:val="20"/>
          <w:szCs w:val="20"/>
          <w:color w:val="auto"/>
        </w:rPr>
      </w:pPr>
    </w:p>
    <w:p>
      <w:pPr>
        <w:sectPr>
          <w:pgSz w:w="11900" w:h="16838" w:orient="portrait"/>
          <w:cols w:equalWidth="0" w:num="2">
            <w:col w:w="4220" w:space="300"/>
            <w:col w:w="6480"/>
          </w:cols>
          <w:pgMar w:left="440" w:top="900" w:right="45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436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Outstanding Shares of 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196,187,040 shares of Company common stock were issued and outstanding as of June 22, 2022, which calculation includes (i) 155,790,440 shares of the Company’s Class A Common Stock and (ii) 40,396,600 shares of the Company’s Class B Common Stock. Such amount does not include shares issuable upon exercise of warrants or options being registered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Note About this Offering</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relates to (i) the offer and resale of an aggregate of up to 56,834,904 shares of Class A Shares of the Company held by Selling Securityholders, including (a) the PIPE Shares issued at $10.00 per share, (b) securities held by our officers, directors and their affiliates which were originally issued as (1) founder shares in connection with ATSP’s IPO for approximately $0.009 per share and (2) as part of placement units in connection with ATSP’s IPO at a price of $10.00 per placement unit, (c) securities held by EarlyBirdCapital and their affiliates which were originally issued (1) as representative shares for no separate cash consideration and (2) as part of placement units in connection with ATSP’s IPO at a price of $10.00 per placement unit, (d)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(ii)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(iii) the resale from time to time of up to 208,000 Placement Agent Warrants, each exercisable for one share of Class A Common Stock at a price of $11.50, subject to adjustment, which were originally issued as part of placement units in connection with ATSP’s IPO at a price of $10.00 per placement unit and (iv) the issuance by us of up to 3,532,984 Class A Shares upon the exercise of outstanding warrants to purchase our Class A Shares at an exercise price of $11.50, which were originally issued as part of the units in connection with ATSP’s IPO at a price of $10.00 per unit.</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if the trading price of our Class A Common Stock is significantly below $10.00, the offering price for the units offered in ATSP’s IPO, certain of the selling securityholders (including EarlyBirdCapital)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and receive a positive rate of return due to the lower price that they purchased or received their shares than the public investors, who may not experience a similar rate of return on the securities they purchased due to differences in the purchase prices and the current trading price.</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Based on the closing price of our Class A Common Stock of $3.59 as of June 22, 2022, holders of (i) 56,834,904 shares of Class A Common Stock of SoundHound AI held by Selling Securityholders, including the PIPE Shares issued at $10.00 per share would be expected to earn a potential loss of $6.41 per share (exclusive of the value of any other securities issued in the original transaction), securities held by our officers, directors and their affiliates (which were originally issued as founder shares in connection with ATSP’s IPO for approximately $0.009 would be expected to earn a potential profit of $3.58 per share, and as part of placement units in connection with ATSP’s IPO at a price of $10.00 per placement unit would be expected to earn a potential loss of $6.41 per share (exclusive of the value of any other securities issued in the original transaction)), securities held by EarlyBirdCapital and their affiliates (which were originally issued as representative shares for no consideration would be expected to earn a potential profit of $3.59 per share, as well as part of placement units in connection with ATSP’s IPO at a price of $10.00 per placement unit, would be expected to earn a potential loss of $6.41 per share (exclusive of the value of any other securities issued in the original transaction)),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would be expected to earn a potential profit, upon exercise, of $0.54 per share, (ii) the resale by certain of our affiliates from time to time of up to 40,396,600 Class A Shares (representing approximately 17.6% of the total number of shares of Class A Common Stock outstanding on a fully diluted basis) issuable upon conversion of shares of Class B Common Stock issued pursuant to the Merger Agreement in connection with the Business Combination as merger consideration at an acquiror share value of $0.0073 per share would be expected to earn a potential profit of $3.58 per share,</w:t>
      </w:r>
    </w:p>
    <w:p>
      <w:pPr>
        <w:spacing w:after="0" w:line="11" w:lineRule="exact"/>
        <w:rPr>
          <w:sz w:val="20"/>
          <w:szCs w:val="20"/>
          <w:color w:val="auto"/>
        </w:rPr>
      </w:pPr>
    </w:p>
    <w:p>
      <w:pPr>
        <w:jc w:val="both"/>
        <w:ind w:firstLine="5"/>
        <w:spacing w:after="0" w:line="252" w:lineRule="auto"/>
        <w:tabs>
          <w:tab w:leader="none" w:pos="3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from time to time of up to 208,000 Placement Warrants, each exercisable for one share of Class A Common Stock at a price of $11.50, subject to adjustment, which were originally issued as part of placement units in connection with ATSP’s IPO at a price of $10.00 per placement unit, would be expected to earn upon exercise a potential loss of $7.91 per share (exclusive of the value of any other securities issued in the original transaction) and (iv) the issuance by us of up to 3,532,984 Class A Shares upon the exercise of outstanding Warrants to purchase our Class A Shares at an exercise price of $11.50 (upon exercise representing approximately 1.5% of the total number of shares of Class A Common Stock outstanding on a fully diluted basis), as part of the units in connection with ATSP’s IPO at a price of $10.00 per unit, would be expected to earn upon exercise a potential loss of $7.91 per share (exclusive of the value of any other securities issued in the original transaction).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 AI’s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2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Voice AI market or the global economy more generally could have adverse effects on SoundHound AI’s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pressures from SoundHound AI’s customers may adversely affect its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 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operating results could be materially and adversely affected if it loses any of its largest customers.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twelve months ended December 31, 2020 and 2021, respectively, two and three customers accounted for the following approximate percentages of SoundHound AI’s total revenues during the applicable period: 43% and 61%. However, the majority of these revenues were from non refundable upfront payments (as opposed to subscription services), where SoundHound AI performed their contractual obligations related to the services prior to December 31, 2021 and the related revenues are recognized over time for GAAP accounting purposes. For the three months ended March 31, 2021 and 2022, respectively, three and four customers accounted for 60% and 59% of revenue At March 31, 2022, accounts receivable balances due from three customers collectively totaled 72% of the Company’s condensed consolidated accounts receivable balance compared to accounts receivable balances due from five customers collectively totaling 86% of the Company’s condensed consolidated accounts receivable balance at December 31, 2021.</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operating results may fluctuate significantly from period to period, and this may cause its stock price to decline.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timing and fulfilment of large customer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of existing customer contracts and wins of new customer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expenditures incurred pursuing new product or market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royalty reports;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sales by SoundHound AI’s customers to their end-users;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counterparties failing to meet their contractual commitments to SoundHound AI;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SoundHound AI or its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or data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prices of SoundHound AI’s products in response to competition, market conditions or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that are not collectible;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costs related to fixed-price contracts with SoundHound AI’s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costs due to regulatory or trade restrictions;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litigation matters, whether initiated by SoundHound AI or brought by third-parties against SoundHound AI, and settlements or judgments it is required to pay in connection with disputes;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as they affect the customer bases into which SoundHound AI and its customers sell and operate.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 has generated substantial net losses and negative operating cash flows since its inception and expects to continue to do so for the foreseeable future.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SoundHound AI has generated substantial net losses and negative cash flows from operating activities. SoundHound AI expects that its net losses and its negative operating cash flows will continue for the foreseeable future, as SoundHound AI increases its development activities, and invest in sales and marketing.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and major incidents or catastrophic events. If any of these or similar factors occur, SoundHound AI’s net losses and accumulated deficit could increase significantly and the price of shares of its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 may not be able to obtain capital when desired on favorable terms, if at all, or without dilution to its stockholders.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SoundHound AI anticipates that current cash, cash equivalents, cash provided by operating activities and funds available through SoundHound AI’s working capital line of credit, will be sufficient to meet its current and anticipated needs for general corporate purposes. SoundHound AI operates in an emerging market, however, which makes SoundHound AI’s prospects difficult to evaluate. It is possible that SoundHound AI may not generate sufficient cash flow from operations or otherwise have the capital resources to meet SoundHound AI’s future capital needs. If this occurs, SoundHound AI may need additional financing to execute on its current or future business strategies, including to:</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software engineers, sales and marketing professionals, and other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SoundHound AI’s operating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if any of SoundHound AI’s key management team members or other employees were to leave, SoundHound AI could face substantial difficulty in hiring qualified successors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 depends on skilled employees and could be impacted by a shortage of critical skills.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privacy incidents or breaches may damage client relations and inhibit SoundHound AI’s growth.</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8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resulting from the operational disruption;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or increased bad debt expense due to the inability to invoice properly or to customer dissatisfaction resulting in collection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due to loss of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remediation costs to recreate or restore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new or enhanced systems in order to enhance SoundHound AI’s information security posture;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incentives offered to customers to restore confidence and maintain business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resulting in the failure to retain or attract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litigation or governmental investigations;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required notices of a data breach;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potential loss of critical business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enhancing or creating new products due to loss of data or data integrity issues;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consequences of which SoundHound AI is not currently aware but would discover through the process of remediating any cybersecurity or data privacy incidents or breaches that may occur.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is subject to a variety of domestic and international laws, rules, policies and other obligations, including data protection and anticorruption.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 Additionally,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SoundHound AI’s customers to lose confidence in its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SoundHound AI’s reputation;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SoundHound AI to litigation, regulatory investigations and to resulting liabilities including reimbursement of customer costs, damages penalties or fines imposed by regulatory agencies;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SoundHound AI to incur significant expenses for remediation.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or changes to such conditions, in a specific region or country;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including tariffs and import/export controls, imposed by the United States and/or by other countries or regional authorities such as China, Canada or the European Union;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local and global economies of the United Kingdom leaving the European Union;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or the lack of ability to hedge certain foreign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 many countries and any subsequent changes in such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including terrorism and war;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data privacy regulations and customer requirements to locate data centers in certain jurisdictions;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multiple locations in many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timing of collections in foreign jurisdictions;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of intellectual property than in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business in China is subject to aggressive competition and is sensitive to economic, market and political conditions.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 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2021 and 2020 and for the three months ended March 31, 2022 and 2021, SoundHound AI derived over 76%, 73%, 68% and 71%,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risks and uncertainties SoundHound AI faces from its global operations include, but are not limited to:</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the enforcement of contract and intellectual property rights in certain countries where SoundHound AI may sell SoundHound AI’s solutions or work with suppliers or other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sales and payment cycles and potentially greater difficulties in collecting accounts receivable;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of customizing solutions for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solutions across a significant distance, in different languages and among different cultures;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 wide variety of complex foreign laws, treaties and regulations and adjusting to any unexpected changes in such laws, treaties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and significant regulations, including, but not limited to, the European Union’s General Data Protection Regulation (“GDPR”), which imposes compliance obligations on companies who possess and use data of EU residents;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analysis of regulatory, legal and tax issues across various countries, such as different interpretations of antitrust and competition 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resultant political, financial and market instability arising from the United Kingdom’s exit from the European Union;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activities of U.S. companies abroad, including the U.S. Foreign Corrupt Practices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geopolitical risks, including the relationship between the U.S. government and the government of other nations;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barriers and other regulatory or contractual limitations on SoundHound AI’s ability to sell or develop its solutions in certain foreign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countries with a higher incidence of corruption and fraudulent business practices;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export controls, tariffs and embargoes, other trade restrictions, competition, corporate practices and data privacy concerns;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arising from global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reductions in business activity in certain parts of the world, particularly during the summer months in Europe and at year-end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economic and political policies and conditions;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civil unrest or instability, terrorism or epidemics or pandemics (including any risks related to or resulting from COVID-19) and other similar outbreaks or events.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establish and protect SoundHound AI’s brand in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SoundHound AI’s products for specific countries, including translation into foreign languages and associated costs and expenses;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particularly hiring and training qualified sales and service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and offer customer care in various languages;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and accounts receivable payment cycles and collections issues;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and regulations that are complex, expensive to comply with and may require that customer data be stored and processed in a designated territory;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piracy, counterfeiting and other misappropriation of SoundHound AI’s intellectual property in its locations outside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telecommunications and telemarketing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international telecom fraud;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taxes on the transfer of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economic and political conditions and potential accompanying shifts in laws and regulations.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risks could harm SoundHound AI’s international operations, increase its operating costs and hinder its ability to grow its international business and, consequently, its overall business and results of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may cause significant variability in SoundHound AI’s operating results and may impact its overall financial condition.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levels of taxable income;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being lower than anticipated in countries with lower statutory rates or higher than anticipated in countries with higher statutory rates;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to valuation allowances recorded against deferred tax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audits conducted and settled by various tax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income tax returns;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claim foreign tax credits;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repatriation of non-U.S. earnings for which SoundHound AI has not previously provided for income taxes;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their interpretations in countries in which SoundHound AI is subject to taxation.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products, as well as enhancements to its existing products, could fail to attain sufficient market acceptance for many reasons,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new products, or product enhancements;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and to supply products that meet this demand in a timely fashion;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its products, errors or failures of its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perceptions about the performance or effectiveness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or technologies by its competitors;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configuration or usage errors by its customers.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SoundHound AI spends significant time and effort on research and development and is unable to generate an adequate return on its investment, its results of operations may be materially and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brand, reputation and ability to attract, retain and serve its customers are dependent in part upon the reliable performance of its products and technologies.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SoundHound AI is unable to maintain and enhance its brand or reputation as an industry leader, its operating results may be adversely affected.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 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Relating to SoundHound AI’s Intellectual Property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use of open source technology could impose limitations on its ability to commercialize its software.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8"/>
          <w:szCs w:val="18"/>
          <w:b w:val="1"/>
          <w:bCs w:val="1"/>
          <w:i w:val="1"/>
          <w:iCs w:val="1"/>
          <w:color w:val="auto"/>
        </w:rPr>
        <w: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Unauthorized use of SoundHound AI’s proprietary technology and intellectual property could adversely affect its business and results of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 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SoundHound AI’s software products may have bugs, which could result in delayed or lost revenue, expensive correction, liability to its customers and claims against us.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quickly enough to changes in technology and technological risks and to develop its intellectual property into commercially viable products.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SoundHound AI’s Class A Common Stock and the Securities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stock price may fluctuate significantly.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SoundHound AI’s Class A Common Stock may fluctuate widely, depending on many factors, some of which may be beyond our control, including: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factors related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industry capacity;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other factors that affect earnings and cash flow;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our ability to make payments on or service our indebtedness and our ability to obtain financing as needed;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our its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or positively cover,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the Company and its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unrelated to our operating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material litigation or government investigation;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tax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gains taxes and taxes on dividends affecting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Low trading volume for SoundHound AI’s Class A Common Stock, which may occur if an active trading market does not develop, among other reasons, would amplify the effect of the above factors on stock price volatility.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SoundHound AI may be diluted in the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time-to-time, SoundHound AI may opportunistically evaluate and pursue acquisition opportunities, including acquisitions for which the consideration thereof may consist partially or entirely of newly-issued shares of SoundHound AI common stock and, therefore, such transactions, if consummated, would dilute the voting power and/or reduce the value of our common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common stock or convertible securities may dilute your ownership and could adversely affect the stock price.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in the future, SoundHound AI may issue additional shares of common stock or securities convertible into common stock pursuant to a variety of transactions, including acquisitions. Additional shares of common stock may also be issued upon exercise of outstanding stock options and warrants to purchase common stock. The issuance by us of additional shares of common stock or securities convertible into common stock would dilute your ownership of SoundHound AI and the sale of a significant amount of such shares in the public market could adversely affect prevailing market prices of our common stock. Subject to the satisfaction of vesting conditions and the expiration of lockup agreements, shares issuable upon exercise of options will be available for resale immediately in the public market without restriction.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Issuing additional shares of SoundHound AI’s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SoundHound AI’s decision to issue securities in any future offering will depend on market conditions and other factors beyond our control, which may adversely affect the amount, timing, or nature of our future offerings. As a result, holders of SoundHound AI’s common stock bear the risk that SoundHound AI’s future offerings may reduce the market price of SoundHound AI’s common stock and dilute their percentage ownership.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of directors deems relevant. We do not intend to and there can be no assurance that we will pay any dividend in the future.</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SoundHound AI’s common stock by SoundHound AI or its existing stockholders in the public market (such as through this prospectus) could cause the market price for SoundHound AI’s common stock to decline.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sale of substantial amounts of shares of SoundHound AI’s common stock in the public market (such as through this prospectus), or the perception that such sales could occur, could harm the prevailing market price of shares of common stock. These sales, including sale pursuant to this prospectus, or the possibility that these sales may occur, also might make it more difficult for us to sell equity securities in the future at a time and at a price that we deem appropriate.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securities being offered in this prospectus represent a substantial percentage of our outstanding Class A Common Stock and warrants, and the sales of such securities could cause the market price of our Class A Common Stock and warrants to decline significantly.</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to (i) the offer and resale of an aggregate of up to 56,834,904 shares of Class A Shares of the Company held by Selling Securityholders (representing 24.8% of the total number of shares of Class A Common Stock outstanding on a fully diluted basis), including (a) the PIPE Shares issued at $10.00 per share, (b) securities held by our officers, directors and their affiliates which were originally issued as (1) founder shares in connection with ATSP’s IPO for approximately $0.009 per share and (2) as part of placement units in connection with ATSP’s IPO at a price of $10.00 per placement unit, (c) securities held by EarlyBirdCapital and their affiliates which were originally issued (1) as representative shares for no separate cash consideration and (2) as part of placement units in connection with ATSP’s IPO at a price of $10.00 per placement unit, (d)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w:t>
      </w:r>
    </w:p>
    <w:p>
      <w:pPr>
        <w:spacing w:after="0" w:line="1" w:lineRule="exact"/>
        <w:rPr>
          <w:sz w:val="20"/>
          <w:szCs w:val="20"/>
          <w:color w:val="auto"/>
        </w:rPr>
      </w:pPr>
    </w:p>
    <w:p>
      <w:pPr>
        <w:jc w:val="both"/>
        <w:ind w:firstLine="8"/>
        <w:spacing w:after="0" w:line="252" w:lineRule="auto"/>
        <w:tabs>
          <w:tab w:leader="none" w:pos="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by certain of our affiliates from time to time of up to 40,396,600 Class A Shares (representing approximately 17.6% of the total number of shares of Class A Common Stock outstanding on a fully diluted basis) issuable upon conversion of Class B Shares issued pursuant to the Merger Agreement in connection with the Business Combination as merger consideration at an acquiror share value of $0.0073 per share, (iii) the resale from time to time of up to 208,000 Placement Agent Warrants, each exercisable for one share of Class A Common Stock at a price of $11.50, subject to adjustment, which were originally issued as part of placement units in connection with ATSP’s IPO at a price of $10.00 per placement unit and (iv) the issuance by us of up to 3,532,984 Class A Shares upon the exercise of outstanding warrants to purchase our Class A Shares at an exercise price of $11.50, which were originally issued as part of the units in connection with ATSP’s IPO at a price of $10.00 per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if the trading price of our Class A Common Stock is significantly below $10.00, the offering price for the units offered in ATSP’s IPO, certain of the selling securityholders (including EarlyBirdCapital)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due to the lower price that they purchased or received their shares than the public investors. For example, based on the closing price of our Class A Common Stock of $3.59 as of June 22, 2022, holders of the founder shares may experience a potential profit of up to approximately $3.58 per share, or approximately $11.9 million in the aggregate.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certain of the Company’s stockholders, including certain of the Selling Securityholders, agreed that, subject to certain exceptions, they will not, during the period beginning at the effective time of the Business Combination and the date that is 180 days (or 1 year in the case of our chief executive officer) after the date of the Business Combination (subject to early release if SoundHound AI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 Specifically, holders of approximately 123,213,530 shares of our Class A Common Stock, representing 79.1% of the Class A Common Stock outstanding, and 40,396,600 shares of our Class B Common Stock, representing 100% of our Class B Common Stock outstanding, are subject to lock-up agreements (1,231,800 shares of such Class A Common Stock and all of such shares of Class B Common Stock being held by affiliates of the Company).</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SoundHound AI Holdings, Inc. 2022 Incentive Award Plan and SoundHound AI Holdings, Inc. 2022 ESPP may become available for sale in future.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common stock or other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or reports about SoundHound AI’s business, its stock price and trading volume could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 may be subject to securities litigation, which is expensive and could divert management attention.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Applicable to a Dual Class Common Stock Structure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SoundHound AI has a dual class common stock structure and the holders of SoundHound AI Class B Common Stock have ten votes per share. SoundHound Founders own shares of Class B Common Stock representing approximately 72%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 has a dual class structure and upon the Closing, SoundHound Founders exchanged their shares of SoundHound Class B Common Stock for shares of Class B Common Stock of SoundHound AI which allows SoundHound Founders to also control a majority of the voting power of SoundHound AI after the Closing.</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documents could make a merger, tender offer, or proxy contest difficult, thereby depressing the trading price of our common stock.</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Charter, Amended Bylaws, and Delaware law contain provisions that could depress the trading price of our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ability of our stockholders to call special meetings of stockholders, except to the extent otherwise provided in the Amended Bylaws;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except to the extent otherwise provided in the Amended Bylaws, which requires all stockholder actions to be taken at a meeting of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Amended Bylaws;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of directors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provision of our Amended Charter, our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 and International Taxation Generally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affect SoundHound AI’s future profitability.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could materially affect SoundHound AI’s future effective tax rates include but are not limited to:</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regulatory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and tax standards or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operating income by tax jurisdiction;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AI’s operating results before taxes.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 AI’s ability to use its net operating loss carryforwards and certain other tax attributes may be limited.</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Assuming the cash exercise of all outstanding Warrants, we will receive an aggregate of approximately $78.9 million. We expect to use the net proceeds from the exercise of the Warrants, if any, for working capital and general corporate purposes. We will have broad discretion over the use of any proceeds from the exercise of the Warrants. There is no assurance that the holders of the Warrants will elect to exercise any or all of their Warrants. To the extent that any Warrants are exercised on a “cashless basis,” the amount of cash we would receive from the exercise of the Warrants will decrease. Cash proceeds associated with the exercise of Warrants to purchase our Class A Shares are dependent on our stock price. To the extent the sales price of Class A Shares is lower than the exercise price of such Warrants, we are unlikely to receive proceeds from the exercise of such Warrants. We do not currently anticipate this will have a material impact on our liquidity.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of Class A Common Stock underlying the Warrants offered hereby is determined by reference to the exercise price of the Warrants of $11.50 per share. The Warrants are listed on Nasdaq under the symbol “SOUNW”</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at which shares of our Class A Common Stock may be sold by the Selling Securityholders under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CLASS A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April 26, 2022, upon the completion of the Business Combination, there were approximately 39 holders of record of our Class A Common Stock, three holders of record of our Class B Common Stock, and three holders of record of our Warrants. Our Class B Common Stock is not listed on any exchange and we do not intend to list the Class B Common Stock on any exchange or stock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OPERATIONS OF ATSP</w:t>
      </w: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financial statements and the notes related thereto which are included elsewhere in this prospectus. Some of the information contained in this discussion and analysis or set forth elsewhere in this prospectus, including information with respect to SoundHound’s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References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formed on September 15, 2020 for the purpose of entering into a merger, share exchange, asset acquisition, stock purchase, recapitalization, reorganization or other similar business combination with one or more target businesses (the “Business Combination”).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activity through March 31, 2022 relates to our formation, IPO, which was consummated on March 15, 2021, the search for a prospective initial Business Combination target, and efforts toward consummating the initial Business Combination.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26, 2022, we consummated our Business Combination with SoundHound pursuant to the Merger Agreement. The aggregate merger consideration we paid to SoundHound security holders in connection with the Business Combination was an amount equal to $2,000,000,000, with outstanding SoundHound stock options and warrants assumed by us included on a net exercise basis. As a result of the Business Combination, we own 100% of the outstanding common stock of SoundHound and we changed our name from “Archimedes Tech SPAC Partners Co.” to “SoundHound AI, Inc”</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Merger Agreement and related transactions can be found in the Current Report on Form 8-K filed on November 16, 2021 and in the Amendment No. 1 to Form S-4 filed on February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2022 and March 31, 2021</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 the Years Ended December 31, 2021 and December 31, 2020</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September 15, 2020 (inception) through December 31, 2020, we had a net loss of $716, which was comprised of operating costs of $716.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2022, we had $18,129 of cash held outside of the Trust Account for our working capital needs.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21, 2022, SPAC Partners LLC (“SP”), an affiliate of our Chief Executive Officer, agreed to loan us $167,955 to be used for tax payments (the “SP Promissory Note”). The SP Promissory Note is non-interest bearing and payable in cash upon the closing of our Business Combination. In the event we fail to complete a Business Combination prior to the deadline set forth in our governing document, no payment will be due under the SP Promissory Note and the principal balance of the SP Promissory Note will be forgiven.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26, 2022, in connection with our Business Combination, we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 Any additional cash proceeds received upon exercise of the Warrants will further increase our cash position and we expect will increase our cash runway. Cash proceeds associated with the exercise of Warrants to purchase our Class A Shares are dependent on our stock price. To the extent the sales price of Class A Shares is lower than the exercise price of such Warrants, we are unlikely to receive proceeds from the exercise of such Warrants. We do not currently anticipate that a failure to exercise the Warrants will have a material impact on our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2022, we did not have any off-balance sheet arrangements as defined in Item 303(a)(4)(ii) of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 OF SOUNDHOUND</w:t>
      </w:r>
    </w:p>
    <w:p>
      <w:pPr>
        <w:spacing w:after="0" w:line="2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SoundHound’s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Inc. and its subsidiaries prior to the Business Combination, which will be the business of SoundHound AI, Inc. and its consolidated subsidiaries after giving effect to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SoundHound’s technology is live in production and at scale with companies around the globe, including Hyundai, Mercedes-Benz, Pandora, Deutsche Telekom, Snap, VIZIO, KIA and Stellantis. Houndify traffic has experienced 10x growth in the past 2 years, with 2x growth in approximately 6 months through the first half of 2021. As a result, we have surpassed 1 billion annual queries in 2021.</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partners span multiple industries and geographies, and together have a combined reach of over 2 billion end users. By growing these strategic relationships, our year-over-year revenues have grown by more than 50% over the past three years. We project to exceed $1.0 billion in annual gross revenues within 5 years, and as a testament to the strength of our current revenue-generating strategic partnerships, a sizeable portion of this future revenue is expected to come from existing customers.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227 patents granted or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$160.0 billion by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royalties when Houndify is placed in a car, smart speaker or an appliance, for example.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from leads and transactions on voice-enabled products from voice-enabled services.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ATSP Merger</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15, 2021, ATSP, SoundHound and Merger Sub, entered into a merger agreement (“Merger Agreement”), resulting in the reverse recapitalization of SoundHound (the “Business Combination”) and the issuance of Archimedes Tech SPAC Partners Co. (“ATSP”) common stock in the PIPE investment. The Business Combination was completed on April 26, 2022 (the “Closing”). Upon the Closing of the Business Combination, ATSP changed its name to SoundHound AI, Inc.</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$5.4 million in cash held in trust by ATSP (following satisfaction of redemptions by public stockholders), and $113.0 million in aggregate gross proceeds from PIPE investors in exchange for 11,3000,000 shares of SoundHound AI Class A common stock that closed substantially contemporaneously with the Closing of the Business Combination. The combined company incurred $25.3 million of expenses related to the transaction. After giving effect to these transactions, SoundHound received $93.0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Accounting Impact of the Business Combination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SoundHound in many respects.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this method of accounting, Archimedes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three months ended March 31, 2022 and three months ended March 31, 2021, the COVID-19 pandemic had an impact on our billings and revenue recognized from per unit royalties for Houndify Solutions which may also continue beyond fiscal year 2022. The extent of this impact is not currently determinable. However, we expect billings to increase as car manufacturers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SoundHound believes that its performance and future success depend on many factors that present significant opportunities for us but also pose risks and challenges, including the following:</w:t>
      </w:r>
    </w:p>
    <w:p>
      <w:pPr>
        <w:spacing w:after="0" w:line="158" w:lineRule="exact"/>
        <w:rPr>
          <w:sz w:val="20"/>
          <w:szCs w:val="20"/>
          <w:color w:val="auto"/>
        </w:rPr>
      </w:pPr>
    </w:p>
    <w:p>
      <w:pPr>
        <w:jc w:val="both"/>
        <w:ind w:left="660" w:hanging="328"/>
        <w:spacing w:after="0" w:line="26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significantly in our Houndify platform technology in the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March 31, 2022 is at least 90%</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We have globalized our solution from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 languages, with a roadmap of 38 languages and 114 acoustic variations. We view opportunities for conversational Voice AI to be global in reach, and we expect our growth to be fueled across multiple geographies.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Industry Risks. </w:t>
      </w:r>
      <w:r>
        <w:rPr>
          <w:rFonts w:ascii="Times New Roman" w:cs="Times New Roman" w:eastAsia="Times New Roman" w:hAnsi="Times New Roman"/>
          <w:sz w:val="18"/>
          <w:szCs w:val="18"/>
          <w:color w:val="auto"/>
        </w:rPr>
        <w:t>The COVID-19 pandemic has adversely affected our business and results of operations as of March 31, 2022 and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duration and extent to which the COVID-19 pandemic will continue to adversely impact our business and results of operations remains uncertain and could be material. Additionally, the military conflict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three-month period ended March 31, 2022 (“Q1 2022”) and March 31, 2021 (“Q1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(3) “Monetization,” meaning revenues generated from focused ad targeting to users of products and services that employ our technologies, and (4) “Licensing,” meaning licensed voice solutions that are embedded in customer products. Currently, our monetization revenue is derived exclusively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three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personnel-related expenses related costs of the sales and marketing team, promotional campaigns, advertising fees and other marketing related costs. Advertising costs are expensed to sales and marketing when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account for loss on extinguishment of debt instruments primarily when there is a difference between the repurchase price and the carrying amount of debt at the time of extinguishment. We recognize this within other expense, net on the Consolidated Statement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Q1 2022 and Q1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Q1 2022 and Q1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34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1,076</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14,443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(20,717)</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(16,619)</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(4,098)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(748)</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(1,726)</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669</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(4,034)</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(2,474)</w:t>
            </w:r>
          </w:p>
        </w:tc>
        <w:tc>
          <w:tcPr>
            <w:tcW w:w="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w:t>
            </w: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(24,751)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(19,093)</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(5,658)</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summarizes our revenues by type and geographic regions for Q1 2022 and Q1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5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3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revenues increased by $0.6 million, or 15%, in Q1 2022 compared to Q1 2021. Product Royalties revenue increased by $0.7 million during Q1 2022 compared to Q1 2021. $0.2 million of the increase is attributable to the Company’s first sales of licensing revenue from its embedded solution during Q1 2022. Additionally, we earned $0.5 million of professional services revenue in Q1 2022, which is comprised primarily of contracts for customized and proof-of-concept projects with multiple customers. The Company had no professional services revenue during Q1 2021. Royalties based on usage and hosting remained relatively consistent period over period.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Monetization revenue decreased by $0.1 million during Q1 2022 the decrease is due to one customer whose contract terminated during the year ended December 31, 2021, and therefore, did not generate any revenue for Q1 2022. Additionally, the decrease was due to a decrease in advertising revenue through decreased user impressions on the SoundHound music application.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benefited from growth across the United States, France and other smaller foreign regions from scaling our Houndify Products with large automotive and device makers. We have experienced additional growth of revenue of Houndified Products in geographic regions of France and the United Kingdom of $0.5 million and $0.3 million, respectively, during Q1 2022 compared to Q1 2021. In France, our revenue increased due to distinct customization services sold to an existing large automotive company which also commenced production of our Houndified Product in their vehicles. Additionally, we further experienced a $0.3 million decrease in revenue from Germany in Q1 2022 compared to Q1 2021. This was due to a one-time contract modification to end a distinct professional service contract prior to completion with a customer during the year ended December 31, 2021. This customer was retained through ongoing hosting services. Revenue in both periods came principally from customers across the automotive and IoT sectors, with less significant amounts derived from other industry verticals.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revenues increased by $0.2 million, or 11%, in Q1 2022, compared to Q1 2021. This increase is primarily related to incurring additional data center and hosting costs in order to support our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$2.2 million, or 15%, in Q1 2022, compared to Q1 2021. This increase in research and development expenses was primarily related to increasing our full-time engineer headcount partially offset by a reduction in third-party contractors.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$1.5 million, or 140%, in Q1 2022, compared to Q1 2021. This increase is due to a greater investment to support go-to market strategies, as we continue to customer engagement and overall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increased by $0.8 million, or 23%, in Q1 2022 compared to Q1 2021.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expense increased by $2.2 million, or 298%, during Q1 2022, compared to Q1 2021. This increase was attributable to the issuance of SoundHound’s 2021 note payable (“SVB March 2021 Note”) and 2021 convertible note (“SCI June 2021 Note”), resulting in $30.0 million and $15.0 million draws, respectively. These debt instruments were accompanied by the issuances of related common stock warrants, resulting in debt discounts to be amortized over the life of the instrument. As our debt balance significantly increased, our interest expense, which is incurred monthly, and our amortized debt issuance costs have proportionally increased as well.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our other expenses by type that comprise the other expense, net account for Q1 2022 and Q1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34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vMerge w:val="continue"/>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derivative and warrant liability decreased by $0.8 million, or 58%, in Q1 2022 compared to Q1 2021. The decrease was attributed to the change in fair value of the warrant liability in Q1 2021 of $0.2 million, as compared to no change in the fair value of the warrant liability during Q1 2022 due to the exercise of Series C Warrants in December 2021, which extinguished the Company’s corresponding warrant liability. The Company no longer recognizes quarterly revaluation gains and losses associated with the warrant liability, therefore leading to an overall decrease.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balance as of the end of March 31, 2022 solely reflects the changes in fair value of the embedded derivative from its promissory note issued in June 2020 (“SNAP June 2020 Note”). The fair value of the derivative liability increased by $0.6 million during Q1 2022 in comparison to an increase of $1.2 million during Q1 2021, representing a corresponding $0.6 million loss on the Condensed Consolidated Statement of Operations and Comprehensive Loss due to increases in probability assumptions of a change in control or SPAC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expense, net increased by $0.1 million, or 42%, in Q1 2022 compared to Q1 2021. This was primarily due to unfavorable foreign currency exchange rates during Q1 2022, resulting in greater losses from currency revaluation on transactions denominated in a foreign currency compared to those conducted in Q1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Fiscal 2021 and Fiscal 2020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Fiscal 2021 and Fiscal 2020 (in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Pr>
          <w:p>
            <w:pPr>
              <w:spacing w:after="0"/>
              <w:rPr>
                <w:sz w:val="24"/>
                <w:szCs w:val="24"/>
                <w:color w:val="auto"/>
              </w:rPr>
            </w:pPr>
          </w:p>
        </w:tc>
        <w:tc>
          <w:tcPr>
            <w:tcW w:w="13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4,739</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59,178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54,279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2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(66,004)</w:t>
            </w:r>
          </w:p>
        </w:tc>
        <w:tc>
          <w:tcPr>
            <w:tcW w:w="3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(2,269)</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(5,396)</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(13,757)</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(7,665)</w:t>
            </w:r>
          </w:p>
        </w:tc>
        <w:tc>
          <w:tcPr>
            <w:tcW w:w="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(6,092)</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(73,669)</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revenues by type for Fiscal 2021 and Fiscal 2020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Pr>
          <w:p>
            <w:pPr>
              <w:spacing w:after="0"/>
              <w:rPr>
                <w:sz w:val="21"/>
                <w:szCs w:val="21"/>
                <w:color w:val="auto"/>
              </w:rPr>
            </w:pPr>
          </w:p>
        </w:tc>
        <w:tc>
          <w:tcPr>
            <w:tcW w:w="10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Pr>
          <w:p>
            <w:pPr>
              <w:spacing w:after="0"/>
              <w:rPr>
                <w:sz w:val="21"/>
                <w:szCs w:val="21"/>
                <w:color w:val="auto"/>
              </w:rPr>
            </w:pPr>
          </w:p>
        </w:tc>
        <w:tc>
          <w:tcPr>
            <w:tcW w:w="10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 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Service Subscriptions revenue of $0.3 million, or 22%, is primarily due to an increased number of customers with production-ready Houndified Services and increased usage by end users during Fiscal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Monetization revenue decreased nominally during Fiscal 2021 due to a decrease in advertising revenue through decreased user impressions on the SoundHound music application.</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expenses by type that comprise the other expense, net account for Fiscal 2021 and Fiscal 2020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6"/>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Pr>
          <w:p>
            <w:pPr>
              <w:spacing w:after="0"/>
              <w:rPr>
                <w:sz w:val="21"/>
                <w:szCs w:val="21"/>
                <w:color w:val="auto"/>
              </w:rPr>
            </w:pPr>
          </w:p>
        </w:tc>
        <w:tc>
          <w:tcPr>
            <w:tcW w:w="10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9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(1,806)</w:t>
            </w:r>
          </w:p>
        </w:tc>
        <w:tc>
          <w:tcPr>
            <w:tcW w:w="6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8"/>
              </w:rPr>
              <w:t>(3,114)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(3,775)</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Pr>
          <w:p>
            <w:pPr>
              <w:spacing w:after="0"/>
              <w:rPr>
                <w:sz w:val="20"/>
                <w:szCs w:val="20"/>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(519)</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50"/>
        </w:trPr>
        <w:tc>
          <w:tcPr>
            <w:tcW w:w="5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decreased by $0.2 million, or 96%, in Fiscal 2021, compared to Fiscal 2020 due to the gradual liquidation of our short-term investments throughout the prior period then ended.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and Warrant Liability</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Convertible Note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to date. We had $8.2 million in cash and cash equivalents as of March 31, 2022. On a pro forma basis, assuming the Business Combination had occurred as of March 31, 2022, our cash and cash equivalents would have amounted to $101.3 million as of March 31, 2022. In Fiscal 2021 and Fiscal 2020, we incurred a net loss of $79.5 million and $74.4 million, respectively. We expect to incur additional losses and increased operating expenses in future periods, including losses associated with expenses related to research and development, our expected increase in personnel and other expenses that we will be required to incur as a result of becoming a public company. As of December 31, 2021, we had an accumulated deficit of $386.7 million. SoundHound expects it will need further investment to support the growth of its business, continue its product and software development efforts and support its operations. We expect to incur additional substantial losses in the foreseeable future as a result of these research and development activities.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primary uses of cash are to fund our operations as we continue to grow our business. We will require a significant amount of cash for product development as we invest in our technology. We expect that our sales and marketing, general and administrative and research and development expenses will continue to increase as we increase our sales volume, expand our marketing efforts, increase our internal sales force to drive increased sales of our technology and continue research and development efforts to further enhance our products. We may also engage in future acquisitions, though we have no immediate plans or commitments to acquire other businesses.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of this prospectus. In the event that we do not achieve revenue anticipated in our current operating plan, we have the ability and commitment to reduce operating expenses as necessary. The Company’s long-term success is dependent upon its ability to successfully raise additional capital, market its existing services, increase revenues and, ultimately, achieve profitable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this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we expect to continue significantly increasing our investments in software application and development, we enter into various contracts and agreements to increase our funding resources.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6 and Note 13 to our audited consolidated financial statements included within our proxy statement/prospectus/consent solicitation for more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our material debt agreements as of March 31, 2022:</w:t>
      </w:r>
    </w:p>
    <w:p>
      <w:pPr>
        <w:spacing w:after="0" w:line="223" w:lineRule="exact"/>
        <w:rPr>
          <w:sz w:val="20"/>
          <w:szCs w:val="20"/>
          <w:color w:val="auto"/>
        </w:rPr>
      </w:pPr>
    </w:p>
    <w:p>
      <w:pPr>
        <w:jc w:val="both"/>
        <w:ind w:left="66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 June 2020 Note </w:t>
      </w:r>
      <w:r>
        <w:rPr>
          <w:rFonts w:ascii="Times New Roman" w:cs="Times New Roman" w:eastAsia="Times New Roman" w:hAnsi="Times New Roman"/>
          <w:sz w:val="18"/>
          <w:szCs w:val="18"/>
          <w:color w:val="auto"/>
        </w:rPr>
        <w:t>— In June 2020, we issued the SNAP June 2020 Note to a lender in exchange for $15.0 million in cash proceeds.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balance and unpaid accrued interest are otherwise automatically convertible into equity shares in the next equity financing round if the financing round is at least $30.0 million, excluding the conversion of the SNAP June 2020 Note and any other indebtedness. Upon closing of the Business Combination, conversion conditions were satisfied, and the SNAP June 2020 Note converted into 2,046,827 shares of SoundHound Class A common stock at a price of $8.00 per share.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SVB March 2021 Note and SCI June 2021 Note </w:t>
      </w:r>
      <w:r>
        <w:rPr>
          <w:rFonts w:ascii="Times New Roman" w:cs="Times New Roman" w:eastAsia="Times New Roman" w:hAnsi="Times New Roman"/>
          <w:sz w:val="18"/>
          <w:szCs w:val="18"/>
          <w:color w:val="auto"/>
        </w:rPr>
        <w:t>— In March 2021, we entered into a loan and security agreement with a commercial bank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 $30.0 million and, concurrent therewith, issued such commercial bank warrant to 127,570 shares of SoundHound’s common stock during a ten-year exercise period at an exercise price of $20.37 per share. The maturity date of the loan is either September 1, 2024 or March 1, 2025 if a performance milestone is met by March 31, 2022, and could be earlier if, prior to April 26, 2022, the SNAP June 2020 Note is not converted into our equity securities. In April 2022, the Company entered into a loan modification agreement, which extended the SVB March 2021 Note’s early maturity date from April 26, 2022 to May 26, 2022. As the SNAP June 2020 Note converted on April 26, 2022 and the performance milestone was not met as of March 31, 2022, the SVB March 2021 Note’s maturity date is September 1, 2024.</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2021, we issued the SCI June 2021 Note pursuant to a loan and security agreement with a lender to borrow up to a commitment amount of $15.0 million in $5.0 million increments along with warrants issued to purchase 63,785 shares of SoundHound’s common stock during a ten-year exercise period at an exercise price of $20.37 per share. Through December 31, 2021, we have borrowed $15.0 million. The maturity date of the loan is the earlier of May 31, 2025 or the SNAP June 2020 Note maturity date if it has not converted into our equity securities prior to such date. However, as the SNAP June 2020 Note converted into equity securities prior to June 26, 2022, the maturity date is May 31, 2025.</w:t>
      </w:r>
    </w:p>
    <w:p>
      <w:pPr>
        <w:sectPr>
          <w:pgSz w:w="11900" w:h="16838" w:orient="portrait"/>
          <w:cols w:equalWidth="0" w:num="1">
            <w:col w:w="11240"/>
          </w:cols>
          <w:pgMar w:left="320" w:top="875"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cash flows for Q1 2022 and Q1 2021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180" w:type="dxa"/>
            <w:vAlign w:val="bottom"/>
            <w:gridSpan w:val="4"/>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(14,989)</w:t>
            </w:r>
          </w:p>
        </w:tc>
        <w:tc>
          <w:tcPr>
            <w:tcW w:w="220" w:type="dxa"/>
            <w:vAlign w:val="bottom"/>
          </w:tcPr>
          <w:p>
            <w:pPr>
              <w:spacing w:after="0"/>
              <w:rPr>
                <w:sz w:val="17"/>
                <w:szCs w:val="17"/>
                <w:color w:val="auto"/>
              </w:rPr>
            </w:pPr>
          </w:p>
        </w:tc>
        <w:tc>
          <w:tcPr>
            <w:tcW w:w="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(14,704)</w:t>
            </w:r>
          </w:p>
        </w:tc>
        <w:tc>
          <w:tcPr>
            <w:tcW w:w="60" w:type="dxa"/>
            <w:vAlign w:val="bottom"/>
            <w:gridSpan w:val="2"/>
          </w:tcPr>
          <w:p>
            <w:pPr>
              <w:spacing w:after="0"/>
              <w:rPr>
                <w:sz w:val="17"/>
                <w:szCs w:val="17"/>
                <w:color w:val="auto"/>
              </w:rPr>
            </w:pPr>
          </w:p>
        </w:tc>
      </w:tr>
      <w:tr>
        <w:trPr>
          <w:trHeight w:val="229"/>
        </w:trPr>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1"/>
        </w:trPr>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1,955</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spacing w:after="0"/>
              <w:rPr>
                <w:sz w:val="20"/>
                <w:szCs w:val="20"/>
                <w:color w:val="auto"/>
              </w:rPr>
            </w:pP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960" w:space="720"/>
            <w:col w:w="2560"/>
          </w:cols>
          <w:pgMar w:left="320" w:top="875" w:right="339" w:bottom="1440" w:gutter="0" w:footer="0" w:header="0"/>
          <w:type w:val="continuous"/>
        </w:sectPr>
      </w:pP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Q1 2022 was $15.0 million, consisting primarily of our net loss of $25.1 million adjusted for non-cash charges of $6.9 million and changes in our net operating assets of $3.2 million. The non-cash charges were primarily driven by $2.5 million in stock-based compensation expense, $1.7 million in amortization of debt issuance cost, $1.3 million in depreciation and amortization expense, $0.8 million in non-cash lease amortization, and $0.6 million in remeasurement of derivative and warrant liability fair value. Net cash provided by changes in our operating assets and liabilities of $3.2 million resulted largely from an increase of $4.4 million in accrued liabilities, an increase of $3.2 million in accounts payable, and a decrease in accounts receivable of $0.7 million due to customer collections, which were offset by a decrease of $2.1 million from deferred offering costs related to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61" w:name="page62"/>
    <w:bookmarkEnd w:id="6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Q1 2021 was $14.7 million, consisting primarily of our net loss of $19.3 million, partially offset by non-cash charges of $5.4 million and cash used by changes in our operating assets and liabilities of $0.8 million. The non-cash charges were primarily driven by depreciation and amortization expense of $1.5 million, stock-based compensation expense of $1.4 million, change in fair value of derivative and warrant liability of $1.4 million, non-cash lease amortization of $0.8 million and amortization of debt issuance costs of $0.3 million. Net cash used by changes in our operating assets and liabilities of $0.8 million was driven by a $1.4 million decrease in deferred revenue and a $1.2 million decrease in operating lease liabilities. This was offset by a decrease of $1.7 million in accounts receivable due to increased customer collections and an increase of $0.7 million in accrued liabilities. The decrease in deferred revenue is primarily attributed to upfront billings in 2020 for three projects that began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or Provided by 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Q1 2022 was $0.6 million. The decrease in cash was due to $0.6 million used for purchases of property and equipment.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Q1 2021 was $0.1 million. The decrease in cash was due to $0.1 million used for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Q1 2022 was $2.0 million, consisting primarily of $2.5 million from proceeds from common stock options exercised. This was offset by $0.5 million in repayments of finance lease obligations.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Q1 2021 was $0.6 million, consisting primarily of $1.2 million in proceeds from common stock options exercised. This was offset by $0.6 million in repayments of capital lease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 material changes to our commitments and contingencies as of March 31, 2022 as disclosed in the contractual obligations and commitment section in our audited consolidated financial statements as of December 31, 2021 included within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audited consolidated financial statements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While our significant accounting policies are more fully described in Note 2 to our consolidated financial statements as of December 31, 2021 included elsewhere in this prospectus, we believe that the accounting policies discussed below are critical to understanding our historical and future performance, as these policies relate to the more significant areas involving management’s judgments and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with customers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primarily derive revenue from the following sources: (1) hosted services, (2) professional services, and (3) monetization.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services, allow customers to access our Voice AI platform over the contractual period without taking possession of the software. The contract terms of our hosted services range from one to twenty years.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determined that our hosted services arrangements are a single performance obligation compromised of a series of distinct services since each day of providing access to hosted services is substantially the same and the customer simultaneously receives and consumes the benefits as access is provided. These services are provided either on a usage basis, a fixed fee subscription basis, or combinations of usage and fixed minimum fees. We recognize revenue over-time as access to the cloud is provided to our customers with increases due to variability recognized in the period in which they are earned.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SoundHound’s Voice AI platform to each customer’s unique specifications.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 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depending on the nature of the arrangement. Measuring the stage of completion of a project requires significant judgement and estimates, including actual efforts spent in relation to estimated total costs, and percentage of completion based on input and output measures.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Monetization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represents variable consideration with constrained estimate. Therefore, the Company recognizes the related revenues when ads are placed, when commissions are paid, or when the SoundHound app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Derivative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evaluate our convertible notes and other contracts, if any, to determine if those contracts or embedded components of those contracts qualify as derivatives requiring bifurcation. We account conversion features that meet criteria for bifurcation as liabilities at fair value and adjust the derivative instruments to fair value at each reporting period. The conversion features in the SNAP June 2020 Note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 of Operations and Comprehensive Loss. The fair value of the conversion features has been estimated using a probability-weighted discount model with versus without the conversion feature.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hold the SNAP June 2020 Note at amortized cost and amortize the associated debt discount created from bifurcated derivatives and issuance costs under the effective interest method until maturity or early conversion pursuant to the contractual terms of the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classify as liabilities any warrants that may require a transfer of assets. 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 we are committed to issuing an instrument that ultimately may require a transfer of assets. The warrant liability is accounted for at fair value and remeasured at each reporting date. Accordingly, we classified the warrants as a liability at their fair value and adjust the instruments to fair value at each balance sheet date until the warrants are exercised or expired. Any changes in the fair value of the warrants are recognized as other expense, net in the Consolidated Statement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employees, directors and other service providers based on their fair value on the date of grant and recognize compensation expense of those awards over the requisite service period. We recognize the impact of forfeitures on stock-based compensation expense as forfeitures occur. We apply the straight-line method of expense recognition.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estimate the fair value of each stock option grant on the date of grant using the Black-Scholes option-pricing model, which requires the use of highly subjective assumptions including:</w:t>
      </w:r>
    </w:p>
    <w:p>
      <w:pPr>
        <w:spacing w:after="0" w:line="160" w:lineRule="exact"/>
        <w:rPr>
          <w:sz w:val="20"/>
          <w:szCs w:val="20"/>
          <w:color w:val="auto"/>
        </w:rPr>
      </w:pPr>
    </w:p>
    <w:p>
      <w:pPr>
        <w:ind w:left="660" w:hanging="328"/>
        <w:spacing w:after="0" w:line="28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We have opted to use the “simplified method” for estimating the expected term of plain-vanilla options, whereby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equals the arithmetic average of the vesting term and the original contractual term of the option (generally 10 years).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rate assumption is based on the U.S. Treasury instruments with maturities similar to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 options.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We have not issued any dividends and do not anticipate to issue dividends on our common stock. As a result,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the dividend yield to be zero.</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Due to our limited operating history and a lack of company-specific historical and implied volatility data, we have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there has been no public market for our common stock to date, the estimated fair value of our common stock has been determined by our board of directors, or compensation committee thereof,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considering the results of these independent third-party valuations, our board of directors considered various objective and subjective factors to determine the fair value of our common stock as of each grant date,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our preferred stock and the superior rights, preferences and privileges of our preferred stock relative to our common stock at the time of each grant;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SNAP June 2020 Note, including valuation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outlook for the continued commercialization our business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and trends within the industry, including a review of the performance and metrics of guideline public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 SPAC transaction, or sale of our company in light of prevailing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upon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who have adopted new or revised accounting pronouncements.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as defined in Rule 12b-2 under the Exchange Act, and (2) the date on which we have issued more than $1.0 billion in non-convertible debt during the prior three-year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Deep Meaning Understanding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technologies developed over the past 16 years, our advanced Voice AI platform provides exceptional speed and accuracy.</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three months ended March 31, 2022, queries were over 90%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w:t>
      </w:r>
    </w:p>
    <w:p>
      <w:pPr>
        <w:spacing w:after="0" w:line="195"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support our customers by providing them access to Houndify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an open-access platform that allows developers to leverage SoundHound AI’s Voice AI technology and a library of over 100 content domains, including commonly used domains for points of interest, weather, flight status, sports, and</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more. To ensure that our content domains continue to evolve and grow, our platform is built on our breakthrough Collective AI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technology is backed by SoundHound AI’s investments in intellectual property, with over 227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addressable market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those already employing a voice assistant, 81% are using the technology to improve customer service and 52% are using them for sales activity.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Juniper Research, the broader market for Voice AI transactions will exceed $160 billion by 2026, enabled by a growing need for Voice AI in many industries.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these trends are adding up to exponential growth for Voice AI in a variety of markets, including IoT, automotive, retail, hospitality, enterprise, healthcare, contact center, and banking and finance.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Voice AI is poised to be the next disruption in computing and the timing is right for our company and our vision.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Technical Development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SoundHound AI’s Vision</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A typical reaction to SoundHound AI’s technology is “Wow! Even humans cannot do this.” This is the crux of our vision: </w:t>
      </w:r>
      <w:r>
        <w:rPr>
          <w:rFonts w:ascii="Times New Roman" w:cs="Times New Roman" w:eastAsia="Times New Roman" w:hAnsi="Times New Roman"/>
          <w:sz w:val="18"/>
          <w:szCs w:val="18"/>
          <w:i w:val="1"/>
          <w:iCs w:val="1"/>
          <w:color w:val="auto"/>
        </w:rPr>
        <w:t>Create a Voice AI platform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exceeds human capabilities and brings value and delight via an ecosystem of billions of products enhanced by innovation and monetization opportunities.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users can follow up and ask it to refine the criteria such as “remove Korean and Vietnamese, sort by rating then by price, and only show the ones that are good for kids and have a patio.”</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Technology Breakthroughs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Speech-to-Meaning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125730</wp:posOffset>
            </wp:positionV>
            <wp:extent cx="5143500" cy="4131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Deep Meaning Understanding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Deep Meaning Understanding is our innovative approach to language understanding that allows our Voice AI platform to understand highly complex conversation.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3771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Collective AI</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third breakthrough is called Collective AI: an architecture that gives potential to SoundHound AI to improve the understanding capability of its platform exponentially based on linear contributions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SoundHound AI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Houndify platform</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Houndify provides a web API that takes in text queries or audio and returns actionable JavaScript Object Notation to anyone with an internet connection wanting to add Voice AI to any product or application.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Automatic Speech Recognition (“ASR”)</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Language Understanding (“NLU”)</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Wake Words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Wake words are the entry point into branded voice experiences, allowing users to invoke the assistant by literally speaking the company’s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range from “Hey Pandora” in a mobile app to “Hey Peugeot” within a vehicle.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Custom Domains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Text-to-speech (“TTS”)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Edge (Embedded)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To harness the capabilities of full cloud connectivity with the reliability of embedded voice technology. </w:t>
      </w:r>
      <w:r>
        <w:rPr>
          <w:rFonts w:ascii="Times New Roman" w:cs="Times New Roman" w:eastAsia="Times New Roman" w:hAnsi="Times New Roman"/>
          <w:sz w:val="18"/>
          <w:szCs w:val="18"/>
          <w:i w:val="1"/>
          <w:iCs w:val="1"/>
          <w:color w:val="auto"/>
        </w:rPr>
        <w:t>Houndify Edge Hybrid</w:t>
      </w:r>
      <w:r>
        <w:rPr>
          <w:rFonts w:ascii="Times New Roman" w:cs="Times New Roman" w:eastAsia="Times New Roman" w:hAnsi="Times New Roman"/>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Differentiators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Disruptor</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3" w:name="page74"/>
    <w:bookmarkEnd w:id="7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2768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Momentum</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257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a Diverse, Global Customer Base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Three pillars for growth</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2614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right="20" w:hanging="328"/>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 This involves voice-enabling a product. The product creator pays us a royalty based on volume, usage, or duration. SoundHound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collects royalties when Houndify is integrated into a product such as a car, smart speaker, or appliance.</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This involves voice-enabling a service that doesn’t rely on a physical product. Examples include when SoundHound AI enables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service or food ordering for restaurants or content management, appointments, or voice commerce, we generate subscription revenue from the service providers.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This pillar creates an ecosystem that enables monetization services in products and services from both pillar one and pillar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6" w:name="page77"/>
    <w:bookmarkEnd w:id="7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3557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355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SoundHound AI’s undeniable criteria for adoption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2297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The first two criteria customers typically consider are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brand control</w:t>
      </w:r>
      <w:r>
        <w:rPr>
          <w:rFonts w:ascii="Times New Roman" w:cs="Times New Roman" w:eastAsia="Times New Roman" w:hAnsi="Times New Roman"/>
          <w:sz w:val="18"/>
          <w:szCs w:val="18"/>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 xml:space="preserve">With our disruptive monetization strategy, we also provide a path to </w:t>
      </w:r>
      <w:r>
        <w:rPr>
          <w:rFonts w:ascii="Times New Roman" w:cs="Times New Roman" w:eastAsia="Times New Roman" w:hAnsi="Times New Roman"/>
          <w:sz w:val="18"/>
          <w:szCs w:val="18"/>
          <w:b w:val="1"/>
          <w:bCs w:val="1"/>
          <w:color w:val="auto"/>
        </w:rPr>
        <w:t>monetization</w:t>
      </w:r>
      <w:r>
        <w:rPr>
          <w:rFonts w:ascii="Times New Roman" w:cs="Times New Roman" w:eastAsia="Times New Roman" w:hAnsi="Times New Roman"/>
          <w:sz w:val="18"/>
          <w:szCs w:val="18"/>
          <w:color w:val="auto"/>
        </w:rPr>
        <w:t>. By choosing our platform, product creators can generate additional revenue while making their product better using Voice AI, providing further incentive to choose our platform.</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We offer a superior </w:t>
      </w:r>
      <w:r>
        <w:rPr>
          <w:rFonts w:ascii="Times New Roman" w:cs="Times New Roman" w:eastAsia="Times New Roman" w:hAnsi="Times New Roman"/>
          <w:sz w:val="18"/>
          <w:szCs w:val="18"/>
          <w:b w:val="1"/>
          <w:bCs w:val="1"/>
          <w:color w:val="auto"/>
        </w:rPr>
        <w:t>ecosystem</w:t>
      </w:r>
      <w:r>
        <w:rPr>
          <w:rFonts w:ascii="Times New Roman" w:cs="Times New Roman" w:eastAsia="Times New Roman" w:hAnsi="Times New Roman"/>
          <w:sz w:val="18"/>
          <w:szCs w:val="18"/>
          <w:color w:val="auto"/>
        </w:rPr>
        <w:t xml:space="preserve"> with Collective AI along with definable </w:t>
      </w: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xml:space="preserve"> controls, which are becoming increasingly important in the industry of Voice AI. Additionally, there is </w:t>
      </w:r>
      <w:r>
        <w:rPr>
          <w:rFonts w:ascii="Times New Roman" w:cs="Times New Roman" w:eastAsia="Times New Roman" w:hAnsi="Times New Roman"/>
          <w:sz w:val="18"/>
          <w:szCs w:val="18"/>
          <w:b w:val="1"/>
          <w:bCs w:val="1"/>
          <w:color w:val="auto"/>
        </w:rPr>
        <w:t>no conflict of interest</w:t>
      </w:r>
      <w:r>
        <w:rPr>
          <w:rFonts w:ascii="Times New Roman" w:cs="Times New Roman" w:eastAsia="Times New Roman" w:hAnsi="Times New Roman"/>
          <w:sz w:val="18"/>
          <w:szCs w:val="18"/>
          <w:color w:val="auto"/>
        </w:rPr>
        <w:t xml:space="preserve"> between us and our partners and customers as we do not compete with them (as some other Voice AI vendors do). We also offer </w:t>
      </w:r>
      <w:r>
        <w:rPr>
          <w:rFonts w:ascii="Times New Roman" w:cs="Times New Roman" w:eastAsia="Times New Roman" w:hAnsi="Times New Roman"/>
          <w:sz w:val="18"/>
          <w:szCs w:val="18"/>
          <w:b w:val="1"/>
          <w:bCs w:val="1"/>
          <w:color w:val="auto"/>
        </w:rPr>
        <w:t>edge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hybrid</w:t>
      </w:r>
      <w:r>
        <w:rPr>
          <w:rFonts w:ascii="Times New Roman" w:cs="Times New Roman" w:eastAsia="Times New Roman" w:hAnsi="Times New Roman"/>
          <w:sz w:val="18"/>
          <w:szCs w:val="18"/>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8"/>
          <w:szCs w:val="18"/>
          <w:b w:val="1"/>
          <w:bCs w:val="1"/>
          <w:color w:val="auto"/>
        </w:rPr>
        <w:t>differentiate and innovate</w:t>
      </w:r>
      <w:r>
        <w:rPr>
          <w:rFonts w:ascii="Times New Roman" w:cs="Times New Roman" w:eastAsia="Times New Roman" w:hAnsi="Times New Roman"/>
          <w:sz w:val="18"/>
          <w:szCs w:val="18"/>
          <w:color w:val="auto"/>
        </w:rPr>
        <w:t xml:space="preserve"> their overall experiences for their brands.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8" w:name="page79"/>
    <w:bookmarkEnd w:id="7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Strategic Global Partners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Information provided to us by our strategic partners suggest that our customers’ products are currently used by have a reach over a billion users.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of the strategic partners that are featured here utilizes SoundHound AI’s product integrations:</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Mercedes: MBUX (multiple models in North America)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Hyundai/KIA: Dynamic Voice Recognition (multiple models in North America and India)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Honda: Select models in Japan and Europe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Snapchat: Voice Scan and Captioning features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Pandora: In-app Voice Mode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VIZIO: Smart TV Voice Remote for multiple product 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Castle: Voice AI Drive Through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Deutsche Telekom: Magenta Speaker in Germany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AI’s intellectual property portfolio includes 227 granted or pending patents. These patents cover areas such as speech recognition, natural language understanding, machine learning, human interfaces, and others, including monetization and advertising.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Out of our over 200 patents granted and pending, 35 of these patents are in conversational monetization. Because we predict that search traffic will change from keyword-based queries to conversational interactions, we have a large number of patents in the area of conversational advertising.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SoundHound AI currently has a team of over 400 members, 392 of which are full-time employees and 8 of which are part-time, with a presence spanning 16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the date of this prospectus: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Vice President of Products</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Sroka</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Majid Emami</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of Engineering</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Zubin Irani</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Keyvan Mohajer. </w:t>
      </w:r>
      <w:r>
        <w:rPr>
          <w:rFonts w:ascii="Times New Roman" w:cs="Times New Roman" w:eastAsia="Times New Roman" w:hAnsi="Times New Roman"/>
          <w:sz w:val="18"/>
          <w:szCs w:val="18"/>
          <w:color w:val="auto"/>
        </w:rPr>
        <w:t>Dr. Keyvan Mohajer has been our Chief Executive Officer and a member of the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Dr. Mohajer has served as SoundHound’s Chief Executive Officer and a member of the SoundHound board of directors (the “SoundHound Board”) since 2005, when he co-founded SoundHound. Dr. Mohajer is a technical founder and visionary entrepreneur with over 20 years of experience scaling multiple companies. Dr. Mohajer is a key contributor to SoundHound’s core technologies, with over 90 patents granted or pending. He also plays a major role in SoundHound’s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SoundHound and its chief executive officer, he has extensive knowledge of SoundHound’s business.</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Hom. </w:t>
      </w:r>
      <w:r>
        <w:rPr>
          <w:rFonts w:ascii="Times New Roman" w:cs="Times New Roman" w:eastAsia="Times New Roman" w:hAnsi="Times New Roman"/>
          <w:sz w:val="18"/>
          <w:szCs w:val="18"/>
          <w:color w:val="auto"/>
        </w:rPr>
        <w:t>James Hom has been a member of the Board and Vice President of Products since the consummation of the Business Combination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2022. Mr. Hom, one of SoundHound’s co-founders, has served as Vice President of Products and a member of the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SoundHound, he has extensive knowledge of SoundHound’s business.</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Marcus. </w:t>
      </w:r>
      <w:r>
        <w:rPr>
          <w:rFonts w:ascii="Times New Roman" w:cs="Times New Roman" w:eastAsia="Times New Roman" w:hAnsi="Times New Roman"/>
          <w:sz w:val="18"/>
          <w:szCs w:val="18"/>
          <w:color w:val="auto"/>
        </w:rPr>
        <w:t>Larry Marcus has been a member of the Board since the consummation of the Business Combination in April 2022. Larry Marcus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member of the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SoundHound’s board, he has extensive knowledge of SoundHound’s business, and also because of this significant venture capital and finance experience.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Diana Sroka. </w:t>
      </w:r>
      <w:r>
        <w:rPr>
          <w:rFonts w:ascii="Times New Roman" w:cs="Times New Roman" w:eastAsia="Times New Roman" w:hAnsi="Times New Roman"/>
          <w:sz w:val="18"/>
          <w:szCs w:val="18"/>
          <w:color w:val="auto"/>
        </w:rPr>
        <w:t>Diana Sroka has been a member of the Board since the consummation of the Business Combination in April 2022. In 2001, Ms. Sroka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Eric R. Ball. </w:t>
      </w:r>
      <w:r>
        <w:rPr>
          <w:rFonts w:ascii="Times New Roman" w:cs="Times New Roman" w:eastAsia="Times New Roman" w:hAnsi="Times New Roman"/>
          <w:sz w:val="18"/>
          <w:szCs w:val="18"/>
          <w:color w:val="auto"/>
        </w:rPr>
        <w:t>Dr. Eric R. Ball has been a member of our Board since our IPO in 2021. Since 2016, Dr. Ball has been the General Partner of Impact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Majid Emami. </w:t>
      </w:r>
      <w:r>
        <w:rPr>
          <w:rFonts w:ascii="Times New Roman" w:cs="Times New Roman" w:eastAsia="Times New Roman" w:hAnsi="Times New Roman"/>
          <w:sz w:val="18"/>
          <w:szCs w:val="18"/>
          <w:color w:val="auto"/>
        </w:rPr>
        <w:t>Dr. Majid Emami has been Vice President of Engineering of the Company since the consummation of the Business Combination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2022. Dr. Emami is a co-founder of SoundHound and has served as Vice President of Engineering since 2006. Dr. Emami leads SoundHound’s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Zubin Irani. </w:t>
      </w:r>
      <w:r>
        <w:rPr>
          <w:rFonts w:ascii="Times New Roman" w:cs="Times New Roman" w:eastAsia="Times New Roman" w:hAnsi="Times New Roman"/>
          <w:sz w:val="18"/>
          <w:szCs w:val="18"/>
          <w:color w:val="auto"/>
        </w:rPr>
        <w:t>Zubin Irani has been Chief Revenue Officer of the Company since the consummation of the Business Combination in April 2022.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Irani has served as SoundHound’s Chief Revenue Officer since 2021. Prior to joining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Stonehocker. </w:t>
      </w:r>
      <w:r>
        <w:rPr>
          <w:rFonts w:ascii="Times New Roman" w:cs="Times New Roman" w:eastAsia="Times New Roman" w:hAnsi="Times New Roman"/>
          <w:sz w:val="18"/>
          <w:szCs w:val="18"/>
          <w:color w:val="auto"/>
        </w:rPr>
        <w:t>Timothy Stonehocker has been Chief Technology Officer of the Company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Mr. Stonehocker has served as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both"/>
        <w:ind w:firstLine="32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Nitesh Sharan. </w:t>
      </w:r>
      <w:r>
        <w:rPr>
          <w:rFonts w:ascii="Times New Roman" w:cs="Times New Roman" w:eastAsia="Times New Roman" w:hAnsi="Times New Roman"/>
          <w:sz w:val="18"/>
          <w:szCs w:val="18"/>
          <w:color w:val="auto"/>
        </w:rPr>
        <w:t>Nitesh Sharan has been Chief Financial Officer of the Company since the consummation of the Business Combination in April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Sharan has served as the Chief Financial Officer at SoundHound since September 2021. In this capacity, Mr. Sharan oversees SoundHound’s accounting, financial planning, investor relations, treasury and capital planning functions. Prior to joining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charterholder.</w:t>
      </w:r>
    </w:p>
    <w:p>
      <w:pPr>
        <w:spacing w:after="0" w:line="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Zagorsek. </w:t>
      </w:r>
      <w:r>
        <w:rPr>
          <w:rFonts w:ascii="Times New Roman" w:cs="Times New Roman" w:eastAsia="Times New Roman" w:hAnsi="Times New Roman"/>
          <w:sz w:val="18"/>
          <w:szCs w:val="18"/>
          <w:color w:val="auto"/>
        </w:rPr>
        <w:t>Michael Zagorsek has been Chief Operating Officer of the Company since the consummation of the Business Combination in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Zagorsek has served as SoundHound’s Chief Operating Officer since November 2020, where Mr. Zagorsek is principally responsible for company operations, oversight of business workflow, company planning, reporting, goal-setting, and strategy. Prior to assuming that role, Mr. Zagorsek was SoundHound’s Vice President of Product Marketing, from July 2016 to November 2020, in which capacity he was responsible for SoundHound’s marketing activities, including demand generation, product marketing, content marketing, public relations and design. Prior to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Kamyar Mohajer, the brother of SoundHound’s CEO, Keyvan Mohajer, is an employee of SoundHound and serves as the Company’s Vice President of Corporate Strategy and International Expansion.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Dr. Ball, Mr. Marcus and Ms. Sroka, will be an independent director under the Nasdaq listing rules and Rule 10A-3 of the Exchange Act. In making these determinations, our Board of Directors considered the current and prior relationships that each non-employee director has with SoundHound AI and all other facts and circumstances our Board of Directors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has one class of directors, with each director being elected in each year and serving a one-year term.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face a number of risks, including those described under the caption “Risk Factors” contained elsewhere in this prospectus. Our board of directors believes that risk management is an important part of establishing, updating and executing on our business strategy. Our board of directors has oversight responsibility relating to risks that could affect the corporate strategy, business objectives, compliance, operations, and the financial condition and performance of our company. Our board of directors focuses its oversight on the most significant risks facing us and on our processes to identify, prioritize, assess, manage and mitigate those risks. Our board of directors receives regular reports from members of our senior management on areas of material risk to us,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standing committees of our Board of Directors consist of an Audit Committee, a Compensation Committee, and a Nominating and Corporate Governance Committee. The composition of each committee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audit committee’s duties are specified in our Audit Committee Charter.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A printed copy of the Code of Business Conduct and Ethics available to any stockholder who so requests. Requests for a printed copy may be directed to: 5400 Betsy Ross Drive, Santa Clara, CA 95054 Attention: Dr. Keyvan Mohajer.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The information on this website is not part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 and Director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 non-employee directors, in addition to equity grants determined by the compensation committee and reimbursement for reasonable expenses incurred in connection with attending board and committee meetings. Our board of directors expects to review non-employee director compensation periodically to ensure that non-employee director compensation remains competitive such that we are able to recruit and retain qualified directors.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policies with respect to the compensation of its executive officers are administered by our board of directors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and similar terms refer to SoundHound prior to the consummation of the Business Combination, and to the Company and its subsidiaries after the Business Combination.</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SoundHound’s compensation arrangements consisted principally of a base salary, an annual cash incentive bonus and equity compensation, as described below.</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SoundHound’s board of directors (the “SoundHound Board”) had historically determined the compensation of SoundHound’s executive officers. For the year ended December 31, 2021, SoundHound’s named executive officers were Dr. Keyvan Mohajer, Chief Executive Officer, Nitesh Sharan, Chief Financial Officer, and Timothy Stonehocker, Chief Technology Officer.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section provides an overview of SoundHound’s executive compensation arrangements with its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“Recent Developments” below for information regarding our current compensation arrangements with named executive officers.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for the fiscal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8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20"/>
              <w:spacing w:after="0" w:line="247" w:lineRule="exact"/>
              <w:rPr>
                <w:sz w:val="20"/>
                <w:szCs w:val="20"/>
                <w:color w:val="auto"/>
              </w:rPr>
            </w:pPr>
            <w:r>
              <w:rPr>
                <w:rFonts w:ascii="Times New Roman" w:cs="Times New Roman" w:eastAsia="Times New Roman" w:hAnsi="Times New Roman"/>
                <w:sz w:val="17"/>
                <w:szCs w:val="17"/>
                <w:b w:val="1"/>
                <w:bCs w:val="1"/>
                <w:color w:val="auto"/>
                <w:w w:val="96"/>
              </w:rPr>
              <w:t>Awards</w:t>
            </w:r>
            <w:r>
              <w:rPr>
                <w:rFonts w:ascii="Times New Roman" w:cs="Times New Roman" w:eastAsia="Times New Roman" w:hAnsi="Times New Roman"/>
                <w:sz w:val="28"/>
                <w:szCs w:val="28"/>
                <w:b w:val="1"/>
                <w:bCs w:val="1"/>
                <w:color w:val="auto"/>
                <w:w w:val="96"/>
                <w:vertAlign w:val="superscript"/>
              </w:rPr>
              <w:t>(1)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Dr. Keyvan Mohajer, </w:t>
            </w:r>
            <w:r>
              <w:rPr>
                <w:rFonts w:ascii="Times New Roman" w:cs="Times New Roman" w:eastAsia="Times New Roman" w:hAnsi="Times New Roman"/>
                <w:sz w:val="18"/>
                <w:szCs w:val="18"/>
                <w:i w:val="1"/>
                <w:iCs w:val="1"/>
                <w:color w:val="auto"/>
              </w:rPr>
              <w:t>CEO</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8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w w:val="99"/>
              </w:rPr>
              <w:t xml:space="preserve">Nitesh Sharan, </w:t>
            </w:r>
            <w:r>
              <w:rPr>
                <w:rFonts w:ascii="Times New Roman" w:cs="Times New Roman" w:eastAsia="Times New Roman" w:hAnsi="Times New Roman"/>
                <w:sz w:val="18"/>
                <w:szCs w:val="18"/>
                <w:i w:val="1"/>
                <w:iCs w:val="1"/>
                <w:color w:val="auto"/>
                <w:w w:val="99"/>
              </w:rPr>
              <w:t>CFO</w:t>
            </w:r>
          </w:p>
        </w:tc>
        <w:tc>
          <w:tcPr>
            <w:tcW w:w="1740" w:type="dxa"/>
            <w:vAlign w:val="bottom"/>
          </w:tcPr>
          <w:p>
            <w:pPr>
              <w:jc w:val="right"/>
              <w:ind w:right="1505"/>
              <w:spacing w:after="0" w:line="162" w:lineRule="exact"/>
              <w:rPr>
                <w:sz w:val="20"/>
                <w:szCs w:val="20"/>
                <w:color w:val="auto"/>
              </w:rPr>
            </w:pPr>
            <w:r>
              <w:rPr>
                <w:rFonts w:ascii="Times New Roman" w:cs="Times New Roman" w:eastAsia="Times New Roman" w:hAnsi="Times New Roman"/>
                <w:sz w:val="15"/>
                <w:szCs w:val="15"/>
                <w:i w:val="1"/>
                <w:iCs w:val="1"/>
                <w:color w:val="auto"/>
                <w:w w:val="79"/>
              </w:rPr>
              <w:t>(2)</w:t>
            </w:r>
          </w:p>
        </w:tc>
        <w:tc>
          <w:tcPr>
            <w:tcW w:w="100" w:type="dxa"/>
            <w:vAlign w:val="bottom"/>
          </w:tcPr>
          <w:p>
            <w:pPr>
              <w:spacing w:after="0"/>
              <w:rPr>
                <w:sz w:val="14"/>
                <w:szCs w:val="14"/>
                <w:color w:val="auto"/>
              </w:rPr>
            </w:pPr>
          </w:p>
        </w:tc>
        <w:tc>
          <w:tcPr>
            <w:tcW w:w="880" w:type="dxa"/>
            <w:vAlign w:val="bottom"/>
            <w:vMerge w:val="restart"/>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4"/>
                <w:szCs w:val="14"/>
                <w:color w:val="auto"/>
              </w:rPr>
            </w:pPr>
          </w:p>
        </w:tc>
        <w:tc>
          <w:tcPr>
            <w:tcW w:w="1100" w:type="dxa"/>
            <w:vAlign w:val="bottom"/>
            <w:gridSpan w:val="2"/>
            <w:vMerge w:val="restart"/>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83,333</w:t>
            </w:r>
          </w:p>
        </w:tc>
        <w:tc>
          <w:tcPr>
            <w:tcW w:w="9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75,000</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120" w:type="dxa"/>
            <w:vAlign w:val="bottom"/>
            <w:gridSpan w:val="2"/>
            <w:vMerge w:val="restart"/>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952,070</w:t>
            </w:r>
          </w:p>
        </w:tc>
        <w:tc>
          <w:tcPr>
            <w:tcW w:w="1320" w:type="dxa"/>
            <w:vAlign w:val="bottom"/>
            <w:gridSpan w:val="2"/>
            <w:vMerge w:val="restart"/>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1,110,403</w:t>
            </w:r>
          </w:p>
        </w:tc>
        <w:tc>
          <w:tcPr>
            <w:tcW w:w="0" w:type="dxa"/>
            <w:vAlign w:val="bottom"/>
          </w:tcPr>
          <w:p>
            <w:pPr>
              <w:spacing w:after="0"/>
              <w:rPr>
                <w:sz w:val="1"/>
                <w:szCs w:val="1"/>
                <w:color w:val="auto"/>
              </w:rPr>
            </w:pPr>
          </w:p>
        </w:tc>
      </w:tr>
      <w:tr>
        <w:trPr>
          <w:trHeight w:val="27"/>
        </w:trPr>
        <w:tc>
          <w:tcPr>
            <w:tcW w:w="1480" w:type="dxa"/>
            <w:vAlign w:val="bottom"/>
            <w:vMerge w:val="continue"/>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1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Timothy Stonehocker, </w:t>
            </w:r>
            <w:r>
              <w:rPr>
                <w:rFonts w:ascii="Times New Roman" w:cs="Times New Roman" w:eastAsia="Times New Roman" w:hAnsi="Times New Roman"/>
                <w:sz w:val="18"/>
                <w:szCs w:val="18"/>
                <w:i w:val="1"/>
                <w:iCs w:val="1"/>
                <w:color w:val="auto"/>
              </w:rPr>
              <w:t>CTO</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Sharan assumed responsibilities as SoundHound’s Chief Financial Officer in October 2021. Pursuant to his offer letter, Mr. Sharan’s annual salary is $300,000.</w:t>
      </w:r>
    </w:p>
    <w:p>
      <w:pPr>
        <w:ind w:left="340" w:hanging="332"/>
        <w:spacing w:after="0" w:line="26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Sharan received a $75,000 sign-on/retention payment, subject to repayment if executive’s employment terminates prior to the one-year anniversary of his start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2006 Stock Plan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2006, the SoundHound Board adopted, and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The following describes the material terms of the 2006 Stock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Grants, Generally. </w:t>
      </w:r>
      <w:r>
        <w:rPr>
          <w:rFonts w:ascii="Times New Roman" w:cs="Times New Roman" w:eastAsia="Times New Roman" w:hAnsi="Times New Roman"/>
          <w:sz w:val="18"/>
          <w:szCs w:val="18"/>
          <w:color w:val="auto"/>
        </w:rPr>
        <w:t>The 2006 Stock Plan provided for both for the direct award or sale of shares and the grant of incentive stock options (“ISOs”)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stock options (“NSOs”). ISOs may be granted only to employees of SoundHound and its affiliates. All other awards may be granted to employees, non-employee directors and consultants of SoundHound and its affiliates.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maximum number of shares of SoundHound common stock that could be issued over the term of the 2006 Stock Plan was 3,313,368 shares. As of December 31, 2021, stock options to purchase 894,474 shares of SoundHound’s common stock with a weighted-average exercise price of $4.76 per share were outstanding under the 2006 Stock Plan. As of December 31, 2021, there were no outstanding awards under the 2006 Stock Plan other than these options.</w:t>
      </w:r>
    </w:p>
    <w:p>
      <w:pPr>
        <w:spacing w:after="0" w:line="1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SoundHound Board, or a committee with authority delegated by the SoundHound Board, administers the 2006 Stock Plan.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terms of the 2006 Stock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SoundHound’s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SoundHound’s employees and service providers have historically received stock options pursuant to the 2006 Stock Plan. Mr. Stonehocker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granted a mix of ISOs and NSOs. See the “Outstanding Equity Awards at 2021 Fiscal Year End” table below for further information about SoundHound’s named executive officers’ outstanding options as of December 31, 2021.</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per share of options granted under the 2006 Stock Plan must be at least 100% of the fair market value per share of SoundHound’s common stock on the grant date. Subject to the provisions of the 2006 Stock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Corporate Transactions. </w:t>
      </w:r>
      <w:r>
        <w:rPr>
          <w:rFonts w:ascii="Times New Roman" w:cs="Times New Roman" w:eastAsia="Times New Roman" w:hAnsi="Times New Roman"/>
          <w:sz w:val="18"/>
          <w:szCs w:val="18"/>
          <w:color w:val="auto"/>
        </w:rPr>
        <w:t>In the event of certain changes to SoundHound’s capital structure, such as a stock split,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stock dividend, combination, recapitalization or reclassification of the common stock, or any other increase or decrease in the number of issued shares of SoundHound’s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SoundHound is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The SoundHound Board may amend, modify, or terminate the 2006 Stock Plan at any time, although such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materially and adversely affect a participant’s rights under an outstanding award without the participant’s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Incentive Plan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2016, the SoundHound Board adopted, and SoundHound’s stockholders approved, the SoundHound, Inc. 2016 Equity Incentive Plan (the “2016 Incentive Plan”). Each of the named executive officers hold options under the 2016 Incentive Plan, as described below.</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SoundHound AI, Inc. 2022 Incentive Award Plan was approved by ATSP’s stockholders, the 2016 Incentive Plan was terminated and no further awards will be granted under such plan.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the material terms of the 2016 Incentive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7" w:name="page88"/>
    <w:bookmarkEnd w:id="87"/>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Grants, Generally. </w:t>
      </w:r>
      <w:r>
        <w:rPr>
          <w:rFonts w:ascii="Times New Roman" w:cs="Times New Roman" w:eastAsia="Times New Roman" w:hAnsi="Times New Roman"/>
          <w:sz w:val="18"/>
          <w:szCs w:val="18"/>
          <w:color w:val="auto"/>
        </w:rPr>
        <w:t>The 2016 Incentive Plan provides both for the direct award or sale of shares and for the grant of ISOs and NQSOs. ISOs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only to employees of SoundHound and its affiliates. All other awards may be granted to employees, non-employee directors and consultants of SoundHound and its affiliates.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maximum number of shares of SoundHound common stock that may be issued over the term of the 2016 Incentive Plan is 701,460 shares. As of December 31, 2021, stock options to purchase 4,575,809 shares of SoundHound’s common stock with a weighted-average exercise price of $22.01 per share were outstanding under the 2016 Incentive Plan. As of December 31, 2021, there were no outstanding awards under the 2016 Incentive Plan other than these options.</w:t>
      </w:r>
    </w:p>
    <w:p>
      <w:pPr>
        <w:spacing w:after="0" w:line="17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SoundHound Board, or a committee with authority delegated by the SoundHound Board, administers the 2016 Incentive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of the 2016 Incentive Plan, the administrator has the power to determine: who will be granted awards, when and how each award will be granted, what type of award will be granted, the provisions of each award (which need not be identical), including when a person will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SoundHound’s employees and service providers have historically received stock options pursuant to the 2016 Incentive Plan.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has been granted a mix of ISOs and NSOs. See the “Outstanding Equity Awards at 2021 Fiscal Year End” table below for further information about SoundHound’s named executive officers’ outstanding options as of December 31, 2021.</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per share of options granted under the 2016 Incentive Plan must be at least 100% of the fair market value per share of SoundHound’s common stock on the grant date. Subject to the provisions of the 2016 Incentive Plan, the administrator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A restricted stock unit (“RSU”) is a right to receive a share of SoundHound’s common stock, at no cost to the recipient, upon satisfaction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Corporate Transactions. </w:t>
      </w:r>
      <w:r>
        <w:rPr>
          <w:rFonts w:ascii="Times New Roman" w:cs="Times New Roman" w:eastAsia="Times New Roman" w:hAnsi="Times New Roman"/>
          <w:sz w:val="18"/>
          <w:szCs w:val="18"/>
          <w:color w:val="auto"/>
        </w:rPr>
        <w:t>In the event of certain changes to SoundHound’s capital structure, such as a stock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reverse stock split, appropriate adjustments will be made to (a) the number of shares available for issuance under the 2016 Incentive Plan, and</w:t>
      </w:r>
    </w:p>
    <w:p>
      <w:pPr>
        <w:jc w:val="both"/>
        <w:ind w:firstLine="8"/>
        <w:spacing w:after="0" w:line="252"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covered by and, as applicable, the exercise price and the kind of underlying security of each outstanding award granted under the 2016 Incentive Plan. In the event SoundHound is party to a “corporate transaction” or “change in control” (as each is defined in the 2016 Incentive Plan), the administrator may take one or more of the following actions to provide for: (i) the continuation of the awards by SoundHound (if SoundHound is the surviving corporation), (ii) the assumption 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8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The SoundHound Board may amend, modify, or terminate the 2016 Incentive Plan at any time, although such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materially impair a participant’s rights under an outstanding award without the participant’s written consent.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Agreements with SoundHound’s Named Executive Officers as of December 31, 2021</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summary of the employment agreements that we have entered into with our named executive officers reflects the arrangements in place as of December 31, 2021. On June 2, 2022, we entered into new employment agreements with our named executive officers. See “Recent Developments” below for more information on such new employment agreements.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SoundHound currently maintains an employment agreement with its Chief Executive Officer, along with a separate change in control bonus letter agreement. SoundHound has also entered offer letter agreements with its Chief Financial Officer, Chief Technology Officer and Chief Revenue Officer, as summarized below. Effective as of January 5, 2022, Mr. Zubin Irani joined SoundHound as its Chief Revenue Officer. Although Mr. Irani’s appointment is effective as of the 2022 fiscal year, a description of the material terms of Mr. Irani’s employment arrangement is included as well. Each named executive officer has entered into the Company’s standard form of confidential information and inventions assignment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Chief Executive Officer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entered into an employment agreement with Mr. Mohajer, its Chief Executive Officer, on January 23, 2006, and pursuant to its terms, Mr. Mohajer’s base salary is reviewed by the SoundHound Board as part of the Company’s normal salary review process. For fiscal year 2021, Mr. Mohajer’s base salary was $260,000. The CEO employment agreement entitles Mr. Mohajer to participate in any bonus compensation plans as the Company may from time to time adopt for the benefit of management, along with any standard benefit plans available to similarly-situated employees. If Mr. Mohajer’s employment is terminated without cause (as defined in the CEO employment agreement), he is entitled to continued payment of his then current base salary for a period of two months.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Mr. Mohajer and SoundHound entered into a change in control bonus letter agreement on May 23, 2017, pursuant to which the Company will pay up to $1,414.050 to Mr. Mohajer upon the consummation of a change in control transaction (as defined in the bonus letter agreement) provided Mr. Mohajer is a Company employee as of such closing or if Mr. Mohajer was terminated without cause within 60 days prior to the closing. Any change in control bonus is payable in a lump-sum, unless the transaction proceeds include earn out payments, amounts subject to escrow or holdback, or other contingencies, in which case the change in control bonus will be subject to hold back and delayed payment to reflect the contingent transaction proceeds. The change in control bonus is subject to further reduction if the amount payable per share of Company common stock is less than $12.10 or if necessary to avoid adverse tax results under Code Section 280G. The change in control bonus may be paid in cash, fully vested shares issued by the Company’s acquirer, or such other form of consideration paid to the Company’s securityholders in the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Chief Financial Officer</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SoundHound entered into an offer letter agreement with Mr. Sharan, its Chief Financial Officer, as of September 10, 2021, pursuant to which Mr. Sharan is entitled to a base salary of $300,000 per year, along with any standard benefit plans available to similarly-situated employees. Additionally, beginning in January 2022, Mr. Sharan will be eligible for an annual performance-based cash bonus of up to 50% of his annual base salary amount, to be determined in accordance with mutually agreed goals and job performance. Mr. Sharan received a $75,000 one-time sign-on/retention payment, subject to repayment if executive’s employment terminates prior to the one-year anniversary of his start date. Mr. Sharan is eligible to earn a $75,000 one-time closing payment if a liquidity occurs within 12 months of his hire date and Mr. Sharan remains continuously employed through such date.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Mr. Sharan’s employment is terminated without cause or due to a constructive termination (in each, as defined in the CFO letter agreement), he is entitled to continued payment of his then current base salary for a period of two months.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CFO letter agreement, Mr. Sharan was granted options to purchase up to 55,555 shares of SoundHound common stock, at an exercise price of $41.75 per share, pursuant to the 2016 Incentive Plan.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CFO letter agreement, the Company agreed to recommend an award of 300,000 restricted stock units (“RSUs”) and 200,000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the board of directors of the Company (the “SoundHound AI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9" w:name="page90"/>
    <w:bookmarkEnd w:id="89"/>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The Options, RSUs, and PSUs have a four-year time-based vesting schedule, with 25% of the award vesting on the one-year anniversary of the CFO’s hire date and 3/48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award vesting each quarter thereafter, subject to Mr. Sharan’s continued employment through such dates. Following a change in control (as defined in the CFO letter agreement), any unvested portion of the option or RSU awards shall accelerate if the CFO is terminated without cause or terminates due to a constructive termination (each as defined in the CFO letter agreement).</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PSUs are subject to additional performance-based vesting conditions, with half of the PSU award vesting if a share of the Company’s common stock (measured using a rolling six-month average) increases by a certain percentage over the “base price” (defined as the higher of the opening price of the Company’s common stock on the listing date of a liquidity event or $10.00). 25% of the PSU award vests on a 50% increase over the base price, and another 25% of the PSU award vests on a 100% increase over the base price. An additional 25% of the PSU award vests on the achievement of $100.0 million of GAAP revenue in a trailing 12 months during the four-year PSU period. The final 25% of the PSU award vests on the Company achieving positive cash flow in a trailing 12 months during the four-year PSU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Chief Technology Officer</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entered into an offer letter agreement as of September 5, 2006, for Mr. Stonehocker to become Algorithm Designer. Mr. Stonehocker was promoted to Chief Technology Officer as of January 2010. For fiscal year 2021, Mr. Stonehocker’s base salary was $250,000. Under Mr. Stonehocker’s letter agreement, he is eligible to participate in any standard benefit plans available to similarly-situated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Chief Revenue Officer</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foregoing tables do not include information with respect to Mr. Zubin Irani, who commenced his service as SoundHound’s Chief Revenue Officer in January 2022, pursuant to the terms of an offer letter agreement dated September 14, 2021. Under the CRO letter agreement, Mr. Irani is entitled to a base salary of $300,000 per year, along with any standard benefit plans available to similarly-situated employees. Mr. Irani will be eligible for an annual performance-based cash bonus of up to 100% of his annual base salary amount, which shall be linked to mutually agreed upon Company revenue goals and job performance.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his engagement, during the 2021 fiscal year, Mr. Irani received options to purchase 37,037 shares of SoundHound common stock, at an exercise price of $41.75 per share, pursuant to the 2016 Incentive Plan. The options have a fair value of $634,180 (calculated in accordance with Financial Accounting Standards Board ASC Topic 718).</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will be made pursuant to the SoundHound AI, Inc. 2022 Incentive Award Plan expected to be established in connection with the Closing, subject to the approval thereof by ATSP’s stockholders and approval of any specific grant thereunder by SoundHound AI Board.</w:t>
      </w:r>
    </w:p>
    <w:p>
      <w:pPr>
        <w:spacing w:after="0" w:line="183" w:lineRule="exact"/>
        <w:rPr>
          <w:sz w:val="20"/>
          <w:szCs w:val="20"/>
          <w:color w:val="auto"/>
        </w:rPr>
      </w:pPr>
    </w:p>
    <w:p>
      <w:pPr>
        <w:jc w:val="both"/>
        <w:ind w:firstLine="324"/>
        <w:spacing w:after="0" w:line="231" w:lineRule="auto"/>
        <w:rPr>
          <w:sz w:val="20"/>
          <w:szCs w:val="20"/>
          <w:color w:val="auto"/>
        </w:rPr>
      </w:pPr>
      <w:r>
        <w:rPr>
          <w:rFonts w:ascii="Times New Roman" w:cs="Times New Roman" w:eastAsia="Times New Roman" w:hAnsi="Times New Roman"/>
          <w:sz w:val="18"/>
          <w:szCs w:val="18"/>
          <w:color w:val="auto"/>
        </w:rPr>
        <w:t>The Options, RSUs, and PSUs have a four-year time-based vesting schedule, with 3/48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PSUs are subject to additional GAAP revenue performance-based vesting conditions, with 50,000 PSUs each vesting upon the first achievement of $30.0 million, $100.0 million, $200.0 million, and $300.0 million of GAAP revenue in a trailing 12 months during the four-year PSU period and 100,000 PSUs shall vest upon the first achievement of $400.0 million of GAAP revenue in a trailing 12 months during the four-year PSU period.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Mr. Irani’s employment is terminated without cause or due to a constructive termination (in each, as defined in the CRO letter agreement), he is entitled to continued payment of his then current base salary for the greater of six months or 12 months, minus the number of months he was employed by SoundHound, if the termination is in the first 12 months of employment.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 2022, our Compensation Committee and full Board of Directors of the Company approved certain compensation adjustments for its named executive officers. The Company also entered into new employment letter agreements with Dr. Keyvan Mohajer, the Company’s Chief Executive Officer; Mr. Nitesh Sharan, the Company’s Chief Financial Officer; and Mr. Timothy Stonehocker, the Company’s Chief Technology Officer. In addition, the Board of Directors of the Company adopted and approved a Non-Employee Director Compensation Policy.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Employment Agreement with Keyvan Mohajer, Chief Executive Officer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Dr. Mohajer’s employment agreement (the “June CEO Agreement”), Dr. Mohajer will receive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June CEO Agreement contemplates that Dr. Mohajer will be granted 720,000 restricted stock units (the “RSUs”) under the SoundHound AI, Inc. 2022 Incentive Award Plan (the “Incentive Award Plan”), which grant will be made after a Form S-8 is on file with the Securities and Exchange Commission (“SEC”) to register shares under the Incentive Award Plan. Once granted, the RSUs will have a 10-year term and 4-year vesting period, vesting in equal quarterly installments with vesting measured from the vesting commencement date of May 1, 2022, subject to continued employment with the Company through each vesting date.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Dr. Mohajer will also be granted 480,000 RSUs that are subject to performance-based vesting (the “PSUs”) under the Incentive Award Plan, which grant will be made after a Form S-8 is on file with the SEC to register shares under the Incentive Award Plan. Once granted, the PSUs will have a four-year performance period and will be subject to the following vesting schedule: (i) 25% if the Company achieves $100 million of GAAP revenue in a trailing 12 months; (ii) 25% if the Company is cash-flow positive in a trailing 12 months; (iii) 25% if the Company stock price reaches a 90-day average of $15; and (iv) 25% if the Company stock price reaches a 90-day average of $20.</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Dr. Mohajer is eligible to participate in the standard benefit plans offered to similarly-situated employees by the Company from time to time.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Mohajer has also entered into the Company’s standard form of confidential information and inventions assignment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Employment Agreement with Nitesh Sharan, Chief Financial Officer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Mr. Sharan’s employment agreement, Mr. Sharan will receive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Sharan’s employment agreement contemplates that Mr. Sharan will be granted 300,000 RSUs under the Incentive Award Plan, which grant will be made after a Form S-8 is on file with the SEC to register shares under the Incentive Award Plan. Once granted, the RSUs will have a 10-year term and 4-year vesting period vesting in equal quarterly installments with vesting measured from the vesting commencement date of September 15, 2021, subject to continued employment with the Company through each vesting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1" w:name="page92"/>
    <w:bookmarkEnd w:id="9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Sharan will also be granted 200,000 PSUs under the Incentive Award Plan, which grant will be made after a Form S-8 is on file with the SEC to register shares under the Incentive Award Plan. Once granted, the PSUs will have a four-year performance period and will be subject to the following vesting schedule: (i) 25% if the Company achieves $100 million of GAAP revenue in a trailing 12 months; (ii) 25% if the Company is cash-flow positive in a trailing 12 months; (iii) 25% if the Company stock price reaches a 90-day average of $15; and (iv) 25% if the Company stock price reaches a 90-day average of $20.</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Mr. Sharan is eligible to participate in the standard benefit plans offered to similarly-situated employees by the Company from time to time.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Sharan has also entered into the Company’s standard form of confidential information and inventions assignment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Employment Agreement with Timothy Stonehocker, Chief Technology Officer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Mr. Stonehocker’s employment agreement, Mr. Stonehocker will receive a base salary of $335,000, effective retroactively as of May 1, 2022. In addition, Mr. Stonehocker is eligible to earn an annual incentive bonus, with a target equal to 50%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Stonehocker’s employment agreement contemplates that Mr. Stonehocker will be granted 210,000 RSUs under the Incentive Award Plan, which grant will be made after a Form S-8 is on file with the SEC to register shares under the Incentive Award Plan. Once granted, the RSUs will have a 10-year term and 4-year vesting period vesting in equal quarterly installments with vesting measured from the vesting commencement date of May 1, 2022, subject to continued employment with the Company through each vesting date.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Stonehocker will also be granted 140,000 PSUs under the Incentive Award Plan, which grant will be made after a Form S-8 is on file with the SEC to register shares under the Incentive Award Plan. Once granted, the PSUs will have a four-year performance period and will be subject to the following vesting schedule: (i) 25% if the Company achieves $100 million of GAAP revenue in a trailing 12 months; (ii) 25% if the Company is cash-flow positive in a trailing 12 months; (iii) 25% if the Company stock price reaches a 90-day average of $15; and (iv) 25% if the Company stock price reaches a 90-day average of $20.</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Mr. Stonehocker is eligible to participate in the standard benefit plans offered to similarly-situated employees by the Company from time to time.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for “at will employment,” and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Stonehocker’s has also entered into the Company’s standard form of confidential information and inventions assignment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SoundHound’s Named Executive Officers as of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12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4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03/28/2017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03/28/2027</w:t>
            </w:r>
          </w:p>
        </w:tc>
        <w:tc>
          <w:tcPr>
            <w:tcW w:w="0" w:type="dxa"/>
            <w:vAlign w:val="bottom"/>
          </w:tcPr>
          <w:p>
            <w:pPr>
              <w:spacing w:after="0"/>
              <w:rPr>
                <w:sz w:val="1"/>
                <w:szCs w:val="1"/>
                <w:color w:val="auto"/>
              </w:rPr>
            </w:pPr>
          </w:p>
        </w:tc>
      </w:tr>
      <w:tr>
        <w:trPr>
          <w:trHeight w:val="15"/>
        </w:trPr>
        <w:tc>
          <w:tcPr>
            <w:tcW w:w="3360" w:type="dxa"/>
            <w:vAlign w:val="bottom"/>
          </w:tcPr>
          <w:p>
            <w:pPr>
              <w:spacing w:after="0"/>
              <w:rPr>
                <w:sz w:val="20"/>
                <w:szCs w:val="20"/>
                <w:color w:val="auto"/>
              </w:rPr>
            </w:pPr>
            <w:r>
              <w:rPr>
                <w:rFonts w:ascii="Times New Roman" w:cs="Times New Roman" w:eastAsia="Times New Roman" w:hAnsi="Times New Roman"/>
                <w:sz w:val="1"/>
                <w:szCs w:val="1"/>
                <w:color w:val="auto"/>
              </w:rPr>
              <w:t>Nitesh Sharan, CFO</w:t>
            </w:r>
          </w:p>
        </w:tc>
        <w:tc>
          <w:tcPr>
            <w:tcW w:w="940" w:type="dxa"/>
            <w:vAlign w:val="bottom"/>
            <w:gridSpan w:val="2"/>
          </w:tcPr>
          <w:p>
            <w:pPr>
              <w:jc w:val="center"/>
              <w:ind w:left="112"/>
              <w:spacing w:after="0"/>
              <w:rPr>
                <w:sz w:val="20"/>
                <w:szCs w:val="20"/>
                <w:color w:val="auto"/>
              </w:rPr>
            </w:pPr>
            <w:r>
              <w:rPr>
                <w:rFonts w:ascii="Times New Roman" w:cs="Times New Roman" w:eastAsia="Times New Roman" w:hAnsi="Times New Roman"/>
                <w:sz w:val="1"/>
                <w:szCs w:val="1"/>
                <w:color w:val="auto"/>
              </w:rPr>
              <w:t>09/27/2021</w:t>
            </w:r>
          </w:p>
        </w:tc>
        <w:tc>
          <w:tcPr>
            <w:tcW w:w="100" w:type="dxa"/>
            <w:vAlign w:val="bottom"/>
          </w:tcPr>
          <w:p>
            <w:pPr>
              <w:spacing w:after="0" w:line="20" w:lineRule="exact"/>
              <w:rPr>
                <w:sz w:val="1"/>
                <w:szCs w:val="1"/>
                <w:color w:val="auto"/>
              </w:rPr>
            </w:pPr>
          </w:p>
        </w:tc>
        <w:tc>
          <w:tcPr>
            <w:tcW w:w="1120" w:type="dxa"/>
            <w:vAlign w:val="bottom"/>
            <w:gridSpan w:val="2"/>
          </w:tcPr>
          <w:p>
            <w:pPr>
              <w:jc w:val="center"/>
              <w:ind w:right="185"/>
              <w:spacing w:after="0"/>
              <w:rPr>
                <w:sz w:val="20"/>
                <w:szCs w:val="20"/>
                <w:color w:val="auto"/>
              </w:rPr>
            </w:pPr>
            <w:r>
              <w:rPr>
                <w:rFonts w:ascii="Times New Roman" w:cs="Times New Roman" w:eastAsia="Times New Roman" w:hAnsi="Times New Roman"/>
                <w:sz w:val="1"/>
                <w:szCs w:val="1"/>
                <w:color w:val="auto"/>
              </w:rPr>
              <w:t>09/15/2021</w:t>
            </w: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
                <w:szCs w:val="1"/>
                <w:color w:val="auto"/>
              </w:rPr>
              <w:t>55,555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
                <w:sz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
                <w:szCs w:val="1"/>
                <w:color w:val="auto"/>
              </w:rPr>
              <w:t>41.75</w:t>
            </w:r>
          </w:p>
        </w:tc>
        <w:tc>
          <w:tcPr>
            <w:tcW w:w="840" w:type="dxa"/>
            <w:vAlign w:val="bottom"/>
          </w:tcPr>
          <w:p>
            <w:pPr>
              <w:jc w:val="center"/>
              <w:spacing w:after="0"/>
              <w:rPr>
                <w:sz w:val="20"/>
                <w:szCs w:val="20"/>
                <w:color w:val="auto"/>
              </w:rPr>
            </w:pPr>
            <w:r>
              <w:rPr>
                <w:rFonts w:ascii="Times New Roman" w:cs="Times New Roman" w:eastAsia="Times New Roman" w:hAnsi="Times New Roman"/>
                <w:sz w:val="1"/>
                <w:szCs w:val="1"/>
                <w:color w:val="auto"/>
              </w:rPr>
              <w:t>09/27/2031</w:t>
            </w:r>
          </w:p>
        </w:tc>
        <w:tc>
          <w:tcPr>
            <w:tcW w:w="0" w:type="dxa"/>
            <w:vAlign w:val="bottom"/>
          </w:tcPr>
          <w:p>
            <w:pPr>
              <w:spacing w:after="0" w:line="20" w:lineRule="exact"/>
              <w:rPr>
                <w:sz w:val="1"/>
                <w:szCs w:val="1"/>
                <w:color w:val="auto"/>
              </w:rPr>
            </w:pPr>
          </w:p>
        </w:tc>
      </w:tr>
      <w:tr>
        <w:trPr>
          <w:trHeight w:val="197"/>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(2)</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36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Timothy Stonehocker, CTO</w:t>
            </w:r>
          </w:p>
        </w:tc>
        <w:tc>
          <w:tcPr>
            <w:tcW w:w="940" w:type="dxa"/>
            <w:vAlign w:val="bottom"/>
            <w:gridSpan w:val="2"/>
            <w:shd w:val="clear" w:color="auto" w:fill="CCEEFF"/>
          </w:tcPr>
          <w:p>
            <w:pPr>
              <w:jc w:val="center"/>
              <w:ind w:left="112"/>
              <w:spacing w:after="0" w:line="19" w:lineRule="exact"/>
              <w:rPr>
                <w:sz w:val="20"/>
                <w:szCs w:val="20"/>
                <w:color w:val="auto"/>
              </w:rPr>
            </w:pPr>
            <w:r>
              <w:rPr>
                <w:rFonts w:ascii="Times New Roman" w:cs="Times New Roman" w:eastAsia="Times New Roman" w:hAnsi="Times New Roman"/>
                <w:sz w:val="2"/>
                <w:szCs w:val="2"/>
                <w:color w:val="auto"/>
              </w:rPr>
              <w:t>05/19/2015</w:t>
            </w:r>
          </w:p>
        </w:tc>
        <w:tc>
          <w:tcPr>
            <w:tcW w:w="100" w:type="dxa"/>
            <w:vAlign w:val="bottom"/>
            <w:shd w:val="clear" w:color="auto" w:fill="CCEEFF"/>
          </w:tcPr>
          <w:p>
            <w:pPr>
              <w:spacing w:after="0" w:line="20" w:lineRule="exact"/>
              <w:rPr>
                <w:sz w:val="1"/>
                <w:szCs w:val="1"/>
                <w:color w:val="auto"/>
              </w:rPr>
            </w:pPr>
          </w:p>
        </w:tc>
        <w:tc>
          <w:tcPr>
            <w:tcW w:w="1120" w:type="dxa"/>
            <w:vAlign w:val="bottom"/>
            <w:gridSpan w:val="2"/>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w:t>
            </w:r>
          </w:p>
        </w:tc>
        <w:tc>
          <w:tcPr>
            <w:tcW w:w="1220" w:type="dxa"/>
            <w:vAlign w:val="bottom"/>
            <w:gridSpan w:val="2"/>
            <w:shd w:val="clear" w:color="auto" w:fill="CCEEFF"/>
          </w:tcPr>
          <w:p>
            <w:pPr>
              <w:jc w:val="right"/>
              <w:ind w:right="300"/>
              <w:spacing w:after="0" w:line="19" w:lineRule="exact"/>
              <w:rPr>
                <w:sz w:val="20"/>
                <w:szCs w:val="20"/>
                <w:color w:val="auto"/>
              </w:rPr>
            </w:pPr>
            <w:r>
              <w:rPr>
                <w:rFonts w:ascii="Times New Roman" w:cs="Times New Roman" w:eastAsia="Times New Roman" w:hAnsi="Times New Roman"/>
                <w:sz w:val="2"/>
                <w:szCs w:val="2"/>
                <w:color w:val="auto"/>
              </w:rPr>
              <w:t>40,000</w:t>
            </w:r>
          </w:p>
        </w:tc>
        <w:tc>
          <w:tcPr>
            <w:tcW w:w="1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0" w:type="dxa"/>
            <w:vAlign w:val="bottom"/>
            <w:gridSpan w:val="3"/>
            <w:shd w:val="clear" w:color="auto" w:fill="CCEEFF"/>
          </w:tcPr>
          <w:p>
            <w:pPr>
              <w:jc w:val="right"/>
              <w:spacing w:after="0" w:line="19" w:lineRule="exact"/>
              <w:rPr>
                <w:sz w:val="20"/>
                <w:szCs w:val="20"/>
                <w:color w:val="auto"/>
              </w:rPr>
            </w:pPr>
            <w:r>
              <w:rPr>
                <w:rFonts w:ascii="Times New Roman" w:cs="Times New Roman" w:eastAsia="Times New Roman" w:hAnsi="Times New Roman"/>
                <w:sz w:val="2"/>
                <w:szCs w:val="2"/>
                <w:color w:val="auto"/>
              </w:rPr>
              <w:t>$</w:t>
            </w:r>
          </w:p>
        </w:tc>
        <w:tc>
          <w:tcPr>
            <w:tcW w:w="98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7.72</w:t>
            </w:r>
          </w:p>
        </w:tc>
        <w:tc>
          <w:tcPr>
            <w:tcW w:w="840" w:type="dxa"/>
            <w:vAlign w:val="bottom"/>
            <w:shd w:val="clear" w:color="auto" w:fill="CCEEFF"/>
          </w:tcPr>
          <w:p>
            <w:pPr>
              <w:jc w:val="center"/>
              <w:spacing w:after="0" w:line="19" w:lineRule="exact"/>
              <w:rPr>
                <w:sz w:val="20"/>
                <w:szCs w:val="20"/>
                <w:color w:val="auto"/>
              </w:rPr>
            </w:pPr>
            <w:r>
              <w:rPr>
                <w:rFonts w:ascii="Times New Roman" w:cs="Times New Roman" w:eastAsia="Times New Roman" w:hAnsi="Times New Roman"/>
                <w:sz w:val="2"/>
                <w:szCs w:val="2"/>
                <w:color w:val="auto"/>
              </w:rPr>
              <w:t>05/19/2025</w:t>
            </w:r>
          </w:p>
        </w:tc>
        <w:tc>
          <w:tcPr>
            <w:tcW w:w="0" w:type="dxa"/>
            <w:vAlign w:val="bottom"/>
          </w:tcPr>
          <w:p>
            <w:pPr>
              <w:spacing w:after="0" w:line="20" w:lineRule="exact"/>
              <w:rPr>
                <w:sz w:val="1"/>
                <w:szCs w:val="1"/>
                <w:color w:val="auto"/>
              </w:rPr>
            </w:pPr>
          </w:p>
        </w:tc>
      </w:tr>
      <w:tr>
        <w:trPr>
          <w:trHeight w:val="194"/>
        </w:trPr>
        <w:tc>
          <w:tcPr>
            <w:tcW w:w="3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w:t>
            </w: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12/15/2016</w:t>
            </w:r>
          </w:p>
        </w:tc>
        <w:tc>
          <w:tcPr>
            <w:tcW w:w="100" w:type="dxa"/>
            <w:vAlign w:val="bottom"/>
            <w:shd w:val="clear" w:color="auto" w:fill="CCEEFF"/>
          </w:tcPr>
          <w:p>
            <w:pPr>
              <w:spacing w:after="0" w:line="20" w:lineRule="exact"/>
              <w:rPr>
                <w:sz w:val="1"/>
                <w:szCs w:val="1"/>
                <w:color w:val="auto"/>
              </w:rPr>
            </w:pPr>
          </w:p>
        </w:tc>
        <w:tc>
          <w:tcPr>
            <w:tcW w:w="1120" w:type="dxa"/>
            <w:vAlign w:val="bottom"/>
            <w:gridSpan w:val="2"/>
            <w:shd w:val="clear" w:color="auto" w:fill="CCEEFF"/>
          </w:tcPr>
          <w:p>
            <w:pPr>
              <w:jc w:val="center"/>
              <w:ind w:right="185"/>
              <w:spacing w:after="0"/>
              <w:rPr>
                <w:sz w:val="20"/>
                <w:szCs w:val="20"/>
                <w:color w:val="auto"/>
              </w:rPr>
            </w:pPr>
            <w:r>
              <w:rPr>
                <w:rFonts w:ascii="Times New Roman" w:cs="Times New Roman" w:eastAsia="Times New Roman" w:hAnsi="Times New Roman"/>
                <w:sz w:val="2"/>
                <w:szCs w:val="2"/>
                <w:color w:val="auto"/>
              </w:rPr>
              <w:t>11/01/2016</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
                <w:szCs w:val="2"/>
                <w:color w:val="auto"/>
              </w:rPr>
              <w:t>75,000</w:t>
            </w:r>
          </w:p>
        </w:tc>
        <w:tc>
          <w:tcPr>
            <w:tcW w:w="1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
                <w:szCs w:val="2"/>
                <w:color w:val="auto"/>
              </w:rPr>
              <w:t>12.10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12/15/2026</w:t>
            </w:r>
          </w:p>
        </w:tc>
        <w:tc>
          <w:tcPr>
            <w:tcW w:w="0" w:type="dxa"/>
            <w:vAlign w:val="bottom"/>
          </w:tcPr>
          <w:p>
            <w:pPr>
              <w:spacing w:after="0" w:line="20" w:lineRule="exact"/>
              <w:rPr>
                <w:sz w:val="1"/>
                <w:szCs w:val="1"/>
                <w:color w:val="auto"/>
              </w:rPr>
            </w:pPr>
          </w:p>
        </w:tc>
      </w:tr>
      <w:tr>
        <w:trPr>
          <w:trHeight w:val="194"/>
        </w:trPr>
        <w:tc>
          <w:tcPr>
            <w:tcW w:w="3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08/15/2019</w:t>
            </w:r>
          </w:p>
        </w:tc>
        <w:tc>
          <w:tcPr>
            <w:tcW w:w="100" w:type="dxa"/>
            <w:vAlign w:val="bottom"/>
            <w:shd w:val="clear" w:color="auto" w:fill="CCEEFF"/>
          </w:tcPr>
          <w:p>
            <w:pPr>
              <w:spacing w:after="0" w:line="20" w:lineRule="exact"/>
              <w:rPr>
                <w:sz w:val="1"/>
                <w:szCs w:val="1"/>
                <w:color w:val="auto"/>
              </w:rPr>
            </w:pPr>
          </w:p>
        </w:tc>
        <w:tc>
          <w:tcPr>
            <w:tcW w:w="1120" w:type="dxa"/>
            <w:vAlign w:val="bottom"/>
            <w:gridSpan w:val="2"/>
            <w:shd w:val="clear" w:color="auto" w:fill="CCEEFF"/>
          </w:tcPr>
          <w:p>
            <w:pPr>
              <w:jc w:val="center"/>
              <w:ind w:right="185"/>
              <w:spacing w:after="0"/>
              <w:rPr>
                <w:sz w:val="20"/>
                <w:szCs w:val="20"/>
                <w:color w:val="auto"/>
              </w:rPr>
            </w:pPr>
            <w:r>
              <w:rPr>
                <w:rFonts w:ascii="Times New Roman" w:cs="Times New Roman" w:eastAsia="Times New Roman" w:hAnsi="Times New Roman"/>
                <w:sz w:val="2"/>
                <w:szCs w:val="2"/>
                <w:color w:val="auto"/>
              </w:rPr>
              <w:t>01/08/2019</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
                <w:szCs w:val="2"/>
                <w:color w:val="auto"/>
              </w:rPr>
              <w:t>16,250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
                <w:szCs w:val="2"/>
                <w:color w:val="auto"/>
              </w:rPr>
              <w:t>13,750</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
                <w:szCs w:val="2"/>
                <w:color w:val="auto"/>
              </w:rPr>
              <w:t>16.10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
                <w:szCs w:val="2"/>
                <w:color w:val="auto"/>
              </w:rPr>
              <w:t>08/15/2029</w:t>
            </w:r>
          </w:p>
        </w:tc>
        <w:tc>
          <w:tcPr>
            <w:tcW w:w="0" w:type="dxa"/>
            <w:vAlign w:val="bottom"/>
          </w:tcPr>
          <w:p>
            <w:pPr>
              <w:spacing w:after="0" w:line="20" w:lineRule="exact"/>
              <w:rPr>
                <w:sz w:val="1"/>
                <w:szCs w:val="1"/>
                <w:color w:val="auto"/>
              </w:rPr>
            </w:pPr>
          </w:p>
        </w:tc>
      </w:tr>
      <w:tr>
        <w:trPr>
          <w:trHeight w:val="201"/>
        </w:trPr>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 was fully vested from the grant date.</w:t>
      </w:r>
    </w:p>
    <w:p>
      <w:pPr>
        <w:spacing w:after="0" w:line="27" w:lineRule="exact"/>
        <w:rPr>
          <w:rFonts w:ascii="Times New Roman" w:cs="Times New Roman" w:eastAsia="Times New Roman" w:hAnsi="Times New Roman"/>
          <w:sz w:val="18"/>
          <w:szCs w:val="18"/>
          <w:color w:val="auto"/>
        </w:rPr>
      </w:pPr>
    </w:p>
    <w:p>
      <w:pPr>
        <w:ind w:left="340" w:hanging="332"/>
        <w:spacing w:after="0" w:line="182" w:lineRule="auto"/>
        <w:tabs>
          <w:tab w:leader="none" w:pos="340"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option award has a four-year vesting schedule, with 25% of the award vesting 12 months after Vesting Start Date and 3/48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award vesting each quarter thereafter.</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May 19, 2015, option grant made to Mr. Stonehocker was under the 2006 Stock Plan. All other awards described in this chart were made under the 2016 Incentive Plan.</w:t>
      </w:r>
    </w:p>
    <w:p>
      <w:pPr>
        <w:ind w:left="340" w:hanging="332"/>
        <w:spacing w:after="0" w:line="219" w:lineRule="auto"/>
        <w:tabs>
          <w:tab w:leader="none" w:pos="340"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option award has a four-year vesting schedule,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award vesting each month following Vesting Start Date.</w:t>
      </w:r>
    </w:p>
    <w:p>
      <w:pPr>
        <w:spacing w:after="0" w:line="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directors received compensation for their service on ATSP’s board of directors in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2, 2022, our Board of Directors adopted and approved a director compensation policy, which provides to each of the non-employee directors</w:t>
      </w:r>
    </w:p>
    <w:p>
      <w:pPr>
        <w:spacing w:after="0" w:line="27" w:lineRule="exact"/>
        <w:rPr>
          <w:sz w:val="20"/>
          <w:szCs w:val="20"/>
          <w:color w:val="auto"/>
        </w:rPr>
      </w:pPr>
    </w:p>
    <w:p>
      <w:pPr>
        <w:jc w:val="both"/>
        <w:ind w:firstLine="8"/>
        <w:spacing w:after="0" w:line="251" w:lineRule="auto"/>
        <w:tabs>
          <w:tab w:leader="none" w:pos="2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$32,000, payable quarterly (ii) additional annual cash retainers, payable quarterly, for committee service as follows: (A) Chair of the Audit Committee: $20,000; (B) member of the Audit Committee: $10,000; (C) Chair of the Compensation Committee: $14,500; (D) 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 Notwithstanding the foregoing, no equity grants shall be made until a Form S-8 is on file with the SEC to register shares under the Incentive Award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ind w:left="19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 — POST-CLOSING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adopted, and stockholders approved, the SoundHound AI, Inc.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purpose of the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Incentive Award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section summarizes certain principal features of the Incentive Award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adopted, and stockholders approved, the Incentive Award Plan. The Company is authorized to grant equity awards to eligible service providers following consummation of the Business Combination (the “Business Combination Date”).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Purpose of the Incentive Award Plan Proposal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ATSP believes that the Incentive Award Plan will be important in helping to attract and retain service providers of the Company with exceptional qualifications.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 Reasons for the Approval of the Incentive Award Plan Proposal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Shareholder approval of the Incentive Award Plan is necessary in order for the Company to (a) meet the shareholder approval requirements of the Nasdaq and (b) grant incentive stock options (“ISOs”). Shareholders are also being asked to approve an annual limitation on Incentive Award Plan awards granted to non-employee directors as part of their compensation for their services as directors.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 Consequences if the Incentive Award Plan Proposal is Not Approved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Incentive Award Plan is not approved by ATSP’s stockholders, the Incentive Award Plan will not become effective and the Company will not be able to grant equity awards under the Incentive Award Plan. ATSP believes that the Company’s ability to recruit, retain and incentivize top talent will be adversely affected if the Incentive Award Plan is not approved.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 Material Terms of the Incentive Award Plan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material terms of the Incentive Award Plan, as currently contemplated by ATSP’s Board, are summarized below. This summary, however, is not intended to be a complete description of the Incentive Award Plan and is qualified in its entirety by reference to the complete text of the Incentive Award Plan. To the extent there is a conflict between the terms of this summary and the Incentive Award Plan, the terms of the Incentive Award Plan will control.</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Incentive Award Plan will be administered by the Company’s Board or by one or more committees to which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delegates such administration (as applicable, the “Incentive Award Plan Administrator”). Subject to the terms of the Incentive Award Plan, the Incentive Award Plan Administrator will have the authority to (a) determine the eligible individuals who are to receive awards under the Incentive Award Plan,</w:t>
      </w:r>
    </w:p>
    <w:p>
      <w:pPr>
        <w:spacing w:after="0" w:line="1" w:lineRule="exact"/>
        <w:rPr>
          <w:sz w:val="20"/>
          <w:szCs w:val="20"/>
          <w:color w:val="auto"/>
        </w:rPr>
      </w:pPr>
    </w:p>
    <w:p>
      <w:pPr>
        <w:jc w:val="both"/>
        <w:ind w:firstLine="8"/>
        <w:spacing w:after="0" w:line="253" w:lineRule="auto"/>
        <w:tabs>
          <w:tab w:leader="none" w:pos="2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awards granted under the Incentive Award Plan, (c) determine performance criteria and the achievement of such criteria, (d) accelerate the vesting or exercisability of, payment for or lapse of restrictions on, awards and (e) make all other decisions related to the Incentive Award Plan and awards granted thereunder. The Incentive Award Plan Administrator may also delegate to one or more senior officers of the Company the authority to grant awards, subject to terms and conditions determined by the Incentive Award Plan Administrator and within the limitations of Section 16 of the Exchange Act.</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Incentive Award Plan provides for the grant of stock options, which may be ISOs or nonstatutory stock options (“NSOs”),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(“SARs”), restricted shares, restricted stock units (“RSUs”) and other stock or cash-based awards that the Incentive Award Plan Administrator determines are consistent with the purpose of the Incentive Award Plan and the interests of the Company, or collectively, awards.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number of shares of the Company’s Common Stock that may be issued under the Incentive Award Plan is equal to the sum of</w:t>
      </w:r>
    </w:p>
    <w:p>
      <w:pPr>
        <w:spacing w:after="0" w:line="29" w:lineRule="exact"/>
        <w:rPr>
          <w:sz w:val="20"/>
          <w:szCs w:val="20"/>
          <w:color w:val="auto"/>
        </w:rPr>
      </w:pPr>
    </w:p>
    <w:p>
      <w:pPr>
        <w:jc w:val="both"/>
        <w:ind w:firstLine="8"/>
        <w:spacing w:after="0" w:line="252" w:lineRule="auto"/>
        <w:tabs>
          <w:tab w:leader="none" w:pos="2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(10%) of the aggregate number of shares of the Company’s Common Stock issued and outstanding immediately after the Closing (as calculated after giving effect to the Redemption) plus (y) the annual increase in shares described below. All of the shares available under the Incentive Award Plan (before giving effect to the annual increases) may be issued upon the exercise of ISOs. On the first day of each calendar year during the term of the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Common Stock issued and outstanding shares on December 31 of the calendar year immediately preceding the date of such increase and (b) a number of shares of the Company’s Common Stock determined by the Company’s Board.</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options, stock appreciation rights, restricted stock units or any other awards are forfeited, cancelled or expire before being exercised or settled in full, the shares subject to such awards will again be available for issuance under the Incentive Award Plan. If stock appreciation rights are exercised or restricted stock units are settled, only the number of shares actually issued upon exercise or settlement of such awards will reduce the number of shares available under the Incentive Award Plan. If restricted shares or shares issued upon exercise of an option are reacquired by the Company pursuant to a forfeiture provision, repurchase right or for any other reason, then such shares will again be available for issuance under the Incentive Award Plan. Shares applied to pay the exercise price of an option or satisfy withholding taxes related to any award will again become available for issuance under the Incentive Award Plan. To the extent an award is settled in cash, the cash settlement will not reduce the number of shares available for issuance under the Incentive Award Plan.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Shares issued under the Incentive Award Plan may be authorized but unissued shares or treasury shares. As of the date hereof, no awards have been granted under the Incentive Award Plan.</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Annual Limitation on Compensation of Non-Employee Directors. </w:t>
      </w:r>
      <w:r>
        <w:rPr>
          <w:rFonts w:ascii="Times New Roman" w:cs="Times New Roman" w:eastAsia="Times New Roman" w:hAnsi="Times New Roman"/>
          <w:sz w:val="18"/>
          <w:szCs w:val="18"/>
          <w:color w:val="auto"/>
        </w:rPr>
        <w:t>The grant date fair value of awards granted to each non-employee director during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(including officers), non-employee directors and consultants who render services to the Company or a parent thereof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now existing or subsequently established) are eligible to receive awards under the Incentive Award Plan. ISOs may only be granted to employees of the Company or a parent or subsidiary thereof (whether now existing or subsequently established). As of the Closing of the Business Combination, approximately 165 employees, including 3 executive officers (one of which is an employee director), 5 non-employee directors, and no consultants are eligible to participate in the Incentive Award Plan.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Participation. </w:t>
      </w:r>
      <w:r>
        <w:rPr>
          <w:rFonts w:ascii="Times New Roman" w:cs="Times New Roman" w:eastAsia="Times New Roman" w:hAnsi="Times New Roman"/>
          <w:sz w:val="18"/>
          <w:szCs w:val="18"/>
          <w:color w:val="auto"/>
        </w:rPr>
        <w:t>The Incentive Award Plan Administrator has the authority to implement sub-plans (or otherwise modify applicable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Incentive Award Plan. Any shares issued in satisfaction of awards granted under a sub-plan will come from the Incentive Award Plan share reserve.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5" w:name="page96"/>
    <w:bookmarkEnd w:id="95"/>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Repricing. </w:t>
      </w:r>
      <w:r>
        <w:rPr>
          <w:rFonts w:ascii="Times New Roman" w:cs="Times New Roman" w:eastAsia="Times New Roman" w:hAnsi="Times New Roman"/>
          <w:sz w:val="18"/>
          <w:szCs w:val="18"/>
          <w:color w:val="auto"/>
        </w:rPr>
        <w:t>The Incentive Award Plan Administrator has full authority to reprice (reduce the exercise price of) options and stock appreciation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approve programs in which options and stock appreciation rights are exchanged for cash or other equity awards on terms the Incentive Award Plan Administrator determines.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A stock option is the right to purchase a certain number of shares of stock at a fixed exercise price which, pursuant to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Plan, may not be less than 100% of the fair market value of the Company’s Common Stock on the date of grant. Subject to limited exceptions, an option may have a term of up to 10 years and will generally expire sooner if the optionee’s service terminates. Options will vest at the rate determined by the Incentive Award Plan Administrator. An optionee may pay the exercise price of an option in cash, or, with the administrator’s consent, with shares of stock the optionee already owns, with proceeds from an immediate sale of the option shares through a broker approved by us, through a net exercise procedure or by any other method permitted by applicable law.</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Stock Options. </w:t>
      </w:r>
      <w:r>
        <w:rPr>
          <w:rFonts w:ascii="Times New Roman" w:cs="Times New Roman" w:eastAsia="Times New Roman" w:hAnsi="Times New Roman"/>
          <w:sz w:val="18"/>
          <w:szCs w:val="18"/>
          <w:color w:val="auto"/>
        </w:rPr>
        <w:t>The aggregate fair market value, determined at the time of grant, of the Company’s Common Stock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An SAR provides the recipient with the right to the appreciation in a specified number of shares of stock.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Plan Administrator determines the exercise price of SARs granted under the Incentive Award Plan, which may not be less than 100% of the fair market value of the Company’s Common Stock on the date of grant. Subject to limited exceptions, an SAR may have a term of up to 10 years and will generally expire sooner if the recipient’s service terminates. SARs will vest at the rate determined by the Incentive Award Plan Administrator. Upon exercise of a SAR, the recipient will receive an amount in cash, stock, or a combination of stock and cash determined by the Incentive Award Plan Administrator, equal to the excess of the fair market value of the shares being exercised over their exercise price.</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Shares of restricted stock may be issued under the Incentive Award Plan for such consideration as the Incentive Award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including cash, services rendered or to be rendered to the Company or such other forms of consideration permitted under applicable law. Restricted shares may be subject to vesting, as determined by the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An RSU is a right to receive a share, at no cost to the recipient, upon satisfaction of certain conditions, including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established by the Incentive Award Plan Administrator. RSUs vest at the rate determined by the Incentive Award Plan Administrator and any unvested RSUs will generally be forfeited upon termination of the recipient’s service. Settlement of RSUs may be made in the form of cash, stock or a combination of cash and stock, as determined by the Incentive Award Plan Administrator. Recipients of RSUs generally will have no voting or dividend rights prior to the time the vesting conditions are satisfied and the award is settled. At the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8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Incentive Award Plan Administrator may grant other awards based in whole or in part by reference to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may grant awards under other plans and programs that will be settled with shares issued under the Incentive Award Plan. The Incentive Award Plan Administrator will determine the terms and conditions of any such awards.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6" w:name="page97"/>
    <w:bookmarkEnd w:id="96"/>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of certain changes in capitalization, including a stock split, reverse stock split or stock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proportionate adjustments will be made in the number and kind of shares available for issuance under the Incentive Award Plan, the limit on the number of shares that may be issued under the Incentive Award Plan as ISOs, the number and kind of shares subject to each outstanding award and/or the exercise price of each outstanding award.</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If the Company is party to a merger, consolidation or certain change in control transactions, each outstanding award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described in the definitive transaction agreement or as the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The Incentive Award Plan Administrator may provide, in an individual award agreement or in any other written agreement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that the award will be subject to acceleration of vesting and exercisability in the event of a change in control or in connection with a termination of employment in connection with or following a change in control.</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Unless the Incentive Award Plan Administrator determines otherwise, an award generally will not be transferable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beneficiary designation, a will or the laws of descent and distribution. The Incentive Award Plan Administrator may permit transfer of an award in a manner consistent with applicable law.</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Incentive Award Plan Administrator may amend or terminate the Incentive Award Plan at any time.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termination will not affect outstanding awards. If not sooner terminated, the Incentive Award Plan will terminate automatically 10 years after its adoption by the ATSP Board. Shareholder approval is not required for any amendment of the Incentive Award Plan, unless required by applicable law, government regulation or exchange listing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Aspects of Awards Under the Incentive Award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is a brief summary of the U.S. federal income tax aspects of awards that may be made under the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Incentive Award Plan should consult their own professional tax advisors concerning tax aspects of awards under the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Incentive Award Plan depend upon the type of award. Changes to tax laws following the date of this prospectus could alter the tax consequences described below.</w:t>
      </w:r>
    </w:p>
    <w:p>
      <w:pPr>
        <w:spacing w:after="0" w:line="18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No taxable income is recognized by an optionee upon the grant or vesting of an ISO, and no taxable income is recognized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7" w:name="page98"/>
    <w:bookmarkEnd w:id="97"/>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No taxable income is recognized by an optionee upon the grant or vesting of an NSO, provided the NSO does not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participant who receives an award of restricted stock generally does not recognize taxable income at the time of the award. Instead,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In general, no taxable income results upon the grant of an RSU. The recipient will generally recognize ordinary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In general, no taxable income results upon the grant of a SAR. A participant will generally recognize ordinary income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of exercise equal to the value of the shares or other consideration received. In the case of a current or former employee, this amount is subject to withholding.</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The foregoing description assumes that Section 409A of the Code does not apply to an award. In general, options and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 (b) 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8"/>
          <w:szCs w:val="18"/>
          <w:i w:val="1"/>
          <w:iCs w:val="1"/>
          <w:color w:val="auto"/>
        </w:rPr>
        <w:t>in addition to</w:t>
      </w:r>
      <w:r>
        <w:rPr>
          <w:rFonts w:ascii="Times New Roman" w:cs="Times New Roman" w:eastAsia="Times New Roman" w:hAnsi="Times New Roman"/>
          <w:sz w:val="18"/>
          <w:szCs w:val="18"/>
          <w:color w:val="auto"/>
        </w:rPr>
        <w:t xml:space="preserve"> the U.S. federal income tax at the participant’s usual marginal rate for ordinary income.</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Treatment of the Company. </w:t>
      </w:r>
      <w:r>
        <w:rPr>
          <w:rFonts w:ascii="Times New Roman" w:cs="Times New Roman" w:eastAsia="Times New Roman" w:hAnsi="Times New Roman"/>
          <w:sz w:val="18"/>
          <w:szCs w:val="18"/>
          <w:color w:val="auto"/>
        </w:rPr>
        <w:t>The Company will generally be entitled to an income tax deduction at the time and to the extent a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ordinary income as a result of an award granted under the Incentive Award Plan. However, Section 162(m) of the Code may limit the deductibility of certain awards granted under the Incentive Award Plan. Although the Incentive Award Plan Administrator considers the deductibility of compensation as one factor in determining executive compensation, the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Award Plan Benefits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Benefits to be received under the Incentive Award Plan are not determinable since they depend on discretionary decisions to be made by the Incentive Award Plan Administrator regarding which participants are selected and what awards are made under the Incentive Award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Registration with the SEC</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file a registration statement on Form S-8 registering the shares of the Company’s Common Stock reserved for issuance under the Incentive Award Plan as soon as reasonably practicable after we become eligible to use such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Employee Stock Purchase Plan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is described in more detail below.</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Overview</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approved and adopted, and ATSP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 Purpose of the ESPP</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ATSP believes that the ESPP will be important in helping to attract and retain employees of the Company.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 Reasons for the Approval of the ESPP</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 Summary of the ESPP’s Material Terms and Features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9" w:name="page100"/>
    <w:bookmarkEnd w:id="99"/>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ESPP is intended to qualify as an “employee stock purchase plan” under Section 423 of the Code; however, the ESPP also allows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ESPP will be administered by the Company’s Board or by one or more committees to which the board of directors delegates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Shares Available for Issuance. </w:t>
      </w:r>
      <w:r>
        <w:rPr>
          <w:rFonts w:ascii="Times New Roman" w:cs="Times New Roman" w:eastAsia="Times New Roman" w:hAnsi="Times New Roman"/>
          <w:sz w:val="18"/>
          <w:szCs w:val="18"/>
          <w:color w:val="auto"/>
        </w:rPr>
        <w:t>Up to a maximum of two percent (2%) of the aggregate number of shares of the Company’s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and outstanding immediately after the Closing (as calculated after giving effect to the Redemption) may be issued under the ESPP, plus an annual increase in shares described below.</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 Class A Common Stock determined by the Company’s Board. Shares of the Company’s Class A Common Stock issued under the ESPP may be authorized but unissued shares or treasury shares. As of the date hereof, no rights to purchase shares have been granted under the ESPP.</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Eligibility and Participation. </w:t>
      </w:r>
      <w:r>
        <w:rPr>
          <w:rFonts w:ascii="Times New Roman" w:cs="Times New Roman" w:eastAsia="Times New Roman" w:hAnsi="Times New Roman"/>
          <w:sz w:val="18"/>
          <w:szCs w:val="18"/>
          <w:color w:val="auto"/>
        </w:rPr>
        <w:t>All employees (including officers and employee directors) who are employed by the Company or a designated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approximately 165 employees (including 3 executive officers, one of which is an employee director) as eligible participants.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0" w:name="page101"/>
    <w:bookmarkEnd w:id="100"/>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Participation. </w:t>
      </w:r>
      <w:r>
        <w:rPr>
          <w:rFonts w:ascii="Times New Roman" w:cs="Times New Roman" w:eastAsia="Times New Roman" w:hAnsi="Times New Roman"/>
          <w:sz w:val="18"/>
          <w:szCs w:val="18"/>
          <w:color w:val="auto"/>
        </w:rPr>
        <w:t>To provide the Company with greater flexibility in structuring its equity compensation programs for non-U.S.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Price. </w:t>
      </w:r>
      <w:r>
        <w:rPr>
          <w:rFonts w:ascii="Times New Roman" w:cs="Times New Roman" w:eastAsia="Times New Roman" w:hAnsi="Times New Roman"/>
          <w:sz w:val="18"/>
          <w:szCs w:val="18"/>
          <w:color w:val="auto"/>
        </w:rPr>
        <w:t>The ESPP will be implemented through a series of offering periods of up to twenty-seven (27) months,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in Capital Structure. </w:t>
      </w:r>
      <w:r>
        <w:rPr>
          <w:rFonts w:ascii="Times New Roman" w:cs="Times New Roman" w:eastAsia="Times New Roman" w:hAnsi="Times New Roman"/>
          <w:sz w:val="18"/>
          <w:szCs w:val="18"/>
          <w:color w:val="auto"/>
        </w:rPr>
        <w:t>In the event that there is a specified type of change in the Company’s capital structure, such as a stock split,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Reorganization. </w:t>
      </w:r>
      <w:r>
        <w:rPr>
          <w:rFonts w:ascii="Times New Roman" w:cs="Times New Roman" w:eastAsia="Times New Roman" w:hAnsi="Times New Roman"/>
          <w:sz w:val="18"/>
          <w:szCs w:val="18"/>
          <w:color w:val="auto"/>
        </w:rPr>
        <w:t>In the event of certain corporate reorganizations, any offering period then in progress will terminate unless the ESPP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8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ESPP Administrator will have the right to amend, suspend or terminate the ESPP at any time. Any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number of shares to be issued under the ESPP is subject to shareholder approval except for (a) the automatic annual increase in shares and</w:t>
      </w:r>
    </w:p>
    <w:p>
      <w:pPr>
        <w:ind w:firstLine="8"/>
        <w:spacing w:after="0" w:line="260"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increase resulting from changes in the Company’s capital structure. Any other amendment to the ESPP is subject to shareholder approval only to the extent required under applicable law or regulation. The ESPP will terminate automatically 10 years after its adoption by the Board.</w:t>
      </w:r>
    </w:p>
    <w:p>
      <w:pPr>
        <w:spacing w:after="0" w:line="181" w:lineRule="exact"/>
        <w:rPr>
          <w:rFonts w:ascii="Times New Roman" w:cs="Times New Roman" w:eastAsia="Times New Roman" w:hAnsi="Times New Roman"/>
          <w:sz w:val="18"/>
          <w:szCs w:val="18"/>
          <w:color w:val="auto"/>
        </w:rPr>
      </w:pPr>
    </w:p>
    <w:p>
      <w:pPr>
        <w:ind w:left="1140" w:hanging="268"/>
        <w:spacing w:after="0"/>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Income Tax Consequences of Participating in the ESPP</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i w:val="1"/>
          <w:iCs w:val="1"/>
          <w:color w:val="auto"/>
        </w:rPr>
        <w:t>U.S. Component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Payroll deductions under the ESPP are made on an after-tax basis (i.e., contributions to the ESPP do not reduce a participant’s taxable income).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Component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to ATSP</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no federal income tax consequences to ATSP by reason of the grant or exercise of rights under the ESPP. ATSP is generally entitled to a deduction to the extent amounts are taxed as ordinary income to a participant in connection with a sale or disposition of shares prior to satisfaction of the holding periods described above.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 New Plan Benefits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Benefits to be received under the ESPP are not determinable since they depend on terms to be established by the Company and discretionary participant elections whether and to what extent to participate in the ESPP.</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 Registration with the SEC</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file a registration statement on Form S-8 registering the shares of the Company’s Class A Common Stock reserved for issuance under the ESPP as soon as reasonably practicable after we become eligible to use such 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each transaction since January 1, 2018 and each currently proposed transaction in which:</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has been or is to be a participant;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the lesser of (a) $120,000 or (b) one percent of the average of SoundHound’s total assets at year-end for the fiscal years ended December 31, 2020, 2019 and 2018;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January 1, 2018, in connection with the equity financing rounds in which SoundHound has engaged since that date, SoundHound has entered into the following agreements with investors in such financings that including holders of more than 5% of SoundHound’s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investors’ rights agreement (the “Investors’ Rights Agreement”) with certain holders of SoundHound’s capital stock. The Investors’ Rights Agreement provides for, among other things, certain preemptive rights and demand and S-3 registration rights. The following directors, executive officers and holders of more than 5% of SoundHound capital stock and their affiliates are parties to the Investors’ Rights Agreement:</w:t>
      </w:r>
    </w:p>
    <w:p>
      <w:pPr>
        <w:spacing w:after="0" w:line="18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Investors’ Rights Agreement terminated upon the Closing of the Business Combination.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voting agreement (the “Voting Agreement”) with certain holders of SoundHound’s capital stock. The Voting Agreement provides for, among other things, holders party thereto with certain voting rights in accordance with its terms, including in matters related to the composition of the SoundHound Board. The following directors, executive officers and holders of more than 5% of SoundHound capital stock and their affiliates are parties to the Voting Agreement:</w:t>
      </w:r>
    </w:p>
    <w:p>
      <w:pPr>
        <w:spacing w:after="0" w:line="18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Voting Agreement terminated upon the Closing of the Business Combination.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issuances of shares of its Series D-3 Preferred Stock in August 2020, SoundHound entered into an amended and restated right of first refusal and co-sale agreement (the “Co-Sale Agreement”) with certain holders of SoundHound’s capital stock. The following directors, executive officers and holders of more than 5% of SoundHound capital stock and their affiliates are parties to the Co-Sale Agreement:</w:t>
      </w:r>
    </w:p>
    <w:p>
      <w:pPr>
        <w:spacing w:after="0" w:line="17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Larry Marcus;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Partners III, L.P.;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Kamran Elahian;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Walden Venture Capital VII, L.P.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Co-Sale Agreement terminated upon the Closing of the Business Combination.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certain holders of SoundHound’s capital stock entered into an amended and restated registration rights agreement prior to the Closing with certain existing stockholders of ATSP with respect to the shares of Class A Common Stock they owned at the Closing, and with certain SoundHound stockholders. The Amended and Restated Registration Rights Agreement requires ATSP to, among other things, file a resale shelf registration statement on behalf of the stockholders no later than 60 days after the Closing. The Amended and Restated Registration Rights Agreement also provides certain demand registration rights and piggyback registration rights to the stockholders, subject to underwriter cutbacks and issuer blackout periods. ATSP will agree to pay certain fees and expenses relating to registrations under the Amended and Restated Registration Rights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SoundHound’s Engagement of Guggenheim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2021, SoundHound entered into an engagement letter (the “Guggenheim Engagement Letter”) pursuant to which SoundHound engaged Guggenheim Securities to act as (a) SoundHound’s financial advisor in connection with the Business Combination and (b) SoundHound’s capital markets advisor with respect to the PIPE Investment. Upon consummation of the Business Combination, Guggenheim Securities received certain agreed upon fees in consideration of its services pursuant to the Guggenheim Engagement Letter. In addition, SoundHound has agreed to reimburse Guggenheim Securities for certain expenses and to indemnify Guggenheim Securities against certain liabilities arising out of its engagement.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brother of Larry Marcus, one of the members of SoundHound’s Board of Directors, is a Senior Advisor to Guggenheim Securities, a stockholder of SoundHound and a member of the Guggenheim Securities investment banking team that has been engaged by SoundHound pursuant to the Guggenheim Engagement Letter. Mr. Marcus’ brother is also an investor in SoundHound (holding less than 5% of SoundHound’s outstanding capital stock) and an advisor to SoundHound (in consideration for which advisory services he received, in 2011, options to purchase shares of SoundHound common stock. In addition, Mr. Marcus’ brother separately owns an indirect equity stake in SoundHound that represents, in aggregate with the shares of SoundHound common stock he holds after exercising the options, an equity interest of less than one half of 1% of the total outstanding capital stock of SoundHound. Mr. Marcus did not participate in SoundHound’s decision to engage Guggenheim Securities and disclosed the fact that his brother would be involved in the advisory services to be provided by Guggenheim Securities to SoundHound pursuant to the Guggenheim Engagement Letter in advance of the determination by SoundHound’s Board of Directors to engage Guggenheim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SoundHound AI has adopted a written related person transaction policy that sets forth the following policies and procedures for the review and approval or ratification of related person transactions.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17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SoundHound AI’s officers or one of the SoundHound AI’s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SoundHound AI to be the beneficial owner of more than five percent (5%) of its voting stock;</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 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 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8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SoundHound AI;</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ATSP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were not exercised in full). On March 19, 2021, the underwriters partially exercised the over-allotment option to purchase 1,300,000 public Units. As a result, 125,000 founder shares were forfeited.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Units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IPO, ATSP consummated the sale of 390,000 Private Units at a price of $10.00 per Private Unit in a private placement to the Sponsor and EarlyBirdCapital, Inc., generating gross proceeds of $3,900,000. Each Private Unit consists of (i) one Subunit, which consists of one share of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4, 2021, the Sponsor agreed to loan ATSP up to $300,000 to be used for a portion of the expenses of the IPO (the “Promissory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loans were non-interest bearing, unsecured and were due at the earlier of March 31, 2021 or the closing of the IPO.</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At the closing of the Business Combination, no such working capital loans were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Common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2022 by:</w:t>
      </w:r>
    </w:p>
    <w:p>
      <w:pPr>
        <w:spacing w:after="0" w:line="11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Common Stock;</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percentage of beneficial ownership is based on 196,187,040 shares of Company common stock issued and outstanding as of June 22, 2022, which calculation includes (i) 155,790,440 shares of the Company’s Class A Common Stock and (ii) 40,396,600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SEC rules, shares of our common stock which may be acquired upon exercise of stock options or warrants which are currently exercisable or which become exercisable within 60 days of the date of the Closing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3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Class A</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45"/>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5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 Class</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Class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Voting Power</w:t>
            </w:r>
          </w:p>
        </w:tc>
      </w:tr>
      <w:tr>
        <w:trPr>
          <w:trHeight w:val="256"/>
        </w:trPr>
        <w:tc>
          <w:tcPr>
            <w:tcW w:w="4360" w:type="dxa"/>
            <w:vAlign w:val="bottom"/>
            <w:tcBorders>
              <w:top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9"/>
                <w:szCs w:val="29"/>
                <w:b w:val="1"/>
                <w:bCs w:val="1"/>
                <w:color w:val="auto"/>
                <w:vertAlign w:val="superscript"/>
              </w:rPr>
              <w:t>(7)</w:t>
            </w: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4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Keyvan Mohajer</w:t>
            </w:r>
            <w:r>
              <w:rPr>
                <w:rFonts w:ascii="Times New Roman" w:cs="Times New Roman" w:eastAsia="Times New Roman" w:hAnsi="Times New Roman"/>
                <w:sz w:val="29"/>
                <w:szCs w:val="29"/>
                <w:color w:val="auto"/>
                <w:vertAlign w:val="superscript"/>
              </w:rPr>
              <w:t>(1)</w:t>
            </w:r>
          </w:p>
        </w:tc>
        <w:tc>
          <w:tcPr>
            <w:tcW w:w="1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833,435</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16,639,064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5,173,780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57"/>
        </w:trPr>
        <w:tc>
          <w:tcPr>
            <w:tcW w:w="4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Larry Marcus</w:t>
            </w:r>
            <w:r>
              <w:rPr>
                <w:rFonts w:ascii="Times New Roman" w:cs="Times New Roman" w:eastAsia="Times New Roman" w:hAnsi="Times New Roman"/>
                <w:sz w:val="29"/>
                <w:szCs w:val="29"/>
                <w:color w:val="auto"/>
                <w:vertAlign w:val="superscript"/>
              </w:rPr>
              <w:t>(2)</w:t>
            </w:r>
          </w:p>
        </w:tc>
        <w:tc>
          <w:tcPr>
            <w:tcW w:w="1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919,751</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R. Ball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Dr. Seyed Majid Emami</w:t>
            </w:r>
            <w:r>
              <w:rPr>
                <w:rFonts w:ascii="Times New Roman" w:cs="Times New Roman" w:eastAsia="Times New Roman" w:hAnsi="Times New Roman"/>
                <w:sz w:val="29"/>
                <w:szCs w:val="29"/>
                <w:color w:val="auto"/>
                <w:vertAlign w:val="superscript"/>
              </w:rPr>
              <w:t>(3)</w:t>
            </w: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666,748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18,583,756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Zubin Irani</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Timothy Stonehocker</w:t>
            </w:r>
            <w:r>
              <w:rPr>
                <w:rFonts w:ascii="Times New Roman" w:cs="Times New Roman" w:eastAsia="Times New Roman" w:hAnsi="Times New Roman"/>
                <w:sz w:val="29"/>
                <w:szCs w:val="29"/>
                <w:color w:val="auto"/>
                <w:vertAlign w:val="superscript"/>
              </w:rPr>
              <w:t>(4)</w:t>
            </w: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1,508,000</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Michael Zagorsek</w:t>
            </w:r>
            <w:r>
              <w:rPr>
                <w:rFonts w:ascii="Times New Roman" w:cs="Times New Roman" w:eastAsia="Times New Roman" w:hAnsi="Times New Roman"/>
                <w:sz w:val="29"/>
                <w:szCs w:val="29"/>
                <w:color w:val="auto"/>
                <w:vertAlign w:val="superscript"/>
              </w:rPr>
              <w:t>(5)</w:t>
            </w: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839,219</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directors and executive officers as a group (10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individuals)</w:t>
            </w:r>
          </w:p>
        </w:tc>
        <w:tc>
          <w:tcPr>
            <w:tcW w:w="1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12,041,153</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40,396,600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Global Catalyst Partners III, L.P.</w:t>
            </w:r>
            <w:r>
              <w:rPr>
                <w:rFonts w:ascii="Times New Roman" w:cs="Times New Roman" w:eastAsia="Times New Roman" w:hAnsi="Times New Roman"/>
                <w:sz w:val="29"/>
                <w:szCs w:val="29"/>
                <w:color w:val="auto"/>
                <w:vertAlign w:val="superscript"/>
              </w:rPr>
              <w:t>(6)</w:t>
            </w:r>
          </w:p>
        </w:tc>
        <w:tc>
          <w:tcPr>
            <w:tcW w:w="15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35,188,205</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78308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4"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833,435 shares of Class A Common Stock, issuable upon exercise of stock options which are currently exercisable.</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securities held by Marcus Family Trust, dated 7/8/04, of which Larry Marcus is a trustee. Mr. Marcus disclaims beneficial ownership of these shares except to the extent of any pecuniary interest he may have therein. Does not include securities held of record by Walden Sprout Opportunities Fund-A, LLC. Because Larry Marcus is one of three managing members of such Fund, he is not deemed to be a beneficial owner of the securities held by such Fund. Mr. Marcus’s business address is 2105 Woodside Rd, Woodside, CA 94062.</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666,748 shares of Class A Common Stock, issuable upon exercise of stock options which are currently exercisable.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757,037 shares subject to options that are exercisable within 60 days.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839,219 shares subject to options that are exercisable within 60 days.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certain restricted stock units which will be issued under the SoundHound AI, Inc. 2022 Incentive Award Plan, which grants will be made after a Form S-8 is on file with the Securities and Exchange Commission to register shares under such plan.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52"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resale of an aggregate of up to (i) 56,834,904 Class A Shares by Selling Securityholders (ii) the resale by certain of our affiliates from time to time of up to 40,396,600 Class A Shares issuable upon conversion of shares of Class B Shares, (iii) the resale from time to time of up to 208,000 Placement Warrants and (iv) the issuance by us of up to 3,532,984 Class A Shares upon the exercise of outstanding Public Warrants and Placement Warrants. The Selling Securityholders may from time to time offer and sell any or all of the shares of Class A Common Stock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Common Stock or Warrants other than through a public sale. We are also registering the issuance of shares of Class A Common Stock issuable on exercise of Warrants as required by the Warrant Agreement by and between ATSP and Continental Stock Transfer &amp; Trust Company.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Securityholders and other information regarding the beneficial ownership of the shares of Common Stock by each of the Selling Securityholders. Percentage of beneficial ownership of shares of Class A Common Stock by a Selling Securityholder after this offering is based on 155,790,440 shares of Class A Common Stock issued and outstanding on June 22, 2022. Additionally, in determining the percentage beneficial ownership of shares of Class A Common Stock of a Selling Securityholder shares of Class A Common Stock issuable to such Selling Securityholder upon the exercise of stock options are included in the number of issued and outstanding shares of Class A Common Stock for such Selling Securityholder, but not stock options held by any other Selling Securityholder.</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8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Owned</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4"/>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Owned prior</w:t>
            </w:r>
          </w:p>
        </w:tc>
        <w:tc>
          <w:tcPr>
            <w:tcW w:w="2220" w:type="dxa"/>
            <w:vAlign w:val="bottom"/>
            <w:gridSpan w:val="5"/>
          </w:tcPr>
          <w:p>
            <w:pPr>
              <w:jc w:val="center"/>
              <w:ind w:right="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 be Sold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this Offering</w:t>
            </w: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this Offering</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4"/>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7"/>
              </w:rPr>
              <w:t>after this Offering</w:t>
            </w:r>
            <w:r>
              <w:rPr>
                <w:rFonts w:ascii="Times New Roman" w:cs="Times New Roman" w:eastAsia="Times New Roman" w:hAnsi="Times New Roman"/>
                <w:sz w:val="29"/>
                <w:szCs w:val="29"/>
                <w:b w:val="1"/>
                <w:bCs w:val="1"/>
                <w:color w:val="auto"/>
                <w:w w:val="97"/>
                <w:vertAlign w:val="superscript"/>
              </w:rPr>
              <w:t>(1)</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 and Addresses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 Gassar International Limited</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Kauffman**</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Jordan</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Arvind Reddy Ramalingam</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Balasubramanya Bhat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Blythe Elizabeth Edwards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97,676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6,037</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97,676</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Callinicos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Bryant B. Edwards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181,399</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11,213</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181,399</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11,213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CDRD Irrevocable Trust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Albeck</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Colleen McGlynn**</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 Trust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204,250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204,250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 Sheehan</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Nussbaum**</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54,000</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w w:val="99"/>
              </w:rPr>
              <w:t>Cota Capital Master Fund, L.P.</w:t>
            </w:r>
            <w:r>
              <w:rPr>
                <w:rFonts w:ascii="Times New Roman" w:cs="Times New Roman" w:eastAsia="Times New Roman" w:hAnsi="Times New Roman"/>
                <w:sz w:val="29"/>
                <w:szCs w:val="29"/>
                <w:color w:val="auto"/>
                <w:w w:val="99"/>
                <w:vertAlign w:val="superscript"/>
              </w:rPr>
              <w:t>(2)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2,038,595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1,738,595</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5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Delphi Asset Management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5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Corporation</w:t>
            </w:r>
            <w:r>
              <w:rPr>
                <w:rFonts w:ascii="Times New Roman" w:cs="Times New Roman" w:eastAsia="Times New Roman" w:hAnsi="Times New Roman"/>
                <w:sz w:val="29"/>
                <w:szCs w:val="29"/>
                <w:color w:val="auto"/>
                <w:vertAlign w:val="superscript"/>
              </w:rPr>
              <w:t>(2)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Rogers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Keyvan Mohajer</w:t>
            </w:r>
            <w:r>
              <w:rPr>
                <w:rFonts w:ascii="Times New Roman" w:cs="Times New Roman" w:eastAsia="Times New Roman" w:hAnsi="Times New Roman"/>
                <w:sz w:val="29"/>
                <w:szCs w:val="29"/>
                <w:color w:val="auto"/>
                <w:vertAlign w:val="superscript"/>
              </w:rPr>
              <w:t>(3)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17,472,499</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17,472,499</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Majid Emami</w:t>
            </w:r>
            <w:r>
              <w:rPr>
                <w:rFonts w:ascii="Times New Roman" w:cs="Times New Roman" w:eastAsia="Times New Roman" w:hAnsi="Times New Roman"/>
                <w:sz w:val="29"/>
                <w:szCs w:val="29"/>
                <w:color w:val="auto"/>
                <w:vertAlign w:val="superscript"/>
              </w:rPr>
              <w:t>(4)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19,250,504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19,250,504</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EarlyBirdCapital, Inc.</w:t>
            </w:r>
            <w:r>
              <w:rPr>
                <w:rFonts w:ascii="Times New Roman" w:cs="Times New Roman" w:eastAsia="Times New Roman" w:hAnsi="Times New Roman"/>
                <w:sz w:val="29"/>
                <w:szCs w:val="29"/>
                <w:color w:val="auto"/>
                <w:vertAlign w:val="superscript"/>
              </w:rPr>
              <w:t>(5)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251,300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33,250</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251,300</w:t>
            </w: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33,250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 Kovary**</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Eileen Moore**</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7"/>
        </w:trPr>
        <w:tc>
          <w:tcPr>
            <w:tcW w:w="2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Owned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Owned prior</w:t>
            </w:r>
          </w:p>
        </w:tc>
        <w:tc>
          <w:tcPr>
            <w:tcW w:w="2240" w:type="dxa"/>
            <w:vAlign w:val="bottom"/>
            <w:gridSpan w:val="5"/>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 be Sold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this Offering</w:t>
            </w: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this Offering</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7"/>
              </w:rPr>
              <w:t>after this Offering</w:t>
            </w:r>
            <w:r>
              <w:rPr>
                <w:rFonts w:ascii="Times New Roman" w:cs="Times New Roman" w:eastAsia="Times New Roman" w:hAnsi="Times New Roman"/>
                <w:sz w:val="29"/>
                <w:szCs w:val="29"/>
                <w:b w:val="1"/>
                <w:bCs w:val="1"/>
                <w:color w:val="auto"/>
                <w:w w:val="97"/>
                <w:vertAlign w:val="superscript"/>
              </w:rPr>
              <w:t>(1)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 and Addresses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Gutkind</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Gleeson Cox**</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Global Catalyst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Partners III, L.P.</w:t>
            </w:r>
            <w:r>
              <w:rPr>
                <w:rFonts w:ascii="Times New Roman" w:cs="Times New Roman" w:eastAsia="Times New Roman" w:hAnsi="Times New Roman"/>
                <w:sz w:val="29"/>
                <w:szCs w:val="29"/>
                <w:color w:val="auto"/>
                <w:vertAlign w:val="superscript"/>
              </w:rPr>
              <w:t>(2)(6)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35,188,205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35,188,205</w:t>
            </w:r>
          </w:p>
        </w:tc>
        <w:tc>
          <w:tcPr>
            <w:tcW w:w="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Gopi Rao</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Stoupnitzky**</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Harald Link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HTC (BVI) Corp.</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5,931.938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5,831,938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 CAPITAL PR LLC</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Jackie Chang**</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Jagannadha Sri Harsha Putrevu</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Jalender Reddy Musku</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Wade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Jillian Carter**</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 Mongiello**</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 Ming Chan</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Laxminarayan Chavani</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Long</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484,963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484,963</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Lorenzen Family Holdings,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Luc Julia</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Hom</w:t>
            </w:r>
            <w:r>
              <w:rPr>
                <w:rFonts w:ascii="Times New Roman" w:cs="Times New Roman" w:eastAsia="Times New Roman" w:hAnsi="Times New Roman"/>
                <w:sz w:val="29"/>
                <w:szCs w:val="29"/>
                <w:color w:val="auto"/>
                <w:vertAlign w:val="superscript"/>
              </w:rPr>
              <w:t>(7)</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5,173,780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5,173,780</w:t>
            </w:r>
          </w:p>
        </w:tc>
        <w:tc>
          <w:tcPr>
            <w:tcW w:w="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Wade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M&amp;F Fund I LP</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Maheedhar Gunturu</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Van Tricht**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Cangemi**</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Marcus Family Trust, dated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7/8/04</w:t>
            </w:r>
            <w:r>
              <w:rPr>
                <w:rFonts w:ascii="Times New Roman" w:cs="Times New Roman" w:eastAsia="Times New Roman" w:hAnsi="Times New Roman"/>
                <w:sz w:val="29"/>
                <w:szCs w:val="29"/>
                <w:color w:val="auto"/>
                <w:vertAlign w:val="superscript"/>
              </w:rPr>
              <w:t>(8)</w:t>
            </w: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919,751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919,751</w:t>
            </w:r>
          </w:p>
        </w:tc>
        <w:tc>
          <w:tcPr>
            <w:tcW w:w="4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3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106</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Owned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4"/>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Owned prior</w:t>
            </w:r>
          </w:p>
        </w:tc>
        <w:tc>
          <w:tcPr>
            <w:tcW w:w="2200" w:type="dxa"/>
            <w:vAlign w:val="bottom"/>
            <w:gridSpan w:val="5"/>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 be Sold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4"/>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this Offering</w:t>
            </w: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this Offering</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7"/>
              </w:rPr>
              <w:t>after this Offering</w:t>
            </w:r>
            <w:r>
              <w:rPr>
                <w:rFonts w:ascii="Times New Roman" w:cs="Times New Roman" w:eastAsia="Times New Roman" w:hAnsi="Times New Roman"/>
                <w:sz w:val="29"/>
                <w:szCs w:val="29"/>
                <w:b w:val="1"/>
                <w:bCs w:val="1"/>
                <w:color w:val="auto"/>
                <w:w w:val="97"/>
                <w:vertAlign w:val="superscript"/>
              </w:rPr>
              <w:t>(1)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Class A</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 and Addresses</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Mauro Conijeski**</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Mayank Kaul</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Melvin Honda</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Meteora Capital Partners, LP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Zagorsek</w:t>
            </w:r>
            <w:r>
              <w:rPr>
                <w:rFonts w:ascii="Times New Roman" w:cs="Times New Roman" w:eastAsia="Times New Roman" w:hAnsi="Times New Roman"/>
                <w:sz w:val="29"/>
                <w:szCs w:val="29"/>
                <w:color w:val="auto"/>
                <w:vertAlign w:val="superscript"/>
              </w:rPr>
              <w:t>(9)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1,139,030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1,139,030</w:t>
            </w:r>
          </w:p>
        </w:tc>
        <w:tc>
          <w:tcPr>
            <w:tcW w:w="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Zabaneh</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MKaNN LLC</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3,198,444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3,098,444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Naveen Adibhatla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Nikesh Mukesh Jain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Nitesh Sharan</w:t>
            </w:r>
            <w:r>
              <w:rPr>
                <w:rFonts w:ascii="Times New Roman" w:cs="Times New Roman" w:eastAsia="Times New Roman" w:hAnsi="Times New Roman"/>
                <w:sz w:val="29"/>
                <w:szCs w:val="29"/>
                <w:color w:val="auto"/>
                <w:vertAlign w:val="superscript"/>
              </w:rPr>
              <w:t>(10)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308,677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308,677</w:t>
            </w:r>
          </w:p>
        </w:tc>
        <w:tc>
          <w:tcPr>
            <w:tcW w:w="4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 Family Irrevocable Trust,</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dated 02-22-2021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Patanjali Peri</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Jordan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Pavan Reddy</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Pejman Capital, LLC</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496,293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396,293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Provco Ventures I, LP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QFB Tech LP</w:t>
            </w:r>
            <w:r>
              <w:rPr>
                <w:rFonts w:ascii="Times New Roman" w:cs="Times New Roman" w:eastAsia="Times New Roman" w:hAnsi="Times New Roman"/>
                <w:sz w:val="29"/>
                <w:szCs w:val="29"/>
                <w:color w:val="auto"/>
                <w:vertAlign w:val="superscript"/>
              </w:rPr>
              <w:t>(2)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Qualcomm Ventures LLC</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Rajan Pai</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Ralph Kuskye Jr.</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Michael Powell**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Gladstone**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Perkes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Sasidhar Gunturu</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Seshu Kalluri</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Sharny Cherie Kieser</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SOMPO Light Vortex Inc.</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Sophia Laurice Casey Cannon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Spring Creek Capital, LLC</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 Cannon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34,962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34,962</w:t>
            </w:r>
          </w:p>
        </w:tc>
        <w:tc>
          <w:tcPr>
            <w:tcW w:w="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Levine**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Structural Capital</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 III, LP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279,394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179,394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Subramanian Srinivasan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Securities Owned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Owned prior</w:t>
            </w:r>
          </w:p>
        </w:tc>
        <w:tc>
          <w:tcPr>
            <w:tcW w:w="2220" w:type="dxa"/>
            <w:vAlign w:val="bottom"/>
            <w:gridSpan w:val="4"/>
          </w:tcPr>
          <w:p>
            <w:pPr>
              <w:jc w:val="center"/>
              <w:ind w:right="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 be Sold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 this Offering</w:t>
            </w: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this Offering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ind w:left="320"/>
              <w:spacing w:after="0" w:line="270" w:lineRule="exact"/>
              <w:rPr>
                <w:sz w:val="20"/>
                <w:szCs w:val="20"/>
                <w:color w:val="auto"/>
              </w:rPr>
            </w:pPr>
            <w:r>
              <w:rPr>
                <w:rFonts w:ascii="Times New Roman" w:cs="Times New Roman" w:eastAsia="Times New Roman" w:hAnsi="Times New Roman"/>
                <w:sz w:val="18"/>
                <w:szCs w:val="18"/>
                <w:b w:val="1"/>
                <w:bCs w:val="1"/>
                <w:color w:val="auto"/>
              </w:rPr>
              <w:t>after this Offering</w:t>
            </w:r>
            <w:r>
              <w:rPr>
                <w:rFonts w:ascii="Times New Roman" w:cs="Times New Roman" w:eastAsia="Times New Roman" w:hAnsi="Times New Roman"/>
                <w:sz w:val="29"/>
                <w:szCs w:val="29"/>
                <w:b w:val="1"/>
                <w:bCs w:val="1"/>
                <w:color w:val="auto"/>
                <w:vertAlign w:val="superscript"/>
              </w:rPr>
              <w:t>(1)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top w:val="single" w:sz="8" w:color="auto"/>
            </w:tcBorders>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Shares of</w:t>
            </w: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 and Addresses</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1"/>
        </w:trPr>
        <w:tc>
          <w:tcPr>
            <w:tcW w:w="22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Ball Axline Living Trust,</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4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dated July 22, 2014</w:t>
            </w:r>
            <w:r>
              <w:rPr>
                <w:rFonts w:ascii="Times New Roman" w:cs="Times New Roman" w:eastAsia="Times New Roman" w:hAnsi="Times New Roman"/>
                <w:sz w:val="29"/>
                <w:szCs w:val="29"/>
                <w:color w:val="auto"/>
                <w:vertAlign w:val="superscript"/>
              </w:rPr>
              <w:t>(11)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560,250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560,250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Kollengode Family Trust,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dated April 8, 2022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Timothy Stonehocker</w:t>
            </w:r>
            <w:r>
              <w:rPr>
                <w:rFonts w:ascii="Times New Roman" w:cs="Times New Roman" w:eastAsia="Times New Roman" w:hAnsi="Times New Roman"/>
                <w:sz w:val="29"/>
                <w:szCs w:val="29"/>
                <w:color w:val="auto"/>
                <w:vertAlign w:val="superscript"/>
              </w:rPr>
              <w:t>(12)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1,556,621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1,556,621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Tracey Fezza**</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VIZIO Investments LLC</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Vijay Parthasarathy</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Vishwesh Pai</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4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Walden Sprout Opportunities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42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Fund-A, LLC</w:t>
            </w:r>
            <w:r>
              <w:rPr>
                <w:rFonts w:ascii="Times New Roman" w:cs="Times New Roman" w:eastAsia="Times New Roman" w:hAnsi="Times New Roman"/>
                <w:sz w:val="29"/>
                <w:szCs w:val="29"/>
                <w:color w:val="auto"/>
                <w:vertAlign w:val="superscript"/>
              </w:rPr>
              <w:t>(13)</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525,650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525,650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Wing Yee Teresa Yeung</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Worthy Ray Limited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Zubin Irani</w:t>
            </w:r>
            <w:r>
              <w:rPr>
                <w:rFonts w:ascii="Times New Roman" w:cs="Times New Roman" w:eastAsia="Times New Roman" w:hAnsi="Times New Roman"/>
                <w:sz w:val="29"/>
                <w:szCs w:val="29"/>
                <w:color w:val="auto"/>
                <w:vertAlign w:val="superscript"/>
              </w:rPr>
              <w:t>(14)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205,787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205,787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affiliate of EarlyBirdCapital, Inc.</w:t>
      </w:r>
    </w:p>
    <w:p>
      <w:pPr>
        <w:spacing w:after="0" w:line="9" w:lineRule="exact"/>
        <w:rPr>
          <w:sz w:val="20"/>
          <w:szCs w:val="20"/>
          <w:color w:val="auto"/>
        </w:rPr>
      </w:pPr>
    </w:p>
    <w:p>
      <w:pPr>
        <w:jc w:val="both"/>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when or in what amounts the Selling Securityholders will offer the resale securities for sale, if at all. The Selling Securityholders may sell any or all of the resale securities included in and offered by this prospectus. We cannot estimate the number of resale securities that will be held by the Selling Securityholders after completion of the offering. However, for purposes of this table, we have assumed that after completion of the offering all of the resale securities will have been sold by the Selling Securityholders.</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being registered in accordance with the terms of Subscription Agreements dated November 15, 2021 and April 9, 2022, by and between the Company and certain accredited investors.</w:t>
      </w:r>
    </w:p>
    <w:p>
      <w:pPr>
        <w:jc w:val="both"/>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16,639,064 shares of Class A Common Stock issuable upon conversion of 16,639,064 shares of Class B Common Stock of SoundHound AI. These securities are subject to a contractual lock-up for 12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 Also represents 833,435 shares of Class A Common Stock issuable upon exercise of stock options issued pursuant to the Merger Agreement in exchange for SoundHound options granted on March 28, 2017. The shares subject to the option vested 100% at grant date. Dr. Keyvan Mohajer has served as the Chief Executive Officer and a member of the board of directors of the Company since the Closing.</w:t>
      </w:r>
    </w:p>
    <w:p>
      <w:pPr>
        <w:spacing w:after="0" w:line="2"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18,583,756 shares of Class A Common Stock issuable upon conversion of 18,583,756 shares of Class B Common Stock of SoundHound AI. These securities are subject to a contractual lock-up for 6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 Also represents 666,748 shares of Class A Common Stock issuable upon exercise of stock options issued pursuant to the Merger Agreement in exchange for SoundHound options granted on March 28, 2017. The shares subject to the option vested 100% at grant date. Dr. Majid Emami has served as a member of the board of directors of the Company since the Closing.</w:t>
      </w:r>
    </w:p>
    <w:p>
      <w:pPr>
        <w:spacing w:after="0" w:line="2"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251,300 shares of Class A Common Stock and (ii) 33,250 shares of Class A Common Stock of SoundHound AI, Inc. issuable upon exercise of warrants to purchase 33,250 shares of Class A Common Stock held by EarlyBirdCapital and/or its transferees and designees.</w:t>
      </w:r>
    </w:p>
    <w:p>
      <w:pPr>
        <w:jc w:val="both"/>
        <w:ind w:left="460" w:hanging="452"/>
        <w:spacing w:after="0" w:line="25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35,188,205 shares of Class A Common Stock of SoundHound AI, Inc. Kamran Elahian has voting and investment control of the shares held by Global Catalyst Partners III, L.P. and may be deemed to beneficially own the securities owned directly by Global Catalyst Partners III, L.P. Kamran Elahian served as a member of the board of directors of SoundHound, Inc. prior to the Closing.</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3"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5,173,780 shares of Class A Common Stock issuable upon conversion of 5,173,780 shares of Class B Common Stock of SoundHound AI. James Hom has served as a member of the board of directors of the Company since the Closing. These securities are subject to a contractual lock-up for 6 months following the Closing, subject to limited exceptions, and are being registered in accordance with the terms of an Amended and Restated Registration Rights Agreement, dated as of April 26, 2022, by and between the Company, the Selling Securityholder and the other parties thereto.</w:t>
      </w:r>
    </w:p>
    <w:p>
      <w:pPr>
        <w:spacing w:after="0" w:line="207" w:lineRule="exact"/>
        <w:rPr>
          <w:rFonts w:ascii="Times New Roman" w:cs="Times New Roman" w:eastAsia="Times New Roman" w:hAnsi="Times New Roman"/>
          <w:sz w:val="18"/>
          <w:szCs w:val="18"/>
          <w:color w:val="auto"/>
        </w:rPr>
      </w:pPr>
    </w:p>
    <w:p>
      <w:pPr>
        <w:ind w:left="460" w:right="20" w:hanging="452"/>
        <w:spacing w:after="0" w:line="26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Marcus Family Trust, dated 7/8/04, is a trust, with Larry Marcus appointed as the trustee with investment authority. Larry Marcus has served as a member of the board of directors of the Company since the Closing.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both"/>
        <w:ind w:left="460" w:hanging="452"/>
        <w:spacing w:after="0" w:line="253"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(i) 416,718 shares of Class A Common Stock issuable upon exercise of stock options issued pursuant to the Merger Agreement in exchange for SoundHound options granted July 26, 2016 which are fully vested as of the date of this filing, (ii) 138,906 shares of Class A Common Stock issuable upon exercise of stock options issued pursuant to the Merger Agreement in exchange for SoundHound options granted on September 6, 2017 which are fully vested as of the date of this filing, (iii) 138,907 shares of Class A Common Stock issuable upon exercise of stock options issued pursuant to the Merger Agreement in exchange for SoundHound options granted on August 15, 2019; the shares subject to the option vested 25% of the shares on August 1, 2020 and the remainder vests in 36 equal monthly installments thereafter and</w:t>
      </w:r>
    </w:p>
    <w:p>
      <w:pPr>
        <w:spacing w:after="0" w:line="5" w:lineRule="exact"/>
        <w:rPr>
          <w:rFonts w:ascii="Times New Roman" w:cs="Times New Roman" w:eastAsia="Times New Roman" w:hAnsi="Times New Roman"/>
          <w:sz w:val="18"/>
          <w:szCs w:val="18"/>
          <w:color w:val="auto"/>
        </w:rPr>
      </w:pPr>
    </w:p>
    <w:p>
      <w:pPr>
        <w:jc w:val="both"/>
        <w:ind w:left="460" w:hanging="7"/>
        <w:spacing w:after="0" w:line="250" w:lineRule="auto"/>
        <w:tabs>
          <w:tab w:leader="none" w:pos="78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444,499 shares of Class A Common Stock issuable upon exercise of stock options issued pursuant to the Merger Agreement in exchange for SoundHound options granted on October 27, 2020; the shares subject to the option vest in 48 equal monthly installments beginning November 1, 2020. Michael Zagorsek served as the Chief Operating Officer of SoundHound, Inc. prior to the Closing.</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308,677 shares of Class A Common Stock of SoundHound AI, Inc., issuable upon exercise of options, issued pursuant to the Merger Agreement in exchange for SoundHound options granted on September 27, 2021. The shares subject to the option vested 25% of the shares on September 15, 2022 and the remainder vests in 36 equal monthly installments thereafter, subject to Mr. Nitesh’s continuous service through each such vesting date. Nitesh Sharan served as the Chief Financial Officer of SoundHound, Inc. prior to the Closing.</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Ball Axline Living Trust, dated July 22, 2014, is a trust, with Dr. Eric Ball appointed as the trustee with investment authority. Dr. Eric Ball has served as a member of the board of directors of the Company since the Closing.</w:t>
      </w:r>
    </w:p>
    <w:p>
      <w:pPr>
        <w:jc w:val="both"/>
        <w:ind w:left="460" w:hanging="452"/>
        <w:spacing w:after="0" w:line="25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(i) 750,964 Class A Shares in exchange for securities of SoundHound, Inc. pursuant to the Merger Agreement (ii) 222,250 shares of Class A Common Stock issuable upon exercise of stock options issued pursuant to the Merger Agreement in exchange for SoundHound options granted on May19, 2015 which vested 100% at grant date, (iii) 416,719 shares of Class A Common Stock issuable upon exercise of stock options issued pursuant to the Merger Agreement in exchange for SoundHound options granted on December 15, 2016 which are fully vested as of the date of this filing and (iv) 166,688 shares of Class A Common Stock issuable upon exercise of stock options issued pursuant to the Merger Agreement in exchange for SoundHound options granted on August 15, 2019. The shares subject to the option vested 25% of the shares on January 8, 2019 and the remainder vests in 36 equal monthly installments thereafter, subject to Mr. Stonehocker’s continuous service through each such vesting date. Timothy Stonehocker served as the Chief Technology Officer of SoundHound, Inc. prior to the Closing.</w:t>
      </w:r>
    </w:p>
    <w:p>
      <w:pPr>
        <w:spacing w:after="0" w:line="3" w:lineRule="exact"/>
        <w:rPr>
          <w:rFonts w:ascii="Times New Roman" w:cs="Times New Roman" w:eastAsia="Times New Roman" w:hAnsi="Times New Roman"/>
          <w:sz w:val="18"/>
          <w:szCs w:val="18"/>
          <w:color w:val="auto"/>
        </w:rPr>
      </w:pPr>
    </w:p>
    <w:p>
      <w:pPr>
        <w:jc w:val="both"/>
        <w:ind w:left="460" w:hanging="452"/>
        <w:spacing w:after="0" w:line="25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525,650 shares of Class A Common Stock of SoundHound AI, Inc. Larry Marcus has voting and investment control of the shares held by Walden Sprout Opportunities Fund-A, LLC and may be deemed to beneficially own the securities owned directly by Walden Sprout Opportunities Fund-A, LLC. Larry Marcus has served as a member of the board of directors of the Company since the Closing.</w:t>
      </w:r>
    </w:p>
    <w:p>
      <w:pPr>
        <w:spacing w:after="0" w:line="1"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205,787 shares of Class A Common Stock issuable upon exercise of stock options issued pursuant to the Merger Agreement in exchange for SoundHound options granted September 27, 2021 which vest quarterly over 4 years. Zubin Irani served as the Chief Revenue Officer of SoundHound, Inc. prior to the Closing.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Note About this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relates (i) the offer and resale of an aggregate of up to 56,834,904 shares of Class A Shares of the Company held by Selling Securityholders (representing 24.8% of the total number of shares of Class A Common Stock outstanding on a fully diluted basis), including (a) the PIPE Shares issued at $10.00 per share, (b) securities held by our officers, directors and their affiliates which were originally issued as (1) founder shares in connection with ATSP’s IPO for approximately $0.009 per share and (2) as part of placement units in connection with ATSP’s IPO at a price of $10.00 per placement unit, (c) securities held by EarlyBirdCapital and their affiliates which were originally issued (1) as representative shares for no separate cash consideration and (2) as part of placement units in connection with ATSP’s IPO at a price of $10.00 per placement unit, (d)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w:t>
      </w:r>
    </w:p>
    <w:p>
      <w:pPr>
        <w:spacing w:after="0" w:line="1" w:lineRule="exact"/>
        <w:rPr>
          <w:sz w:val="20"/>
          <w:szCs w:val="20"/>
          <w:color w:val="auto"/>
        </w:rPr>
      </w:pPr>
    </w:p>
    <w:p>
      <w:pPr>
        <w:jc w:val="both"/>
        <w:ind w:firstLine="8"/>
        <w:spacing w:after="0" w:line="252" w:lineRule="auto"/>
        <w:tabs>
          <w:tab w:leader="none" w:pos="2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by certain of our affiliates from time to time of up to 40,396,600 Class A Shares (representing approximately 17.6% of the total number of shares of Class A Common Stock outstanding on a fully diluted basis) issuable upon conversion of Class B Shares issued pursuant to the Merger Agreement in connection with the Business Combination as merger consideration at an acquiror share value of $0.0073 per share, (iii) the resale from time to time of up to 208,000 Placement Agent Warrants, each exercisable for one share of Class A Common Stock at a price of $11.50, subject to adjustment, which were originally issued as part of placement units in connection with ATSP’s IPO at a price of $10.00 per placement unit and (iv) the issuance by us of up to 3,532,984 Class A Shares upon the exercise of outstanding warrants to purchase our Class A Shares at an exercise price of $11.50, which were originally issued as part of the units in connection with ATSP’s IPO at a price of $10.00 per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if the trading price of our Class A Common Stock is significantly below $10.00, the offering price for the units offered in ATSP’s IPO, certain of the selling securityholders (including EarlyBirdCapital) may still have an incentive to sell shares of our Class A Common Stock because they purchased or received the shares at prices lower than the public investors or the current trading price of our Class A Common Stock and thus have an incentive to sell because they will still profit on sales and receive a positive rate of return due to the lower price that they purchased or received their shares than the public investors, who may not experience a similar rate of return on the securities they purchased due to differences in the purchase prices and the current trading price.</w:t>
      </w:r>
    </w:p>
    <w:p>
      <w:pPr>
        <w:spacing w:after="0" w:line="18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Based on the closing price of our Class A Common Stock of $3.59 as of June 22, 2022, holders of (i) 56,834,904 shares of Class A Common Stock of SoundHound AI held by Selling Securityholders, including the PIPE Shares issued at $10.00 per share would be expected to earn a potential loss of $6.41 per share (exclusive of the value of any other securities issued in the original transaction), securities held by our officers, directors and their affiliates (which were originally issued as founder shares in connection with ATSP’s IPO for approximately $0.009 would be expected to earn a potential profit of $3.58 per share, and as part of placement units in connection with ATSP’s IPO at a price of $10.00 per placement unit would be expected to earn a potential loss of $6.41 per share (exclusive of the value of any other securities issued in the original transaction)), securities held by EarlyBirdCapital and their affiliates (which were originally issued as representative shares for no consideration would be expected to earn a potential profit of $3.59 per share, as well as part of placement units in connection with ATSP’s IPO at a price of $10.00 per placement unit, would be expected to earn a potential loss of $6.41 per share (exclusive of the value of any other securities issued in the original transaction)), shares of Class A Common Stock exercisable under options held by certain of the Selling Securityholders which were assumed by us and converted into options of SoundHound AI in connection with the Business Combination and have an weighted average exercise price of $3.05 per share after giving effect to the Business Combination would be expected to earn a potential profit, upon exercise, of $0.54 per share, (ii) the resale by certain of our affiliates from time to time of up to 40,396,600 Class A Shares (representing approximately 17.6% of the total number of shares of Class A Common Stock outstanding on a fully diluted basis) issuable upon conversion of shares of Class B Common Stock issued pursuant to the Merger Agreement in connection with the Business Combination as merger consideration at an acquiror share value of $0.0073 per share would be expected to earn a potential profit of $3.58 per share, (iii) the resale from time to time of up to 208,000 Placement Warrants, each exercisable for one share of Class A Common Stock at a price of $11.50, subject to adjustment, which were originally issued as part of placement units in connection with ATSP’s IPO at a price of $10.00 per placement unit, would be expected to earn upon exercise a potential loss of $7.91 per share (exclusive of the value of any other securities issued in the original transaction) and (iv) the issuance by us of up to 3,532,984 Class A Shares upon the exercise of outstanding Warrants to purchase our Class A Shares at an exercise price of $11.50 (upon exercise representing approximately 1.5% of the total number of shares of Class A Common Stock outstanding on a fully diluted basis), as part of the units in connection with ATSP’s IPO at a price of $10.00 per unit, would be expected to earn upon exercise a potential loss of $7.91 per share (exclusive of the value of any other securities issued in the original transaction).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common stock and preferred stock, certain provisions of our Amended Charter and our Amended and Restated Bylaws and applicable law. This summary does not purport to be complete and is qualified in its entirety by the provisions of our Amended Charter and our Amended and Restated Bylaws, copies of which have been filed as exhibits to the registration statement and are incorporated by reference to our registration statement, of which this prospectus forms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our authorized capital stock consists of 500,000,000 shares, par value $0.0001 per share, consisting of: 499,000,000 shares of common stock, of which, 455,000,000 shares shall be Class A Common Stock and 44,000,000 shares shall be Class B Common Stock; and 1,000,000 shares of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were 196,187,040 shares of Company common stock issued and outstanding as of June 22, 2022, which calculation includes 155,790,440 shares of the Company’s Class A Common Stock, 40,396,600 shares of the Company’s Class B Common Stock. In addition, there are 3,532,984 shares of Class A Common Stock issuable upon exercise of outstanding warrants, no shares of Class B Common Stock issuable upon exercise of outstanding warrants, 27,527,182 shares of Class A Common Stock issuable upon exercise of outstanding stock options, 1,964,716 shares of Class A Common Stock issuable upon vesting of restricted stock units and no shares of Class B Common Stock issuable upon exercise of outstanding stock options or restricted stock units.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w:t>
      </w:r>
    </w:p>
    <w:p>
      <w:pPr>
        <w:spacing w:after="0" w:line="1" w:lineRule="exact"/>
        <w:rPr>
          <w:sz w:val="20"/>
          <w:szCs w:val="20"/>
          <w:color w:val="auto"/>
        </w:rPr>
      </w:pPr>
    </w:p>
    <w:p>
      <w:pPr>
        <w:jc w:val="both"/>
        <w:ind w:firstLine="8"/>
        <w:spacing w:after="0" w:line="251"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no shares of preferred stock designated or outstanding, but our board of directors will be authorized, without further action by the stockholders, to establish one or more class or series, and fix the relative rights and preferences of the company’s undesignated capital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Options and Restricted Stock Units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had outstanding options to purchase an aggregate 27,527,182 shares of our Class A Common Stock and 1,964,716 outstanding restricted stock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3,532,984 Warrants are outstanding. The terms of the Placement Warrants and the terms of the Public Warrants are identical. Each whole Warrant entitles the registered holder to purchase one share of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our initial business combination, warrantholders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common stock at a price below their respective exercise prices.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Charter and Amended Bylaws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meeting of stockholders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 than the close of business on the</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our annual meeting of stockholders is first made or sent by us. Our Amended Bylaws also specify certain 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 SoundHound AI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Stock and Warrants are listed on The Nasdaq Global Market under the trading symbols “SOUN” and “SOUNW”.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The Transfer Agent’s address is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9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securities then-outstanding;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securities during the four calendar weeks preceding the filing of a notice on Form 144 with respect to the sale.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our initial stockholders will not be able to sell their Class A Common Stock or Class B Common Stock or warrants pursuant to Rule 144 without registration until one year after the Closing although these shares may be sold sooner to the extent they have been registered on a registration statement that has been declared effective by the SEC.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considerations generally applicable to the ownership and disposition of our Class A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Class A Common Stock or Warrants as part of a straddle, hedge, conversion, or other integrated transaction for U.S. federal income tax purposes, expatriates or former long-term residents of the United States, or investors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Code, and that acquire our Class A Common Stock and Warrants for cash pursuant to this prospectus.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summary, a “U.S. Holder” is a beneficial holder of securities who or that, for U.S. federal income tax purposes is:</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United States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in, or organized under the law of, the United States or any state or political subdivision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“non-U.S. Holder” is a beneficial holder of securities who or that is neither a U.S. Holder nor an entity or arrangement treated as a partnership for U.S. federal income tax purposes.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capital stock or rights to acquire our capital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8"/>
          <w:szCs w:val="18"/>
          <w:i w:val="1"/>
          <w:iCs w:val="1"/>
          <w:color w:val="auto"/>
        </w:rPr>
        <w:t>U.S. Holders — Gain or Loss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Class A Common Stock</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The deductibility of capital losses is subject to limitations.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a Warrant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the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initial tax basis in the Class A Common Stock received generally should equal the holder’s adjusted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Class A Common Stock generally would include the holding period of the warrant.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1" w:name="page122"/>
    <w:bookmarkEnd w:id="12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Class A Common Stock received would equal the sum of the exercise price and the U.S. holder’s adjusted tax basis in the warrants exercised. It is unclear whether a U.S. Holder’s holding period for the Class A Common Stock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Class A Common Stock received, U.S. Holders are urged to consult their tax advisors regarding the tax consequences of a cashless exercise.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Expiration of a Warrant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U.S. Holders — Possible Constructive Distributions</w:t>
      </w:r>
      <w:r>
        <w:rPr>
          <w:rFonts w:ascii="Times New Roman" w:cs="Times New Roman" w:eastAsia="Times New Roman" w:hAnsi="Times New Roman"/>
          <w:sz w:val="18"/>
          <w:szCs w:val="18"/>
          <w:color w:val="auto"/>
        </w:rPr>
        <w:t>”). Such gain or loss generally will be treated as long-term capital gain or loss if the warrant is held by the U.S. Holder for more than one year at the time of such disposition or expiration. If a warrant is allowed to lapse unexercised, a U.S. Holder will generally recognize a capital loss equal to such holder’s adjusted tax basis in the warrant. The deductibility of capital losses is subject to certain limitations.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redemption of warrants for Class A Common Stock described in this prospectus under “</w:t>
      </w:r>
      <w:r>
        <w:rPr>
          <w:rFonts w:ascii="Times New Roman" w:cs="Times New Roman" w:eastAsia="Times New Roman" w:hAnsi="Times New Roman"/>
          <w:sz w:val="18"/>
          <w:szCs w:val="18"/>
          <w:i w:val="1"/>
          <w:iCs w:val="1"/>
          <w:color w:val="auto"/>
        </w:rPr>
        <w:t>Description of Capital Stock — Warrants</w:t>
      </w:r>
      <w:r>
        <w:rPr>
          <w:rFonts w:ascii="Times New Roman" w:cs="Times New Roman" w:eastAsia="Times New Roman" w:hAnsi="Times New Roman"/>
          <w:sz w:val="18"/>
          <w:szCs w:val="18"/>
          <w:color w:val="auto"/>
        </w:rPr>
        <w:t>” should be treated as a “recapitalization” for U.S. federal income tax purposes. 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as described above under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in the same manner as if such U.S. Holder received a cash distribution from us on Class A Common Stock equal to the fair market value of such increased interest.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w:t>
      </w:r>
      <w:r>
        <w:rPr>
          <w:rFonts w:ascii="Times New Roman" w:cs="Times New Roman" w:eastAsia="Times New Roman" w:hAnsi="Times New Roman"/>
          <w:sz w:val="18"/>
          <w:szCs w:val="18"/>
          <w:i w:val="1"/>
          <w:iCs w:val="1"/>
          <w:color w:val="auto"/>
        </w:rPr>
        <w:t>Non-U.S. Holders — Possible Constructive Distributions</w:t>
      </w:r>
      <w:r>
        <w:rPr>
          <w:rFonts w:ascii="Times New Roman" w:cs="Times New Roman" w:eastAsia="Times New Roman" w:hAnsi="Times New Roman"/>
          <w:sz w:val="18"/>
          <w:szCs w:val="18"/>
          <w:color w:val="auto"/>
        </w:rPr>
        <w:t>”), it is possible that this tax would be withheld from any amount owed to a non-U.S. Holder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 — 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Class A Common Stock and Warrants</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Non-U.S. Holders — Gain on Sale, Exchange or Other Taxable Disposition of 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and Warrants</w:t>
      </w:r>
      <w:r>
        <w:rPr>
          <w:rFonts w:ascii="Times New Roman" w:cs="Times New Roman" w:eastAsia="Times New Roman" w:hAnsi="Times New Roman"/>
          <w:sz w:val="18"/>
          <w:szCs w:val="18"/>
          <w:color w:val="auto"/>
        </w:rPr>
        <w:t>” below), we will withhold 15% of any distribution that exceeds our current and accumulated earnings and profits.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a Warrant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w:t>
      </w:r>
      <w:r>
        <w:rPr>
          <w:rFonts w:ascii="Times New Roman" w:cs="Times New Roman" w:eastAsia="Times New Roman" w:hAnsi="Times New Roman"/>
          <w:sz w:val="18"/>
          <w:szCs w:val="18"/>
          <w:i w:val="1"/>
          <w:iCs w:val="1"/>
          <w:color w:val="auto"/>
        </w:rPr>
        <w:t>U.S. Holders — Exercise of a Warrant</w:t>
      </w:r>
      <w:r>
        <w:rPr>
          <w:rFonts w:ascii="Times New Roman" w:cs="Times New Roman" w:eastAsia="Times New Roman" w:hAnsi="Times New Roman"/>
          <w:sz w:val="18"/>
          <w:szCs w:val="18"/>
          <w:color w:val="auto"/>
        </w:rPr>
        <w:t>” above, although to the extent a cashless exercise results in a taxable exchange, the tax consequences to the non-U.S. Holder would be the same as those described below in “</w:t>
      </w:r>
      <w:r>
        <w:rPr>
          <w:rFonts w:ascii="Times New Roman" w:cs="Times New Roman" w:eastAsia="Times New Roman" w:hAnsi="Times New Roman"/>
          <w:sz w:val="18"/>
          <w:szCs w:val="18"/>
          <w:i w:val="1"/>
          <w:iCs w:val="1"/>
          <w:color w:val="auto"/>
        </w:rPr>
        <w:t>Non-U.S. Holders — 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Exchange or Other Taxable Disposition of Class A Common Stock and Warrants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Class A Common Stock</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redemption of Warrants for Class A Common Stock described in this prospectus under “</w:t>
      </w:r>
      <w:r>
        <w:rPr>
          <w:rFonts w:ascii="Times New Roman" w:cs="Times New Roman" w:eastAsia="Times New Roman" w:hAnsi="Times New Roman"/>
          <w:sz w:val="18"/>
          <w:szCs w:val="18"/>
          <w:i w:val="1"/>
          <w:iCs w:val="1"/>
          <w:color w:val="auto"/>
        </w:rPr>
        <w:t>Description of Capital Stock — Warrants</w:t>
      </w:r>
      <w:r>
        <w:rPr>
          <w:rFonts w:ascii="Times New Roman" w:cs="Times New Roman" w:eastAsia="Times New Roman" w:hAnsi="Times New Roman"/>
          <w:sz w:val="18"/>
          <w:szCs w:val="18"/>
          <w:color w:val="auto"/>
        </w:rPr>
        <w:t>” should be treated as a “recapitalization” for U.S. federal income tax purposes. Accordingly, you should not recognize any gain or loss on the redemption of warrants for shares of our Class A Common Stock. Your aggregate initial tax basis in the shares of Class A Common Stock received in the redemption should equal your aggregate adjusted tax basis in your warrants redeemed and your holding period for the shares of Class A Common Stock received in redemption of your warrants should include your holding period for your surrendered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Exchange or Other Taxable Disposition of Class A Common Stock and Warrants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162" w:lineRule="exact"/>
        <w:rPr>
          <w:sz w:val="20"/>
          <w:szCs w:val="20"/>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as described above under “</w:t>
      </w:r>
      <w:r>
        <w:rPr>
          <w:rFonts w:ascii="Times New Roman" w:cs="Times New Roman" w:eastAsia="Times New Roman" w:hAnsi="Times New Roman"/>
          <w:sz w:val="18"/>
          <w:szCs w:val="18"/>
          <w:i w:val="1"/>
          <w:iCs w:val="1"/>
          <w:color w:val="auto"/>
        </w:rPr>
        <w:t>Non-U.S. Holders — Taxation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under that section in the same manner as if such non-U.S. Holder received a cash distribution from us on Class A Common Stock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market value of such increased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w:t>
      </w:r>
    </w:p>
    <w:p>
      <w:pPr>
        <w:spacing w:after="0" w:line="1" w:lineRule="exact"/>
        <w:rPr>
          <w:sz w:val="20"/>
          <w:szCs w:val="20"/>
          <w:color w:val="auto"/>
        </w:rPr>
      </w:pPr>
    </w:p>
    <w:p>
      <w:pPr>
        <w:jc w:val="both"/>
        <w:ind w:firstLine="8"/>
        <w:spacing w:after="0" w:line="250" w:lineRule="auto"/>
        <w:tabs>
          <w:tab w:leader="none" w:pos="2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Resale by the Selling Securityholders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Selling Securityholder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equal to the aggregate exercise price from any exercises of the Warrants, assuming the exercise of the Warrants for cash.</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the Selling Securityholders covered by this prospectus may be offered and sold from time to time by the Selling Securityholders, subject to any applicable lock up agreements or other applicable restrictions. The term “Selling Securityholders” includes donees, pledgees, transferees or other successors in interest selling securities received after the date of this prospectus from a Selling Securityholder as a gift, pledge, partnership or limited liability company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Securityholders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Selling Securityholder may use any one or more of the following methods when selling securities:</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 Stock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as described below, or any other method permitted pursuant to applicable law.</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Further, a Selling Securityholder that is an entity may elect to make an in-kind distribution of securities to its members, partners or stockholders pursuant to the registration statement of which this prospectus is a part by delivering a prospectus with a plan of distribution.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brokers-dealers to participate in sales. Broker-dealers may receive commissions or discounts from the Selling Securityholders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Securityholders may enter into hedging transactions with broker-dealers or other financial institutions, which may in turn engage in short sales of the securities in the course of hedging the positions they assume. The Selling Securityholders may also sell securities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Securityholders against certain losses, claims, damages and liabilities, including liabilities under the Securities Act.</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Securityholders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Securityholders will be subject to applicable provisions of the Exchange Act and the rules and regulations thereunder, including Regulation M, which may limit the timing of purchases and sales of the common stock by the Selling Securityholders or any other person.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Primary Offering by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8"/>
          <w:szCs w:val="18"/>
          <w:i w:val="1"/>
          <w:iCs w:val="1"/>
          <w:color w:val="auto"/>
        </w:rPr>
        <w:t>www.soundhound.com</w:t>
      </w:r>
      <w:r>
        <w:rPr>
          <w:rFonts w:ascii="Times New Roman" w:cs="Times New Roman" w:eastAsia="Times New Roman" w:hAnsi="Times New Roman"/>
          <w:sz w:val="18"/>
          <w:szCs w:val="18"/>
          <w:color w:val="auto"/>
        </w:rPr>
        <w:t>, by which you may access these materials free of charge as soon as reasonably practicable after they are electronically filed with,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to, the SEC. The information that is contained on, or that may be accessed through, our website is not a part of this prospectus. We have included our website in this prospectus solely as an inactive textual reference.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1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80" w:type="dxa"/>
            <w:vAlign w:val="bottom"/>
            <w:gridSpan w:val="17"/>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ARCHIMEDES TECH SPAC PARTNERS CO.</w:t>
            </w:r>
          </w:p>
        </w:tc>
        <w:tc>
          <w:tcPr>
            <w:tcW w:w="1000" w:type="dxa"/>
            <w:vAlign w:val="bottom"/>
          </w:tcPr>
          <w:p>
            <w:pPr>
              <w:spacing w:after="0"/>
              <w:rPr>
                <w:sz w:val="24"/>
                <w:szCs w:val="24"/>
                <w:color w:val="auto"/>
              </w:rPr>
            </w:pPr>
          </w:p>
        </w:tc>
      </w:tr>
      <w:tr>
        <w:trPr>
          <w:trHeight w:val="439"/>
        </w:trPr>
        <w:tc>
          <w:tcPr>
            <w:tcW w:w="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360" w:type="dxa"/>
            <w:vAlign w:val="bottom"/>
            <w:tcBorders>
              <w:bottom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Operations for the periods from September 15, 2020 (inception) through December 31, 2020 and for the year ended</w:t>
            </w:r>
          </w:p>
        </w:tc>
        <w:tc>
          <w:tcPr>
            <w:tcW w:w="88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00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December 31, 2021</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8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 of Changes in Stockholders’ Equity for the periods from September 15, 2020 (inception) through December 31, 2020 and the</w:t>
            </w:r>
          </w:p>
        </w:tc>
        <w:tc>
          <w:tcPr>
            <w:tcW w:w="10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26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year ended December 31, 2021</w:t>
            </w:r>
          </w:p>
        </w:tc>
        <w:tc>
          <w:tcPr>
            <w:tcW w:w="734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75"/>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periods from September 15, 2020 (inception) through December 31, 2020 and the year ended</w:t>
            </w:r>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9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December 31, 2021</w:t>
            </w:r>
          </w:p>
        </w:tc>
        <w:tc>
          <w:tcPr>
            <w:tcW w:w="1160" w:type="dxa"/>
            <w:vAlign w:val="bottom"/>
            <w:gridSpan w:val="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180" w:type="dxa"/>
            <w:vAlign w:val="bottom"/>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432"/>
        </w:trPr>
        <w:tc>
          <w:tcPr>
            <w:tcW w:w="1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gridSpan w:val="1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SOUNDHOUND , INC.</w:t>
            </w:r>
          </w:p>
        </w:tc>
        <w:tc>
          <w:tcPr>
            <w:tcW w:w="1000" w:type="dxa"/>
            <w:vAlign w:val="bottom"/>
            <w:tcBorders>
              <w:top w:val="single" w:sz="8" w:color="CCEEFF"/>
            </w:tcBorders>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2020</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F-27</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2020</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 for the years ended December 31, 2021 and 2020</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F-30</w:t>
            </w:r>
          </w:p>
        </w:tc>
      </w:tr>
      <w:tr>
        <w:trPr>
          <w:trHeight w:val="175"/>
        </w:trPr>
        <w:tc>
          <w:tcPr>
            <w:tcW w:w="61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2020</w:t>
            </w:r>
          </w:p>
        </w:tc>
        <w:tc>
          <w:tcPr>
            <w:tcW w:w="410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F-33</w:t>
            </w:r>
          </w:p>
        </w:tc>
      </w:tr>
      <w:tr>
        <w:trPr>
          <w:trHeight w:val="432"/>
        </w:trPr>
        <w:tc>
          <w:tcPr>
            <w:tcW w:w="1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6580" w:type="dxa"/>
            <w:vAlign w:val="bottom"/>
            <w:tcBorders>
              <w:top w:val="single" w:sz="8" w:color="CCEEFF"/>
            </w:tcBorders>
            <w:gridSpan w:val="17"/>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ARCHIMEDES TECH SPAC PARTNERS CO.</w:t>
            </w:r>
          </w:p>
        </w:tc>
        <w:tc>
          <w:tcPr>
            <w:tcW w:w="1000" w:type="dxa"/>
            <w:vAlign w:val="bottom"/>
            <w:tcBorders>
              <w:top w:val="single" w:sz="8" w:color="CCEEFF"/>
            </w:tcBorders>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March 31, 2022 (unaudited) and December 31, 2021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F-67</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months ended March 31, 2022 and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F-68</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Equity for the three months ended March 31, 2022 and 2021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F-69</w:t>
            </w:r>
          </w:p>
        </w:tc>
      </w:tr>
      <w:tr>
        <w:trPr>
          <w:trHeight w:val="175"/>
        </w:trPr>
        <w:tc>
          <w:tcPr>
            <w:tcW w:w="89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 of Cash Flows for the three months ended March 31, 2022 and 2021</w:t>
            </w:r>
          </w:p>
        </w:tc>
        <w:tc>
          <w:tcPr>
            <w:tcW w:w="132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F-70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F-71</w:t>
            </w:r>
          </w:p>
        </w:tc>
      </w:tr>
      <w:tr>
        <w:trPr>
          <w:trHeight w:val="432"/>
        </w:trPr>
        <w:tc>
          <w:tcPr>
            <w:tcW w:w="1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800" w:type="dxa"/>
            <w:vAlign w:val="bottom"/>
            <w:tcBorders>
              <w:top w:val="single" w:sz="8" w:color="CCEEFF"/>
            </w:tcBorders>
            <w:gridSpan w:val="1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SOUNDHOUND , INC.</w:t>
            </w:r>
          </w:p>
        </w:tc>
        <w:tc>
          <w:tcPr>
            <w:tcW w:w="1000" w:type="dxa"/>
            <w:vAlign w:val="bottom"/>
            <w:tcBorders>
              <w:top w:val="single" w:sz="8" w:color="CCEEFF"/>
            </w:tcBorders>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March 31, 2022 and December 31, 2021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F-86</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three months ended March 31, 2022 and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F-87</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4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Stockholders’ Equity for the three months ended March 31, 2022 and 2021</w:t>
            </w:r>
          </w:p>
        </w:tc>
        <w:tc>
          <w:tcPr>
            <w:tcW w:w="380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F-88</w:t>
            </w:r>
          </w:p>
        </w:tc>
      </w:tr>
      <w:tr>
        <w:trPr>
          <w:trHeight w:val="176"/>
        </w:trPr>
        <w:tc>
          <w:tcPr>
            <w:tcW w:w="10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three months ended March 31, 2022 and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F-89</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F-90</w:t>
            </w:r>
          </w:p>
        </w:tc>
      </w:tr>
      <w:tr>
        <w:trPr>
          <w:trHeight w:val="655"/>
        </w:trPr>
        <w:tc>
          <w:tcPr>
            <w:tcW w:w="18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780" w:type="dxa"/>
            <w:vAlign w:val="bottom"/>
            <w:tcBorders>
              <w:top w:val="single" w:sz="8" w:color="CCEEFF"/>
              <w:bottom w:val="single" w:sz="8" w:color="auto"/>
            </w:tcBorders>
            <w:gridSpan w:val="12"/>
          </w:tcPr>
          <w:p>
            <w:pPr>
              <w:jc w:val="center"/>
              <w:ind w:right="44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8" w:name="page129"/>
    <w:bookmarkEnd w:id="128"/>
    <w:p>
      <w:pPr>
        <w:ind w:left="2660"/>
        <w:spacing w:after="0"/>
        <w:rPr>
          <w:sz w:val="20"/>
          <w:szCs w:val="20"/>
          <w:color w:val="auto"/>
        </w:rPr>
      </w:pPr>
      <w:r>
        <w:rPr>
          <w:rFonts w:ascii="Times New Roman" w:cs="Times New Roman" w:eastAsia="Times New Roman" w:hAnsi="Times New Roman"/>
          <w:sz w:val="18"/>
          <w:szCs w:val="18"/>
          <w:b w:val="1"/>
          <w:bCs w:val="1"/>
          <w:color w:val="auto"/>
        </w:rPr>
        <w:t>REPORT OF INDEPDENT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235,295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98,066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133,010,583</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133,343,944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247,868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247,514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 and 0 shares at redemption value as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and 2020,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133,010,583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 shares authorized, 4,161,000 shares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0 shares issued and outstanding (excluding 13,300,000 shares and 0 shares subject to possible redemption) as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2021 and 2020,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818,347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(982,600)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133,343,944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15,</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(Inception)</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1,015,260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(1,015,260)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(716)</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redemption</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10,589,315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income per share attributable to common stock subject to redemption</w:t>
            </w: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3,959,088</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34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5100" w:type="dxa"/>
            <w:vAlign w:val="bottom"/>
          </w:tcPr>
          <w:p>
            <w:pPr>
              <w:spacing w:after="0"/>
              <w:rPr>
                <w:sz w:val="20"/>
                <w:szCs w:val="20"/>
                <w:color w:val="auto"/>
              </w:rPr>
            </w:pPr>
          </w:p>
        </w:tc>
        <w:tc>
          <w:tcPr>
            <w:tcW w:w="234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15, 2020 (inception)</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(716)</w:t>
            </w:r>
          </w:p>
        </w:tc>
        <w:tc>
          <w:tcPr>
            <w:tcW w:w="0" w:type="dxa"/>
            <w:vAlign w:val="bottom"/>
          </w:tcPr>
          <w:p>
            <w:pPr>
              <w:spacing w:after="0"/>
              <w:rPr>
                <w:sz w:val="1"/>
                <w:szCs w:val="1"/>
                <w:color w:val="auto"/>
              </w:rPr>
            </w:pP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Sale of 12,000,000 Units through IPO</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119,998,800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1,300,000 Units through over-allotment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12,999,870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Sale of 416,000 Private Units in private placement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4,159,958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2,024,421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initial stockholders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(2,449,810)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(2,449,810)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4,779,936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(981,884)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(124,412,583)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(124,413,913)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(13,366,023)</w:t>
            </w:r>
          </w:p>
        </w:tc>
        <w:tc>
          <w:tcPr>
            <w:tcW w:w="0" w:type="dxa"/>
            <w:vAlign w:val="bottom"/>
          </w:tcPr>
          <w:p>
            <w:pPr>
              <w:spacing w:after="0"/>
              <w:rPr>
                <w:sz w:val="1"/>
                <w:szCs w:val="1"/>
                <w:color w:val="auto"/>
              </w:rPr>
            </w:pPr>
          </w:p>
        </w:tc>
      </w:tr>
      <w:tr>
        <w:trPr>
          <w:trHeight w:val="198"/>
        </w:trPr>
        <w:tc>
          <w:tcPr>
            <w:tcW w:w="5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 redemption value (interest earned on</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account)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(10,583)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(982,600</w:t>
            </w: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15,</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(Inception)</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change in fair value of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(98,066)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247,868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(133,000,000)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(2,660,000)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(425,347)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134,099,653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235,295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year</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124,413,913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13,366,023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 (interest earned on trust account)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Forfeiture of founder shares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company at a price of $10.00 per share, for total gross proceeds of $111 million, in a private placement that is scheduled to close concurrently with the Business Combination.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Restatement of Prior Period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Equity Instruments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Private Warrants &amp; Fair Value of Representative Shares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in Entity’s Own Equity</w:t>
      </w:r>
      <w:r>
        <w:rPr>
          <w:rFonts w:ascii="Times New Roman" w:cs="Times New Roman" w:eastAsia="Times New Roman" w:hAnsi="Times New Roman"/>
          <w:sz w:val="18"/>
          <w:szCs w:val="18"/>
          <w:color w:val="auto"/>
        </w:rPr>
        <w:t>, and concluded that the Private Warrants do not meet the criteria to be classified in stockholders’ equity,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Restatement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Audited Balance Sheet at March 15, 2021</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253,413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253,413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591,387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844,800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116,095,120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3,904,880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120,000,000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5,004,068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(4,158,254)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845,814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(4,158,293)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841,710</w:t>
            </w:r>
          </w:p>
        </w:tc>
      </w:tr>
      <w:tr>
        <w:trPr>
          <w:trHeight w:val="216"/>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Balance Sheet at March 31, 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128,744,590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4,255,935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133,000,525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5,084,297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(4,255,892)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828,405</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Statement of Operations for the three months ended March 31, 2021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redemption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2,059,408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2,306,667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3,856,614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(514,481)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3,342,133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(loss) per share, common stock subject to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(loss) per share, common stock not subject to redemption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 Equity for the three months ended</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representative shares – Additional Paid-in-Capital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2,024,421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representative shares – Stockholders’ Equity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2,024,463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(428,847)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(2,449,810)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4,779,936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(13,366,023)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(13,366,023)</w:t>
            </w:r>
          </w:p>
        </w:tc>
      </w:tr>
      <w:tr>
        <w:trPr>
          <w:trHeight w:val="216"/>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Statement of Cash Flows for the three months ended March 31, 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115,841,700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8,572,213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124,413,913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value of common stock subject to possible redemption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12,902,890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(12,902,365)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(4,779,936)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(4,779,936)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13,366,023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13,366,023</w:t>
            </w: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 (interest earned on trust account)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637"/>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F-11</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2 — Restatement of Prior Period Financial Statements </w:t>
            </w:r>
            <w:r>
              <w:rPr>
                <w:rFonts w:ascii="Times New Roman" w:cs="Times New Roman" w:eastAsia="Times New Roman" w:hAnsi="Times New Roman"/>
                <w:sz w:val="18"/>
                <w:szCs w:val="18"/>
                <w:color w:val="auto"/>
              </w:rPr>
              <w:t>(cont.)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Statement of Operations for the six months ended June 30, 2021</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(loss) per share, common stock subject to redemption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(loss) per share, common stock not subject to redemption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 Equity for the six months ended June 30,</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representative shares – Additional Paid-in-Capital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2,024,421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representative shares – Stockholders’ Equity (Deficit)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2,024,463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(428,847)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(2,449,810)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2,886,166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4,779,936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(11,472,253)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(13,366,023)</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Statement of Cash Flows for the six months ended June 30,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(2,886,166)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(4,779,936)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11,472,253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13,366,023</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Statement of Operations for the nine months ended September 30,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(loss) per share, common stock subject to redemption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(loss) per share, common stock not subject to redemption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Unaudited Statement of Changes in Stockholders’ Equity for the nine months ended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representative shares – Additional Paid-in-Capital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2,024,421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representative shares – Stockholders’ Equity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2,024,463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(428,847)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(2,020,963)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(2,449,810)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2,886,166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4,779,936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(11,472,253)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(13,366,023)</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Statement of Cash Flows for the nine months ended September 30, 2021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(2,886,166)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(4,779,936)</w:t>
            </w: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11,472,253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1,893,770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13,366,023</w:t>
            </w:r>
          </w:p>
        </w:tc>
      </w:tr>
      <w:tr>
        <w:trPr>
          <w:trHeight w:val="637"/>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F-12</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0"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tc>
        <w:tc>
          <w:tcPr>
            <w:tcW w:w="100" w:type="dxa"/>
            <w:vAlign w:val="bottom"/>
          </w:tcPr>
          <w:p>
            <w:pPr>
              <w:spacing w:after="0"/>
              <w:rPr>
                <w:sz w:val="20"/>
                <w:szCs w:val="20"/>
                <w:color w:val="auto"/>
              </w:rPr>
            </w:pPr>
          </w:p>
        </w:tc>
        <w:tc>
          <w:tcPr>
            <w:tcW w:w="11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0" w:type="dxa"/>
            <w:vAlign w:val="bottom"/>
          </w:tcPr>
          <w:p>
            <w:pPr>
              <w:spacing w:after="0"/>
              <w:rPr>
                <w:sz w:val="1"/>
                <w:szCs w:val="1"/>
                <w:color w:val="auto"/>
              </w:rPr>
            </w:pPr>
          </w:p>
        </w:tc>
      </w:tr>
      <w:tr>
        <w:trPr>
          <w:trHeight w:val="194"/>
        </w:trPr>
        <w:tc>
          <w:tcPr>
            <w:tcW w:w="10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00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(13,376,606)</w:t>
            </w:r>
          </w:p>
        </w:tc>
        <w:tc>
          <w:tcPr>
            <w:tcW w:w="0" w:type="dxa"/>
            <w:vAlign w:val="bottom"/>
          </w:tcPr>
          <w:p>
            <w:pPr>
              <w:spacing w:after="0"/>
              <w:rPr>
                <w:sz w:val="1"/>
                <w:szCs w:val="1"/>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including accretion of temporary equity to redemption value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(14,358,490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3315"/>
        <w:spacing w:after="0" w:line="255" w:lineRule="auto"/>
        <w:rPr>
          <w:sz w:val="20"/>
          <w:szCs w:val="20"/>
          <w:color w:val="auto"/>
        </w:rPr>
      </w:pPr>
      <w:r>
        <w:rPr>
          <w:rFonts w:ascii="Times New Roman" w:cs="Times New Roman" w:eastAsia="Times New Roman" w:hAnsi="Times New Roman"/>
          <w:sz w:val="18"/>
          <w:szCs w:val="18"/>
          <w:color w:val="auto"/>
        </w:rPr>
        <w:t>Allocation of net loss including accretion of temporary equity Accretion of temporary equity to redemption value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p>
      <w:pPr>
        <w:spacing w:after="0" w:line="20" w:lineRule="exact"/>
        <w:rPr>
          <w:sz w:val="20"/>
          <w:szCs w:val="20"/>
          <w:color w:val="auto"/>
        </w:rPr>
      </w:pPr>
      <w:r>
        <w:rPr>
          <w:sz w:val="20"/>
          <w:szCs w:val="20"/>
          <w:color w:val="auto"/>
        </w:rPr>
        <w:br w:type="column"/>
      </w:r>
    </w:p>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55"/>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1045"/>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1705"/>
        <w:spacing w:after="0"/>
        <w:rPr>
          <w:sz w:val="20"/>
          <w:szCs w:val="20"/>
          <w:color w:val="auto"/>
        </w:rPr>
      </w:pPr>
      <w:r>
        <w:rPr>
          <w:rFonts w:ascii="Times New Roman" w:cs="Times New Roman" w:eastAsia="Times New Roman" w:hAnsi="Times New Roman"/>
          <w:sz w:val="18"/>
          <w:szCs w:val="18"/>
          <w:b w:val="1"/>
          <w:bCs w:val="1"/>
          <w:color w:val="auto"/>
        </w:rPr>
        <w:t>Non-</w:t>
      </w:r>
    </w:p>
    <w:p>
      <w:pPr>
        <w:spacing w:after="0" w:line="31" w:lineRule="exact"/>
        <w:rPr>
          <w:sz w:val="20"/>
          <w:szCs w:val="20"/>
          <w:color w:val="auto"/>
        </w:rPr>
      </w:pPr>
    </w:p>
    <w:p>
      <w:pPr>
        <w:ind w:left="105"/>
        <w:spacing w:after="0"/>
        <w:tabs>
          <w:tab w:leader="none" w:pos="1445" w:val="left"/>
        </w:tabs>
        <w:rPr>
          <w:sz w:val="20"/>
          <w:szCs w:val="20"/>
          <w:color w:val="auto"/>
        </w:rPr>
      </w:pPr>
      <w:r>
        <w:rPr>
          <w:rFonts w:ascii="Times New Roman" w:cs="Times New Roman" w:eastAsia="Times New Roman" w:hAnsi="Times New Roman"/>
          <w:sz w:val="18"/>
          <w:szCs w:val="18"/>
          <w:b w:val="1"/>
          <w:bCs w:val="1"/>
          <w:color w:val="auto"/>
        </w:rPr>
        <w:t>Redeemable</w:t>
      </w:r>
      <w:r>
        <w:rPr>
          <w:sz w:val="20"/>
          <w:szCs w:val="20"/>
          <w:color w:val="auto"/>
        </w:rPr>
        <w:tab/>
      </w:r>
      <w:r>
        <w:rPr>
          <w:rFonts w:ascii="Times New Roman" w:cs="Times New Roman" w:eastAsia="Times New Roman" w:hAnsi="Times New Roman"/>
          <w:sz w:val="18"/>
          <w:szCs w:val="18"/>
          <w:b w:val="1"/>
          <w:bCs w:val="1"/>
          <w:color w:val="auto"/>
        </w:rPr>
        <w:t>redeemable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
        <w:spacing w:after="0"/>
        <w:tabs>
          <w:tab w:leader="none" w:pos="245" w:val="left"/>
          <w:tab w:leader="none" w:pos="1325" w:val="left"/>
          <w:tab w:leader="none" w:pos="1665" w:val="left"/>
        </w:tabs>
        <w:rPr>
          <w:sz w:val="20"/>
          <w:szCs w:val="20"/>
          <w:color w:val="auto"/>
        </w:rPr>
      </w:pPr>
      <w:r>
        <w:rPr>
          <w:rFonts w:ascii="Times New Roman" w:cs="Times New Roman" w:eastAsia="Times New Roman" w:hAnsi="Times New Roman"/>
          <w:sz w:val="18"/>
          <w:szCs w:val="18"/>
          <w:color w:val="auto"/>
        </w:rPr>
        <w:t>$</w:t>
        <w:tab/>
        <w:t>(10,451,084)</w:t>
        <w:tab/>
        <w:t>$</w:t>
        <w:tab/>
        <w:t>(3,907,406)</w:t>
      </w:r>
    </w:p>
    <w:p>
      <w:pPr>
        <w:spacing w:after="0" w:line="27" w:lineRule="exact"/>
        <w:rPr>
          <w:sz w:val="20"/>
          <w:szCs w:val="20"/>
          <w:color w:val="auto"/>
        </w:rPr>
      </w:pPr>
    </w:p>
    <w:p>
      <w:pPr>
        <w:ind w:left="325"/>
        <w:spacing w:after="0"/>
        <w:tabs>
          <w:tab w:leader="none" w:pos="2265" w:val="left"/>
        </w:tabs>
        <w:rPr>
          <w:sz w:val="20"/>
          <w:szCs w:val="20"/>
          <w:color w:val="auto"/>
        </w:rPr>
      </w:pPr>
      <w:r>
        <w:rPr>
          <w:rFonts w:ascii="Times New Roman" w:cs="Times New Roman" w:eastAsia="Times New Roman" w:hAnsi="Times New Roman"/>
          <w:sz w:val="18"/>
          <w:szCs w:val="18"/>
          <w:color w:val="auto"/>
        </w:rPr>
        <w:t>13,376,606</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05" w:hanging="405"/>
        <w:spacing w:after="0"/>
        <w:tabs>
          <w:tab w:leader="none" w:pos="405" w:val="left"/>
        </w:tabs>
        <w:numPr>
          <w:ilvl w:val="0"/>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2,925,522   $   (3,907,406</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156019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10,589,315</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3,959,088</w:t>
            </w:r>
          </w:p>
        </w:tc>
      </w:tr>
      <w:tr>
        <w:trPr>
          <w:trHeight w:val="234"/>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r>
    </w:tbl>
    <w:p>
      <w:pPr>
        <w:spacing w:after="0" w:line="198" w:lineRule="exact"/>
        <w:rPr>
          <w:sz w:val="20"/>
          <w:szCs w:val="20"/>
          <w:color w:val="auto"/>
        </w:rPr>
      </w:pPr>
    </w:p>
    <w:p>
      <w:pPr>
        <w:sectPr>
          <w:pgSz w:w="11900" w:h="16838" w:orient="portrait"/>
          <w:cols w:equalWidth="0" w:num="2">
            <w:col w:w="7955" w:space="720"/>
            <w:col w:w="2565"/>
          </w:cols>
          <w:pgMar w:left="320" w:top="873"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No shares of the Company were issued or outstanding in 2020 and, as a result, Earnings Per Share does not exist for 2020.</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 xml:space="preserve">Debt-Debt with Conversion and Other Options (Subtopic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Initial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Private Placement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January 13,</w:t>
            </w:r>
          </w:p>
        </w:tc>
        <w:tc>
          <w:tcPr>
            <w:tcW w:w="92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92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2,024,463</w:t>
            </w: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2,024,463</w:t>
            </w:r>
          </w:p>
        </w:tc>
        <w:tc>
          <w:tcPr>
            <w:tcW w:w="920" w:type="dxa"/>
            <w:vAlign w:val="bottom"/>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0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 January 13,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January 13,</w:t>
            </w:r>
          </w:p>
        </w:tc>
      </w:tr>
      <w:tr>
        <w:trPr>
          <w:trHeight w:val="245"/>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6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term (years)</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6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35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3"/>
          </w:tcPr>
          <w:p>
            <w:pPr>
              <w:jc w:val="right"/>
              <w:ind w:right="4310"/>
              <w:spacing w:after="0"/>
              <w:rPr>
                <w:sz w:val="20"/>
                <w:szCs w:val="20"/>
                <w:color w:val="auto"/>
              </w:rPr>
            </w:pPr>
            <w:r>
              <w:rPr>
                <w:rFonts w:ascii="Times New Roman" w:cs="Times New Roman" w:eastAsia="Times New Roman" w:hAnsi="Times New Roman"/>
                <w:sz w:val="18"/>
                <w:szCs w:val="18"/>
                <w:color w:val="auto"/>
              </w:rPr>
              <w:t>F-19</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133,010,583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59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133,010,583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247,514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247,514</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247,514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247,514</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March 15, 2021: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15,</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0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r>
        <w:trPr>
          <w:trHeight w:val="414"/>
        </w:trPr>
        <w:tc>
          <w:tcPr>
            <w:tcW w:w="9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December 31, 2021: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6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6680" w:type="dxa"/>
            <w:vAlign w:val="bottom"/>
            <w:gridSpan w:val="3"/>
          </w:tcPr>
          <w:p>
            <w:pPr>
              <w:ind w:left="6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6680" w:type="dxa"/>
            <w:vAlign w:val="bottom"/>
            <w:gridSpan w:val="3"/>
          </w:tcPr>
          <w:p>
            <w:pPr>
              <w:ind w:left="6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r>
        <w:trPr>
          <w:trHeight w:val="637"/>
        </w:trPr>
        <w:tc>
          <w:tcPr>
            <w:tcW w:w="35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ind w:left="1940"/>
              <w:spacing w:after="0"/>
              <w:rPr>
                <w:sz w:val="20"/>
                <w:szCs w:val="20"/>
                <w:color w:val="auto"/>
              </w:rPr>
            </w:pPr>
            <w:r>
              <w:rPr>
                <w:rFonts w:ascii="Times New Roman" w:cs="Times New Roman" w:eastAsia="Times New Roman" w:hAnsi="Times New Roman"/>
                <w:sz w:val="18"/>
                <w:szCs w:val="18"/>
                <w:color w:val="auto"/>
              </w:rPr>
              <w:t>F-20</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45"/>
        </w:trPr>
        <w:tc>
          <w:tcPr>
            <w:tcW w:w="10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warrant liability upon issuance at IPO</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270,307</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(22,793)</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Fair value as of December 31, 2021</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247,514</w:t>
            </w:r>
          </w:p>
        </w:tc>
        <w:tc>
          <w:tcPr>
            <w:tcW w:w="100" w:type="dxa"/>
            <w:vAlign w:val="bottom"/>
            <w:tcBorders>
              <w:top w:val="single" w:sz="8" w:color="CCEEFF"/>
            </w:tcBorders>
          </w:tcPr>
          <w:p>
            <w:pPr>
              <w:spacing w:after="0"/>
              <w:rPr>
                <w:sz w:val="18"/>
                <w:szCs w:val="18"/>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at par value of $0.0001 per share.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there were no shares of preferred stock issued or outstanding.</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 value of $0.0001 per share. At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there were 4,161,000 shares of common stock issued and outstanding, excluding 13,300,000 shares of common stock subject to possible redemption.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76"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costs related to Business Combination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77,042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211,133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rPr>
                <w:sz w:val="18"/>
                <w:szCs w:val="18"/>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211,133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(211,133)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$366,866 of U.S. federal net operating loss carryovers, which do not expire, and no state net operating loss carryovers available to offset future taxable income.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992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99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 Income Tax </w:t>
            </w:r>
            <w:r>
              <w:rPr>
                <w:rFonts w:ascii="Times New Roman" w:cs="Times New Roman" w:eastAsia="Times New Roman" w:hAnsi="Times New Roman"/>
                <w:sz w:val="18"/>
                <w:szCs w:val="18"/>
                <w:color w:val="auto"/>
              </w:rPr>
              <w:t>(cont.)</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9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9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7"/>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23"/>
        </w:trPr>
        <w:tc>
          <w:tcPr>
            <w:tcW w:w="9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10, 2022, the Company filed a registration statement on Form S-4 (the “Form S-4”) with respect to the merger between the Company and SoundHound Inc.</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14, 2022, the Company filed Amendment No. 1 to the Form S-4 to address comments the Company received from the SEC on February 9,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6080125</wp:posOffset>
            </wp:positionH>
            <wp:positionV relativeFrom="page">
              <wp:posOffset>568960</wp:posOffset>
            </wp:positionV>
            <wp:extent cx="1259840" cy="3689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259840" cy="36893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Armanino</w:t>
      </w:r>
      <w:r>
        <w:rPr>
          <w:rFonts w:ascii="Times New Roman" w:cs="Times New Roman" w:eastAsia="Times New Roman" w:hAnsi="Times New Roman"/>
          <w:sz w:val="29"/>
          <w:szCs w:val="29"/>
          <w:color w:val="auto"/>
          <w:vertAlign w:val="superscript"/>
        </w:rPr>
        <w:t>LLP</w:t>
      </w: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auditors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200" cy="4718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2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21,626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$109 as of December 31, 2021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48,949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49,203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63,637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LIABILITIES, REDEEMABLE CONVERTIBLE PREFERRED STOCK,</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AND STOCKHOLDERS’ DEFICIT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lease obligation,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 shares authorized; 19,248,537 and 19,132,387</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liquidation preference of $284,826 and $284,047 as of December 31, 2021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279,503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273,687</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45,000,000 shares authorized;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12,280,051 and 11,818,761 shares issued and outstanding as of December 31, 2021 and December 31, 2020,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43,491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30,836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(386,729)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(307,189)</w:t>
            </w: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(343,237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(276,353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49,203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63,637</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6,585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59,178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16,521</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(66,004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(8,342)</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(5,415)</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(79,084)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(73,669)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(79,540)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(74,407)</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the exchange of redeemable convertible preferred stock series D-3A for redeemable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series D-3</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(79,539)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(74,402)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12,104,523</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1980" w:type="dxa"/>
            <w:vAlign w:val="bottom"/>
            <w:tcBorders>
              <w:right w:val="single" w:sz="8" w:color="auto"/>
            </w:tcBorders>
            <w:gridSpan w:val="6"/>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Redeemable Convertible</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980" w:type="dxa"/>
            <w:vAlign w:val="bottom"/>
            <w:tcBorders>
              <w:right w:val="single" w:sz="8" w:color="auto"/>
            </w:tcBorders>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40" w:type="dxa"/>
            <w:vAlign w:val="bottom"/>
          </w:tcPr>
          <w:p>
            <w:pPr>
              <w:spacing w:after="0"/>
              <w:rPr>
                <w:sz w:val="17"/>
                <w:szCs w:val="17"/>
                <w:color w:val="auto"/>
              </w:rPr>
            </w:pPr>
          </w:p>
        </w:tc>
        <w:tc>
          <w:tcPr>
            <w:tcW w:w="1060" w:type="dxa"/>
            <w:vAlign w:val="bottom"/>
            <w:gridSpan w:val="2"/>
          </w:tcPr>
          <w:p>
            <w:pPr>
              <w:jc w:val="center"/>
              <w:ind w:right="241"/>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1980" w:type="dxa"/>
            <w:vAlign w:val="bottom"/>
            <w:tcBorders>
              <w:right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60" w:type="dxa"/>
            <w:vAlign w:val="bottom"/>
          </w:tcPr>
          <w:p>
            <w:pPr>
              <w:spacing w:after="0"/>
              <w:rPr>
                <w:sz w:val="21"/>
                <w:szCs w:val="21"/>
                <w:color w:val="auto"/>
              </w:rPr>
            </w:pPr>
          </w:p>
        </w:tc>
        <w:tc>
          <w:tcPr>
            <w:tcW w:w="190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40" w:type="dxa"/>
            <w:vAlign w:val="bottom"/>
          </w:tcPr>
          <w:p>
            <w:pPr>
              <w:spacing w:after="0"/>
              <w:rPr>
                <w:sz w:val="21"/>
                <w:szCs w:val="21"/>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right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17,784,975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223,641</w:t>
            </w:r>
          </w:p>
        </w:tc>
        <w:tc>
          <w:tcPr>
            <w:tcW w:w="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11,750,082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(206,851)</w:t>
            </w:r>
          </w:p>
        </w:tc>
        <w:tc>
          <w:tcPr>
            <w:tcW w:w="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redeemable convertible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D3 preferred stock Preferred</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exchange at $33.00 per share</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454,545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redeemable convertible</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D3 preferred stock Preferred</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exchange at $40.00 per share</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notes for</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convertible Series D-3</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766,293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30,664</w:t>
            </w:r>
          </w:p>
        </w:tc>
        <w:tc>
          <w:tcPr>
            <w:tcW w:w="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exchange (D-3 to D-</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3A)</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3,182</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(3,182)</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redeemable convertible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 preferred stock upon net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Series B Warrants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w:t>
            </w:r>
          </w:p>
        </w:tc>
        <w:tc>
          <w:tcPr>
            <w:tcW w:w="24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68,679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net of tax</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0" w:type="dxa"/>
            <w:vAlign w:val="bottom"/>
          </w:tcPr>
          <w:p>
            <w:pPr>
              <w:spacing w:after="0"/>
              <w:rPr>
                <w:sz w:val="1"/>
                <w:szCs w:val="1"/>
                <w:color w:val="auto"/>
              </w:rPr>
            </w:pPr>
          </w:p>
        </w:tc>
      </w:tr>
      <w:tr>
        <w:trPr>
          <w:trHeight w:val="236"/>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19,132,387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273,687</w:t>
            </w:r>
          </w:p>
        </w:tc>
        <w:tc>
          <w:tcPr>
            <w:tcW w:w="8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11,818,761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(307,189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common stock warrants</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3,843</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461,290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2,490</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net of tax</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redeemable convertible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 preferred stock upon net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Series C Warrants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5,816</w:t>
            </w:r>
          </w:p>
        </w:tc>
        <w:tc>
          <w:tcPr>
            <w:tcW w:w="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19,248,537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279,503</w:t>
            </w:r>
          </w:p>
        </w:tc>
        <w:tc>
          <w:tcPr>
            <w:tcW w:w="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12,280,051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43,491</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4"/>
              <w:spacing w:after="0"/>
              <w:rPr>
                <w:sz w:val="20"/>
                <w:szCs w:val="20"/>
                <w:color w:val="auto"/>
              </w:rPr>
            </w:pPr>
            <w:r>
              <w:rPr>
                <w:rFonts w:ascii="Times New Roman" w:cs="Times New Roman" w:eastAsia="Times New Roman" w:hAnsi="Times New Roman"/>
                <w:sz w:val="18"/>
                <w:szCs w:val="18"/>
                <w:color w:val="auto"/>
              </w:rPr>
              <w:t>(386,729) $</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(79,540)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6,037</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5,897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upon extinguishment of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3,775</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 non-current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w:t>
            </w: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1,291</w:t>
            </w: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(10,281)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10,341</w:t>
            </w:r>
          </w:p>
        </w:tc>
      </w:tr>
      <w:tr>
        <w:trPr>
          <w:trHeight w:val="250"/>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526</w:t>
            </w:r>
          </w:p>
        </w:tc>
      </w:tr>
      <w:tr>
        <w:trPr>
          <w:trHeight w:val="210"/>
        </w:trPr>
        <w:tc>
          <w:tcPr>
            <w:tcW w:w="868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(66,177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(46,304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p>
      <w:pPr>
        <w:spacing w:after="0" w:line="1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181" w:hanging="1181"/>
        <w:spacing w:after="0"/>
        <w:tabs>
          <w:tab w:leader="none" w:pos="118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(2,162)</w:t>
      </w:r>
    </w:p>
    <w:p>
      <w:pPr>
        <w:spacing w:after="0" w:line="27" w:lineRule="exact"/>
        <w:rPr>
          <w:rFonts w:ascii="Times New Roman" w:cs="Times New Roman" w:eastAsia="Times New Roman" w:hAnsi="Times New Roman"/>
          <w:sz w:val="18"/>
          <w:szCs w:val="18"/>
          <w:color w:val="auto"/>
        </w:rPr>
      </w:pPr>
    </w:p>
    <w:p>
      <w:pPr>
        <w:ind w:left="1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—13,610</w:t>
      </w:r>
    </w:p>
    <w:p>
      <w:pPr>
        <w:spacing w:after="0" w:line="23" w:lineRule="exact"/>
        <w:rPr>
          <w:sz w:val="20"/>
          <w:szCs w:val="20"/>
          <w:color w:val="auto"/>
        </w:rPr>
      </w:pPr>
    </w:p>
    <w:p>
      <w:pPr>
        <w:ind w:left="1"/>
        <w:spacing w:after="0"/>
        <w:tabs>
          <w:tab w:leader="none" w:pos="1140" w:val="left"/>
        </w:tabs>
        <w:rPr>
          <w:sz w:val="20"/>
          <w:szCs w:val="20"/>
          <w:color w:val="auto"/>
        </w:rPr>
      </w:pPr>
      <w:r>
        <w:rPr>
          <w:rFonts w:ascii="Times New Roman" w:cs="Times New Roman" w:eastAsia="Times New Roman" w:hAnsi="Times New Roman"/>
          <w:sz w:val="18"/>
          <w:szCs w:val="18"/>
          <w:color w:val="auto"/>
        </w:rPr>
        <w:t>(636)</w:t>
      </w:r>
      <w:r>
        <w:rPr>
          <w:sz w:val="20"/>
          <w:szCs w:val="20"/>
          <w:color w:val="auto"/>
        </w:rPr>
        <w:tab/>
      </w:r>
      <w:r>
        <w:rPr>
          <w:rFonts w:ascii="Times New Roman" w:cs="Times New Roman" w:eastAsia="Times New Roman" w:hAnsi="Times New Roman"/>
          <w:sz w:val="18"/>
          <w:szCs w:val="18"/>
          <w:color w:val="auto"/>
        </w:rPr>
        <w:t>11,448</w:t>
      </w:r>
    </w:p>
    <w:p>
      <w:pPr>
        <w:spacing w:after="0" w:line="200" w:lineRule="exact"/>
        <w:rPr>
          <w:sz w:val="20"/>
          <w:szCs w:val="20"/>
          <w:color w:val="auto"/>
        </w:rPr>
      </w:pPr>
    </w:p>
    <w:p>
      <w:pPr>
        <w:sectPr>
          <w:pgSz w:w="11900" w:h="16838" w:orient="portrait"/>
          <w:cols w:equalWidth="0" w:num="2">
            <w:col w:w="8759" w:space="720"/>
            <w:col w:w="1761"/>
          </w:cols>
          <w:pgMar w:left="320" w:top="873"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14,905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 payable, net of issuance cost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preferred stock</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(2,575)</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 for redeemable convertible preferred stock</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44,653</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53,454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 equivalents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44,982</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F-31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8680" w:type="dxa"/>
            <w:vAlign w:val="bottom"/>
            <w:tcBorders>
              <w:top w:val="single" w:sz="8" w:color="CCEEFF"/>
            </w:tcBorders>
          </w:tcPr>
          <w:p>
            <w:pPr>
              <w:ind w:left="540"/>
              <w:spacing w:after="0" w:line="171"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 the consolidated statements of cash flows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and right-of-use assets through adoption of Topic 842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Debt discount through issuance of common stock warrants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 discount through issuance of convertible note with derivative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liability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Extinguishment of derivative liability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Non-cash debt discount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Issues of series C redeemable convertible preferred stock for exercise of warrants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Issues of series B redeemable convertible preferred stock for exercise of warrants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Deemed dividend from exchange of series D-3A redeemable convertible preferred stock for series D-3</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notes to series D-3A redeemable convertible preferred stock</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right="9280" w:hanging="332"/>
        <w:spacing w:after="0" w:line="532" w:lineRule="auto"/>
        <w:tabs>
          <w:tab w:leader="none" w:pos="3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u w:val="single" w:color="auto"/>
          <w:color w:val="auto"/>
        </w:rPr>
        <w:t>Nature of Operations</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SoundHound, Inc. and its subsidiaries (“SoundHound” or the “Company”) was incorporated in Delaware on September 2, 2005 and is headquartered in Santa Clara, California.</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84"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179"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87" w:lineRule="exact"/>
        <w:rPr>
          <w:rFonts w:ascii="Times New Roman" w:cs="Times New Roman" w:eastAsia="Times New Roman" w:hAnsi="Times New Roman"/>
          <w:sz w:val="17"/>
          <w:szCs w:val="17"/>
          <w:b w:val="1"/>
          <w:bCs w:val="1"/>
          <w:color w:val="auto"/>
        </w:rPr>
      </w:pPr>
    </w:p>
    <w:p>
      <w:pPr>
        <w:jc w:val="both"/>
        <w:ind w:left="3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8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87" w:lineRule="exact"/>
        <w:rPr>
          <w:rFonts w:ascii="Times New Roman" w:cs="Times New Roman" w:eastAsia="Times New Roman" w:hAnsi="Times New Roman"/>
          <w:sz w:val="18"/>
          <w:szCs w:val="18"/>
          <w:b w:val="1"/>
          <w:bCs w:val="1"/>
          <w:color w:val="auto"/>
        </w:rPr>
      </w:pPr>
    </w:p>
    <w:p>
      <w:pPr>
        <w:ind w:left="340" w:right="6220" w:hanging="332"/>
        <w:spacing w:after="0" w:line="532" w:lineRule="auto"/>
        <w:tabs>
          <w:tab w:leader="none" w:pos="3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5"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29"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subsidiaries. All intercompany accounts and transactions have been eliminated in consolidation.</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Reclassification</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175"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u w:val="single" w:color="auto"/>
          <w:color w:val="auto"/>
        </w:rPr>
        <w:t>Foreign Currency</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Cash Equivalents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Accounts Receivable, Net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using the straight-line method over the estimated useful lives of the respective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tc>
        <w:tc>
          <w:tcPr>
            <w:tcW w:w="3520" w:type="dxa"/>
            <w:vAlign w:val="bottom"/>
          </w:tcPr>
          <w:p>
            <w:pPr>
              <w:spacing w:after="0"/>
              <w:rPr>
                <w:sz w:val="20"/>
                <w:szCs w:val="20"/>
                <w:color w:val="auto"/>
              </w:rPr>
            </w:pPr>
          </w:p>
        </w:tc>
      </w:tr>
      <w:tr>
        <w:trPr>
          <w:trHeight w:val="216"/>
        </w:trPr>
        <w:tc>
          <w:tcPr>
            <w:tcW w:w="77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5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 – 4 years</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5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5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Lesser of useful life or the term of the lease</w:t>
            </w:r>
          </w:p>
        </w:tc>
      </w:tr>
      <w:tr>
        <w:trPr>
          <w:trHeight w:val="41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as incurred.</w:t>
            </w:r>
          </w:p>
        </w:tc>
        <w:tc>
          <w:tcPr>
            <w:tcW w:w="3520" w:type="dxa"/>
            <w:vAlign w:val="bottom"/>
          </w:tcPr>
          <w:p>
            <w:pPr>
              <w:spacing w:after="0"/>
              <w:rPr>
                <w:sz w:val="24"/>
                <w:szCs w:val="24"/>
                <w:color w:val="auto"/>
              </w:rPr>
            </w:pPr>
          </w:p>
        </w:tc>
      </w:tr>
      <w:tr>
        <w:trPr>
          <w:trHeight w:val="655"/>
        </w:trPr>
        <w:tc>
          <w:tcPr>
            <w:tcW w:w="77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F-35</w:t>
            </w: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2021, the Company had three customers that accounted for 61% of revenue and two customers that accounted for 43% of revenue for the year ended December 31, 2020.</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7"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Company is committed to issuing an instrument that 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8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87" w:lineRule="exact"/>
        <w:rPr>
          <w:sz w:val="20"/>
          <w:szCs w:val="20"/>
          <w:color w:val="auto"/>
        </w:rPr>
      </w:pPr>
    </w:p>
    <w:p>
      <w:pPr>
        <w:jc w:val="both"/>
        <w:ind w:lef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 historical volatility of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the period immediately preceding the option grant for a term that is approximately equal to the option’s expected term.</w:t>
      </w:r>
    </w:p>
    <w:p>
      <w:pPr>
        <w:spacing w:after="0" w:line="158"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options represents the period that the stock-based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80" w:lineRule="exact"/>
        <w:rPr>
          <w:sz w:val="20"/>
          <w:szCs w:val="20"/>
          <w:color w:val="auto"/>
        </w:rPr>
      </w:pPr>
    </w:p>
    <w:p>
      <w:pPr>
        <w:jc w:val="both"/>
        <w:ind w:left="8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term that is equal to the options’ expected term at the grant date.</w:t>
      </w:r>
    </w:p>
    <w:p>
      <w:pPr>
        <w:spacing w:after="0" w:line="158" w:lineRule="exact"/>
        <w:rPr>
          <w:sz w:val="20"/>
          <w:szCs w:val="20"/>
          <w:color w:val="auto"/>
        </w:rPr>
      </w:pPr>
    </w:p>
    <w:p>
      <w:pPr>
        <w:jc w:val="both"/>
        <w:ind w:lef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declared or paid dividends to date and does not anticipate declaring dividends. As such, the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has been estimated to be zero.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jc w:val="both"/>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 indirectly observable for the asset or liability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correlation with market data at the measurement date and for the duration of the instrument’s anticipated life.</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Consideration is given to the risk inherent in the valuation technique and the risk inherent in the inputs to the model.</w:t>
      </w:r>
    </w:p>
    <w:p>
      <w:pPr>
        <w:spacing w:after="0" w:line="16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229"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w:t>
      </w:r>
    </w:p>
    <w:p>
      <w:pPr>
        <w:spacing w:after="0" w:line="1" w:lineRule="exact"/>
        <w:rPr>
          <w:sz w:val="20"/>
          <w:szCs w:val="20"/>
          <w:color w:val="auto"/>
        </w:rPr>
      </w:pPr>
    </w:p>
    <w:p>
      <w:pPr>
        <w:jc w:val="both"/>
        <w:ind w:left="340" w:hanging="8"/>
        <w:spacing w:after="0" w:line="253" w:lineRule="auto"/>
        <w:tabs>
          <w:tab w:leader="none" w:pos="6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the Company elected the transition package of three practical expedients which allow companies not to reassess (i) whether agreements contain leases, (ii) the classification of leases, and (iii) 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adoption of the new lease accounting guidance, the Company recognized on January 1, 2021:</w:t>
      </w:r>
    </w:p>
    <w:p>
      <w:pPr>
        <w:spacing w:after="0" w:line="225"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additionally recharacterized its capital leases as finance leases. However, there was no quantitative impact to capital leases upon transitioning to the new standard.</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17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188"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w:t>
      </w:r>
    </w:p>
    <w:p>
      <w:pPr>
        <w:spacing w:after="0" w:line="3" w:lineRule="exact"/>
        <w:rPr>
          <w:rFonts w:ascii="Times New Roman" w:cs="Times New Roman" w:eastAsia="Times New Roman" w:hAnsi="Times New Roman"/>
          <w:sz w:val="18"/>
          <w:szCs w:val="18"/>
          <w:b w:val="1"/>
          <w:bCs w:val="1"/>
          <w:color w:val="auto"/>
        </w:rPr>
      </w:pPr>
    </w:p>
    <w:p>
      <w:pPr>
        <w:jc w:val="both"/>
        <w:ind w:left="340" w:hanging="8"/>
        <w:spacing w:after="0" w:line="253" w:lineRule="auto"/>
        <w:tabs>
          <w:tab w:leader="none" w:pos="6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82" w:lineRule="exact"/>
        <w:rPr>
          <w:rFonts w:ascii="Times New Roman" w:cs="Times New Roman" w:eastAsia="Times New Roman" w:hAnsi="Times New Roman"/>
          <w:sz w:val="18"/>
          <w:szCs w:val="18"/>
          <w:color w:val="auto"/>
        </w:rPr>
      </w:pPr>
    </w:p>
    <w:p>
      <w:pPr>
        <w:ind w:left="340" w:right="8660" w:hanging="332"/>
        <w:spacing w:after="0" w:line="532" w:lineRule="auto"/>
        <w:tabs>
          <w:tab w:leader="none" w:pos="34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b w:val="1"/>
          <w:bCs w:val="1"/>
          <w:u w:val="single" w:color="auto"/>
          <w:color w:val="auto"/>
        </w:rPr>
        <w:t>Revenue Recognition</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83"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and</w:t>
      </w:r>
    </w:p>
    <w:p>
      <w:pPr>
        <w:spacing w:after="0" w:line="27" w:lineRule="exact"/>
        <w:rPr>
          <w:rFonts w:ascii="Times New Roman" w:cs="Times New Roman" w:eastAsia="Times New Roman" w:hAnsi="Times New Roman"/>
          <w:sz w:val="17"/>
          <w:szCs w:val="17"/>
          <w:b w:val="1"/>
          <w:bCs w:val="1"/>
          <w:color w:val="auto"/>
        </w:rPr>
      </w:pPr>
    </w:p>
    <w:p>
      <w:pPr>
        <w:ind w:left="580" w:hanging="248"/>
        <w:spacing w:after="0"/>
        <w:tabs>
          <w:tab w:leader="none" w:pos="5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monetization. Revenue is reported net of applicable sales and use taxes that are passed through to customers.</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Monetization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9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2021 and 2020, revenues under each performance obligation were: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8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1"/>
        </w:trPr>
        <w:tc>
          <w:tcPr>
            <w:tcW w:w="88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geographic location is as follows:</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8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5,117</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8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2021 and 2020, the disaggregated revenue by recognition pattern is as follows:</w:t>
            </w: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8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5,987</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7"/>
        </w:trPr>
        <w:tc>
          <w:tcPr>
            <w:tcW w:w="8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4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1"/>
        </w:trPr>
        <w:tc>
          <w:tcPr>
            <w:tcW w:w="884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F-44</w:t>
            </w: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8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176"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9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8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at cost</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33,554</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32,488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(27,399)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(22,053)</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4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76"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33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on the consolidated balance sheets are comprised of the following as of December 31, 2021 and 2020,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8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r>
      <w:tr>
        <w:trPr>
          <w:trHeight w:val="236"/>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0"/>
        </w:trPr>
        <w:tc>
          <w:tcPr>
            <w:tcW w:w="884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7,298</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Pr>
          <w:p>
            <w:pPr>
              <w:spacing w:after="0"/>
              <w:rPr>
                <w:sz w:val="21"/>
                <w:szCs w:val="2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58" w:lineRule="exact"/>
        <w:rPr>
          <w:sz w:val="20"/>
          <w:szCs w:val="20"/>
          <w:color w:val="auto"/>
        </w:rPr>
      </w:pPr>
    </w:p>
    <w:p>
      <w:pPr>
        <w:ind w:left="340" w:right="7460" w:hanging="332"/>
        <w:spacing w:after="0" w:line="503" w:lineRule="auto"/>
        <w:tabs>
          <w:tab w:leader="none" w:pos="3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Contracts</w:t>
      </w: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Letters of Credit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(cont.)</w:t>
      </w:r>
    </w:p>
    <w:p>
      <w:pPr>
        <w:spacing w:after="0" w:line="232" w:lineRule="exact"/>
        <w:rPr>
          <w:rFonts w:ascii="Times New Roman" w:cs="Times New Roman" w:eastAsia="Times New Roman" w:hAnsi="Times New Roman"/>
          <w:sz w:val="18"/>
          <w:szCs w:val="18"/>
          <w:b w:val="1"/>
          <w:bCs w:val="1"/>
          <w:color w:val="auto"/>
        </w:rPr>
      </w:pPr>
    </w:p>
    <w:p>
      <w:pPr>
        <w:jc w:val="both"/>
        <w:ind w:left="340"/>
        <w:spacing w:after="0" w:line="2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20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of $1,105 and $829, respectively.</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184" w:lineRule="exact"/>
        <w:rPr>
          <w:rFonts w:ascii="Times New Roman" w:cs="Times New Roman" w:eastAsia="Times New Roman" w:hAnsi="Times New Roman"/>
          <w:sz w:val="18"/>
          <w:szCs w:val="18"/>
          <w:b w:val="1"/>
          <w:bCs w:val="1"/>
          <w:color w:val="auto"/>
        </w:rPr>
      </w:pPr>
    </w:p>
    <w:p>
      <w:pPr>
        <w:ind w:left="340" w:right="7080" w:hanging="332"/>
        <w:spacing w:after="0" w:line="503" w:lineRule="auto"/>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b w:val="1"/>
          <w:bCs w:val="1"/>
          <w:i w:val="1"/>
          <w:iCs w:val="1"/>
          <w:color w:val="auto"/>
        </w:rPr>
        <w:t>2020 Convertible Notes</w:t>
      </w: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9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upon a change of control event, the Company shall settle both the May Note and SNAP June 2020 Note in cash, pursuant to the following terms (“Redemption Features”):</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200% of the then outstanding principal amount of the respective note plus any unpaid accrued interest on the original principal of such note; and</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62"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 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88"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560" w:type="dxa"/>
            <w:vAlign w:val="bottom"/>
            <w:tcBorders>
              <w:bottom w:val="single" w:sz="8" w:color="CCEEFF"/>
            </w:tcBorders>
          </w:tcPr>
          <w:p>
            <w:pPr>
              <w:spacing w:after="0"/>
              <w:rPr>
                <w:sz w:val="21"/>
                <w:szCs w:val="21"/>
                <w:color w:val="auto"/>
              </w:rPr>
            </w:pPr>
          </w:p>
        </w:tc>
        <w:tc>
          <w:tcPr>
            <w:tcW w:w="4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gain/(loss)</w:t>
            </w:r>
          </w:p>
        </w:tc>
        <w:tc>
          <w:tcPr>
            <w:tcW w:w="4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r>
      <w:tr>
        <w:trPr>
          <w:trHeight w:val="655"/>
        </w:trPr>
        <w:tc>
          <w:tcPr>
            <w:tcW w:w="45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F-49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SVB March 2021 Note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SCI June 2021 Note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NOTES AND NOTE PAYABLE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below table summarizes the Company’s debt balances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SVB</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March 2021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SNAP</w:t>
            </w: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SCI</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June 2020</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2021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SNAP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June 2020</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22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fair values of the warrants were determined based on significant inputs not observable in the market, which represent Level 3 measurements within the fair value hierarchy.</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7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Series B Warrants (September 2010 and March 2011)</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76"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 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fair value of the Series C Warrants as of December 31, 2021 and 2020 was approximately $0 and $2,004, respectively.</w:t>
      </w:r>
    </w:p>
    <w:p>
      <w:pPr>
        <w:spacing w:after="0" w:line="22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the fair value of the April 2013 Series C Warrants using the Black-Scholes option-pricing model using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7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November 2013 Series C Warrants using the Black-Scholes option-pricing model and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 and SCI June 2021 Note)</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determined the fair value of the SVB March 2021 Note and SCI June 2021 Note common stock warrants at issuance using the Black-</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Scholes option-pricing model using the following assumptions,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 Common Stock Warrants</w:t>
            </w:r>
          </w:p>
        </w:tc>
        <w:tc>
          <w:tcPr>
            <w:tcW w:w="4100" w:type="dxa"/>
            <w:vAlign w:val="bottom"/>
          </w:tcPr>
          <w:p>
            <w:pPr>
              <w:spacing w:after="0"/>
              <w:rPr>
                <w:sz w:val="17"/>
                <w:szCs w:val="17"/>
                <w:color w:val="auto"/>
              </w:rPr>
            </w:pPr>
          </w:p>
        </w:tc>
      </w:tr>
      <w:tr>
        <w:trPr>
          <w:trHeight w:val="21"/>
        </w:trPr>
        <w:tc>
          <w:tcPr>
            <w:tcW w:w="3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r>
        <w:trPr>
          <w:trHeight w:val="373"/>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 Common Stock Warrants</w:t>
            </w:r>
          </w:p>
        </w:tc>
        <w:tc>
          <w:tcPr>
            <w:tcW w:w="4100" w:type="dxa"/>
            <w:vAlign w:val="bottom"/>
          </w:tcPr>
          <w:p>
            <w:pPr>
              <w:spacing w:after="0"/>
              <w:rPr>
                <w:sz w:val="24"/>
                <w:szCs w:val="24"/>
                <w:color w:val="auto"/>
              </w:rPr>
            </w:pPr>
          </w:p>
        </w:tc>
      </w:tr>
      <w:tr>
        <w:trPr>
          <w:trHeight w:val="21"/>
        </w:trPr>
        <w:tc>
          <w:tcPr>
            <w:tcW w:w="34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w:t>
            </w: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6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 derivative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years ended December 31, 2021 and 2020.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other financial assets or liabilities that were required to be measured at fair value on a recurring basis.</w:t>
      </w:r>
    </w:p>
    <w:p>
      <w:pPr>
        <w:spacing w:after="0" w:line="203"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Preferred Stock authorized, issued and outstanding as of December 31, 2021 is as follows</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10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6,065,646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6,065,646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1,041,607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1,023,631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6,869</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798,399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798,399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3,646,050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3,646,050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D-1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1,515,152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1,515,152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1,515,151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1,515,151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D-3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1,245,838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50,046</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4,545,454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598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26,316,129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19,248,537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8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2020, the Company issued 25,000 shares of Series D-3 Preferred Stock for net cash proceeds of approximately $1,000.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2020, the Series B Warrants were exercised in full resulting in the issuance of 101,574 shares of Series B Preferred Stock at $1.97 per share for net cash proceeds of approximately $200.</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Dividends</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Conversion</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outstanding Preferred Stock will automatically be converted into fully-paid, non-assessable shares of common stock upon the earlier of:</w:t>
      </w:r>
    </w:p>
    <w:p>
      <w:pPr>
        <w:spacing w:after="0" w:line="27"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 (ii) the date specified by written consent or agreement of the holders of a majority of the then outstanding shares of Preferred Stock, voting together as a single class on an as-converted to common stock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right="8620" w:hanging="332"/>
        <w:spacing w:after="0" w:line="503" w:lineRule="auto"/>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Liquidation Preference</w:t>
      </w:r>
    </w:p>
    <w:p>
      <w:pPr>
        <w:ind w:left="340" w:right="374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any voluntary or involuntary liquidation, dissolution or winding up of the Company: </w:t>
      </w:r>
      <w:r>
        <w:rPr>
          <w:rFonts w:ascii="Times New Roman" w:cs="Times New Roman" w:eastAsia="Times New Roman" w:hAnsi="Times New Roman"/>
          <w:sz w:val="18"/>
          <w:szCs w:val="18"/>
          <w:u w:val="single" w:color="auto"/>
          <w:color w:val="auto"/>
        </w:rPr>
        <w:t>Series D, D-1, D-3 and D-3A Preference</w:t>
      </w:r>
    </w:p>
    <w:p>
      <w:pPr>
        <w:spacing w:after="0" w:line="1"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9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Series D-2 Preference</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9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Series C-1 Preference</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 (i) $20.13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right="8620" w:hanging="332"/>
        <w:spacing w:after="0" w:line="503" w:lineRule="auto"/>
        <w:tabs>
          <w:tab w:leader="none" w:pos="3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Series C Preference</w:t>
      </w: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w:t>
      </w: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$6.71 per share, adjustable for certain events, such as stock splits, stock dividends, reclassification and the like, for each share of Series C Preferred Stock then held by them, plus all declared but unpaid dividends, or (ii) 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Series B Preference</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 (ii) 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Series A Preference</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Remaining Assets for Distribution</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 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right="8620" w:hanging="332"/>
        <w:spacing w:after="0" w:line="503" w:lineRule="auto"/>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Redemption</w:t>
      </w: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Voting Rights</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 as a single class on an as-converted basis, are entitled to elect one director of the Company.</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the Company has authorized the issuance of 45,000,000 shares of common stock.</w:t>
      </w:r>
    </w:p>
    <w:p>
      <w:pPr>
        <w:spacing w:after="0" w:line="22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reserved shares of common stock for future issuance on an as-if converted basis related to the following outstanding Preferred Stock, warrants, stock options and future grants as of December 31, 2021: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6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3,438,670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6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6,065,646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6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1,023,631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Series C-1 Preferred Stock</w:t>
            </w:r>
          </w:p>
        </w:tc>
        <w:tc>
          <w:tcPr>
            <w:tcW w:w="6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798,399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6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3,646,050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6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1,515,152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6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1,515,151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6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1,245,838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6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191,355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6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5,475,283</w:t>
            </w:r>
          </w:p>
        </w:tc>
      </w:tr>
      <w:tr>
        <w:trPr>
          <w:trHeight w:val="236"/>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incentive plan shares reserved for future issuance</w:t>
            </w:r>
          </w:p>
        </w:tc>
        <w:tc>
          <w:tcPr>
            <w:tcW w:w="5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499,328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0"/>
        </w:trPr>
        <w:tc>
          <w:tcPr>
            <w:tcW w:w="474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25,414,503</w:t>
            </w:r>
          </w:p>
        </w:tc>
        <w:tc>
          <w:tcPr>
            <w:tcW w:w="10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color w:val="auto"/>
              </w:rPr>
              <w:t>F-59</w:t>
            </w:r>
          </w:p>
        </w:tc>
      </w:tr>
    </w:tbl>
    <w:p>
      <w:pPr>
        <w:sectPr>
          <w:pgSz w:w="11900" w:h="16838" w:orient="portrait"/>
          <w:cols w:equalWidth="0" w:num="1">
            <w:col w:w="11240"/>
          </w:cols>
          <w:pgMar w:left="320" w:top="873"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 Activity</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 activity under the Plans is as follows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378,010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4,276,480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650,000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(1,446,350)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1,446,350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(68,679)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475,875</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(475,875)</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December 31, 2020</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57,535</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5,178,276</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13.23</w:t>
            </w:r>
          </w:p>
        </w:tc>
        <w:tc>
          <w:tcPr>
            <w:tcW w:w="1320" w:type="dxa"/>
            <w:vAlign w:val="bottom"/>
            <w:tcBorders>
              <w:top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6.75</w:t>
            </w: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36,987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(1,134,542)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1,134,542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(461,290)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376,245</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(376,245)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499,238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December 31, 2021</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line="20" w:lineRule="exact"/>
              <w:rPr>
                <w:sz w:val="1"/>
                <w:szCs w:val="1"/>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125,517</w:t>
            </w:r>
          </w:p>
        </w:tc>
        <w:tc>
          <w:tcPr>
            <w:tcW w:w="0" w:type="dxa"/>
            <w:vAlign w:val="bottom"/>
          </w:tcPr>
          <w:p>
            <w:pPr>
              <w:spacing w:after="0"/>
              <w:rPr>
                <w:sz w:val="1"/>
                <w:szCs w:val="1"/>
                <w:color w:val="auto"/>
              </w:rPr>
            </w:pPr>
          </w:p>
        </w:tc>
      </w:tr>
      <w:tr>
        <w:trPr>
          <w:trHeight w:val="234"/>
        </w:trPr>
        <w:tc>
          <w:tcPr>
            <w:tcW w:w="4620" w:type="dxa"/>
            <w:vAlign w:val="bottom"/>
            <w:vMerge w:val="continue"/>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options vested was approximately $5,358 and $5,400, during the years ended December 31, 2021 and 2020,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INCENTIVE PLAN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4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 Per Share</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r>
      <w:tr>
        <w:trPr>
          <w:trHeight w:val="216"/>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$2.43 – $12.06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1,223,100</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$12.07 – $15.34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1,223,673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1,154,889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$15.35 – $19.31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876,147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531,085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$19.32 – $24.17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1,156,561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404,605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8"/>
                <w:szCs w:val="18"/>
                <w:color w:val="auto"/>
              </w:rPr>
            </w:pPr>
          </w:p>
        </w:tc>
      </w:tr>
      <w:tr>
        <w:trPr>
          <w:trHeight w:val="23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$24.18 – $50.07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995,802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8,481</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CEEFF"/>
          </w:tcPr>
          <w:p>
            <w:pPr>
              <w:spacing w:after="0"/>
              <w:rPr>
                <w:sz w:val="19"/>
                <w:szCs w:val="19"/>
                <w:color w:val="auto"/>
              </w:rPr>
            </w:pPr>
          </w:p>
        </w:tc>
      </w:tr>
      <w:tr>
        <w:trPr>
          <w:trHeight w:val="27"/>
        </w:trPr>
        <w:tc>
          <w:tcPr>
            <w:tcW w:w="6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6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5,475,283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3,322,160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21"/>
                <w:szCs w:val="21"/>
                <w:color w:val="auto"/>
              </w:rPr>
            </w:pPr>
          </w:p>
        </w:tc>
      </w:tr>
      <w:tr>
        <w:trPr>
          <w:trHeight w:val="21"/>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as of December 31, 2021 and 2020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0.64%</w:t>
            </w:r>
          </w:p>
        </w:tc>
      </w:tr>
    </w:tbl>
    <w:p>
      <w:pPr>
        <w:spacing w:after="0" w:line="19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operating expense accounts on the consolidated statements of operations and comprehensive loss for the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vMerge w:val="continue"/>
          </w:tcPr>
          <w:p>
            <w:pPr>
              <w:spacing w:after="0"/>
              <w:rPr>
                <w:sz w:val="20"/>
                <w:szCs w:val="20"/>
                <w:color w:val="auto"/>
              </w:rPr>
            </w:pPr>
          </w:p>
        </w:tc>
        <w:tc>
          <w:tcPr>
            <w:tcW w:w="522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rPr>
              <w:t>F-61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INCENTIVE PLAN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Executive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December 31, 2021.</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noncancelable future minimum lease payments under operating and finance leases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20" w:type="dxa"/>
            <w:vAlign w:val="bottom"/>
          </w:tcPr>
          <w:p>
            <w:pPr>
              <w:spacing w:after="0"/>
              <w:rPr>
                <w:sz w:val="21"/>
                <w:szCs w:val="21"/>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4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4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7"/>
        </w:trPr>
        <w:tc>
          <w:tcPr>
            <w:tcW w:w="4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4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vMerge w:val="continue"/>
            <w:shd w:val="clear" w:color="auto" w:fill="CCEEFF"/>
          </w:tcPr>
          <w:p>
            <w:pPr>
              <w:spacing w:after="0"/>
              <w:rPr>
                <w:sz w:val="21"/>
                <w:szCs w:val="21"/>
                <w:color w:val="auto"/>
              </w:rPr>
            </w:pPr>
          </w:p>
        </w:tc>
        <w:tc>
          <w:tcPr>
            <w:tcW w:w="4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Additional information related to the Company’s lease balances during the year ended and as of December 31, 2021 includes</w:t>
            </w:r>
            <w:r>
              <w:rPr>
                <w:rFonts w:ascii="Times New Roman" w:cs="Times New Roman" w:eastAsia="Times New Roman" w:hAnsi="Times New Roman"/>
                <w:sz w:val="18"/>
                <w:szCs w:val="18"/>
                <w:i w:val="1"/>
                <w:iCs w:val="1"/>
                <w:color w:val="auto"/>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20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 cost:</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637"/>
        </w:trPr>
        <w:tc>
          <w:tcPr>
            <w:tcW w:w="4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jc w:val="right"/>
              <w:ind w:right="3000"/>
              <w:spacing w:after="0"/>
              <w:rPr>
                <w:sz w:val="20"/>
                <w:szCs w:val="20"/>
                <w:color w:val="auto"/>
              </w:rPr>
            </w:pPr>
            <w:r>
              <w:rPr>
                <w:rFonts w:ascii="Times New Roman" w:cs="Times New Roman" w:eastAsia="Times New Roman" w:hAnsi="Times New Roman"/>
                <w:sz w:val="18"/>
                <w:szCs w:val="18"/>
                <w:color w:val="auto"/>
              </w:rPr>
              <w:t>F-62</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13. LEASES </w:t>
            </w:r>
            <w:r>
              <w:rPr>
                <w:rFonts w:ascii="Times New Roman" w:cs="Times New Roman" w:eastAsia="Times New Roman" w:hAnsi="Times New Roman"/>
                <w:sz w:val="18"/>
                <w:szCs w:val="18"/>
                <w:color w:val="auto"/>
              </w:rPr>
              <w:t>(cont.)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45"/>
        </w:trPr>
        <w:tc>
          <w:tcPr>
            <w:tcW w:w="860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4.51</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5.94%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rent expense totaled approximately $4,178 and $3,514 during the years ended December 31, 2021 and 2020, respectively.</w:t>
      </w:r>
    </w:p>
    <w:p>
      <w:pPr>
        <w:spacing w:after="0" w:line="221"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 NET</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expense, net on the consolidated statements of operations and comprehensive loss is comprised of the following for the years ended December 31, 2021 and 2020, respectively:</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extinguishment of convertible note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(4,920)</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(3,775)</w:t>
            </w:r>
          </w:p>
        </w:tc>
      </w:tr>
      <w:tr>
        <w:trPr>
          <w:trHeight w:val="255"/>
        </w:trPr>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2"/>
                <w:szCs w:val="22"/>
                <w:color w:val="auto"/>
              </w:rPr>
            </w:pPr>
          </w:p>
        </w:tc>
      </w:tr>
      <w:tr>
        <w:trPr>
          <w:trHeight w:val="25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years ended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(79,540)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(74,407)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deemed dividend related to the exchange of Preferred Stock Series D-3A for Preferred Stock Series D-3</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12,104,523</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11,780,078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diluted earnings per share is equal to the basic earnings per share as the effect of potentially dilutive securities would have been antidilutive.</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CCEEFF"/>
            </w:tcBorders>
          </w:tcPr>
          <w:p>
            <w:pPr>
              <w:spacing w:after="0"/>
              <w:rPr>
                <w:sz w:val="20"/>
                <w:szCs w:val="20"/>
                <w:color w:val="auto"/>
              </w:rPr>
            </w:pPr>
          </w:p>
        </w:tc>
        <w:tc>
          <w:tcPr>
            <w:tcW w:w="50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50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134,126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6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50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19,248,537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19,132,387</w:t>
            </w:r>
          </w:p>
        </w:tc>
        <w:tc>
          <w:tcPr>
            <w:tcW w:w="0" w:type="dxa"/>
            <w:vAlign w:val="bottom"/>
          </w:tcPr>
          <w:p>
            <w:pPr>
              <w:spacing w:after="0"/>
              <w:rPr>
                <w:sz w:val="1"/>
                <w:szCs w:val="1"/>
                <w:color w:val="auto"/>
              </w:rPr>
            </w:pPr>
          </w:p>
        </w:tc>
      </w:tr>
      <w:tr>
        <w:trPr>
          <w:trHeight w:val="27"/>
        </w:trPr>
        <w:tc>
          <w:tcPr>
            <w:tcW w:w="36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vMerge w:val="continue"/>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24,915,175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24,444,789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F-63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income (loss) before provision for income taxes for the years ended December 31, 2021 and 2020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878</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50"/>
        </w:trPr>
        <w:tc>
          <w:tcPr>
            <w:tcW w:w="86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2021 and 2020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6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8680" w:type="dxa"/>
            <w:vAlign w:val="bottom"/>
          </w:tcPr>
          <w:p>
            <w:pPr>
              <w:spacing w:after="0"/>
              <w:rPr>
                <w:sz w:val="24"/>
                <w:szCs w:val="24"/>
                <w:color w:val="auto"/>
              </w:rPr>
            </w:pP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Total provision</w:t>
            </w: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benefit from income taxes differs from the amount expected by applying the federal statutory rate to the loss before taxes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CCEEFF"/>
            </w:tcBorders>
          </w:tcPr>
          <w:p>
            <w:pPr>
              <w:spacing w:after="0"/>
              <w:rPr>
                <w:sz w:val="21"/>
                <w:szCs w:val="21"/>
                <w:color w:val="auto"/>
              </w:rPr>
            </w:pPr>
          </w:p>
        </w:tc>
        <w:tc>
          <w:tcPr>
            <w:tcW w:w="41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CEEFF"/>
            </w:tcBorders>
          </w:tcPr>
          <w:p>
            <w:pPr>
              <w:spacing w:after="0"/>
              <w:rPr>
                <w:sz w:val="21"/>
                <w:szCs w:val="2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4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21.00%</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rate, net of federal benefit</w:t>
            </w:r>
          </w:p>
        </w:tc>
        <w:tc>
          <w:tcPr>
            <w:tcW w:w="56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2.56%</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and income tax</w:t>
            </w:r>
          </w:p>
        </w:tc>
        <w:tc>
          <w:tcPr>
            <w:tcW w:w="56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56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6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6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permanent expenses</w:t>
            </w:r>
          </w:p>
        </w:tc>
        <w:tc>
          <w:tcPr>
            <w:tcW w:w="56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6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50"/>
        </w:trPr>
        <w:tc>
          <w:tcPr>
            <w:tcW w:w="4280" w:type="dxa"/>
            <w:vAlign w:val="bottom"/>
            <w:tcBorders>
              <w:top w:val="single" w:sz="8" w:color="CCEEFF"/>
              <w:bottom w:val="single" w:sz="8" w:color="CCEEFF"/>
            </w:tcBorders>
            <w:shd w:val="clear" w:color="auto" w:fill="CCEEFF"/>
          </w:tcPr>
          <w:p>
            <w:pPr>
              <w:spacing w:after="0"/>
              <w:rPr>
                <w:sz w:val="21"/>
                <w:szCs w:val="21"/>
                <w:color w:val="auto"/>
              </w:rPr>
            </w:pPr>
          </w:p>
        </w:tc>
        <w:tc>
          <w:tcPr>
            <w:tcW w:w="416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3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20"/>
        </w:trPr>
        <w:tc>
          <w:tcPr>
            <w:tcW w:w="4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3"/>
          </w:tcPr>
          <w:p>
            <w:pPr>
              <w:jc w:val="right"/>
              <w:ind w:right="3990"/>
              <w:spacing w:after="0"/>
              <w:rPr>
                <w:sz w:val="20"/>
                <w:szCs w:val="20"/>
                <w:color w:val="auto"/>
              </w:rPr>
            </w:pPr>
            <w:r>
              <w:rPr>
                <w:rFonts w:ascii="Times New Roman" w:cs="Times New Roman" w:eastAsia="Times New Roman" w:hAnsi="Times New Roman"/>
                <w:sz w:val="18"/>
                <w:szCs w:val="18"/>
                <w:color w:val="auto"/>
              </w:rPr>
              <w:t>F-64</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70,808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54,527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2,282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989</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(86,695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and intangible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deferred tax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2,282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18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tax years 2006 to 2021 will remain open for examination by the federal and state authorities for three and four years, respectively, from the date of utilization of any net operating loss credits.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subsequent events through March 9, 2022, the date the consolidated financial statements were issued.</w:t>
      </w:r>
    </w:p>
    <w:p>
      <w:pPr>
        <w:spacing w:after="0" w:line="225"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2022, the Company entered into a new office lease agreement for office space in Tokyo, Japan. The lease commenced on January 1, 2022 and will expire on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235,295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78,566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98,066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133,022,440</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133,119,135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133,343,944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503,071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247,868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154,768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247,514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657,839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 at redemption value as of March 31, 2022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133,022,440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 shares authorized, 4,161,000 shares issued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(excluding 13,300,000 shares subject to possible redemption) as of March 31, 2022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806,490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818,347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(1,368,050)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(982,600)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133,119,135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133,343,944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490,053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(81,441)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change in fair value of warrants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92,746</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(385,450</w:t>
            </w:r>
            <w:r>
              <w:rPr>
                <w:rFonts w:ascii="Times New Roman" w:cs="Times New Roman" w:eastAsia="Times New Roman" w:hAnsi="Times New Roman"/>
                <w:sz w:val="29"/>
                <w:szCs w:val="29"/>
                <w:color w:val="auto"/>
                <w:vertAlign w:val="superscript"/>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(84,033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redemption</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13,300,000</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2,306,667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Basic and diluted net (loss) income per share attributable to common stock subject to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4,161,000</w:t>
            </w:r>
          </w:p>
        </w:tc>
        <w:tc>
          <w:tcPr>
            <w:tcW w:w="14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3,342,133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2021 </w:t>
      </w:r>
      <w:r>
        <w:rPr>
          <w:rFonts w:ascii="Times New Roman" w:cs="Times New Roman" w:eastAsia="Times New Roman" w:hAnsi="Times New Roman"/>
          <w:sz w:val="18"/>
          <w:szCs w:val="18"/>
          <w:color w:val="auto"/>
        </w:rPr>
        <w:t>Net loss</w:t>
      </w:r>
    </w:p>
    <w:p>
      <w:pPr>
        <w:spacing w:after="0" w:line="2" w:lineRule="exact"/>
        <w:rPr>
          <w:sz w:val="20"/>
          <w:szCs w:val="20"/>
          <w:color w:val="auto"/>
        </w:rPr>
      </w:pPr>
    </w:p>
    <w:p>
      <w:pPr>
        <w:ind w:left="180" w:hanging="161"/>
        <w:spacing w:after="0" w:line="260" w:lineRule="auto"/>
        <w:rPr>
          <w:sz w:val="20"/>
          <w:szCs w:val="20"/>
          <w:color w:val="auto"/>
        </w:rPr>
      </w:pPr>
      <w:r>
        <w:rPr>
          <w:rFonts w:ascii="Times New Roman" w:cs="Times New Roman" w:eastAsia="Times New Roman" w:hAnsi="Times New Roman"/>
          <w:sz w:val="18"/>
          <w:szCs w:val="18"/>
          <w:color w:val="auto"/>
        </w:rPr>
        <w:t>Accretion of common stock to redemption value (interest earned on trust account)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7"/>
        </w:trPr>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23"/>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(982,600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34"/>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40" w:type="dxa"/>
            <w:vAlign w:val="bottom"/>
          </w:tcPr>
          <w:p>
            <w:pPr>
              <w:spacing w:after="0"/>
              <w:rPr>
                <w:sz w:val="20"/>
                <w:szCs w:val="20"/>
                <w:color w:val="auto"/>
              </w:rPr>
            </w:pPr>
          </w:p>
        </w:tc>
      </w:tr>
      <w:tr>
        <w:trPr>
          <w:trHeight w:val="427"/>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(11,857)</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(11,857)</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-599440</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-299720</wp:posOffset>
            </wp:positionV>
            <wp:extent cx="7132320" cy="291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4140" w:space="480"/>
            <w:col w:w="66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4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806,490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(1,368,050</w:t>
            </w:r>
            <w:r>
              <w:rPr>
                <w:rFonts w:ascii="Times New Roman" w:cs="Times New Roman" w:eastAsia="Times New Roman" w:hAnsi="Times New Roman"/>
                <w:sz w:val="35"/>
                <w:szCs w:val="35"/>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(561,144</w:t>
            </w:r>
            <w:r>
              <w:rPr>
                <w:rFonts w:ascii="Times New Roman" w:cs="Times New Roman" w:eastAsia="Times New Roman" w:hAnsi="Times New Roman"/>
                <w:sz w:val="35"/>
                <w:szCs w:val="35"/>
                <w:b w:val="1"/>
                <w:bCs w:val="1"/>
                <w:color w:val="auto"/>
                <w:vertAlign w:val="superscript"/>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Sale of 12,000,000 Units through IPO</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119,998,800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120,000,000</w:t>
            </w: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1,300,000 Units through over-allotment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12,999,870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 of 416,000 Private Units in private placement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4,159,958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4,160,000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2,024,421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2,024,463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initial stockholders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3,450,000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(2,660,000)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(2,449,810)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(270,307)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(270,307)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4,779,936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4,779,936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(84,033)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(84,033)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(124,412,583)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(124,413,913)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(13,366,023)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 redemption value (interest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on trust account)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828,405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b w:val="1"/>
                <w:bCs w:val="1"/>
                <w:color w:val="auto"/>
              </w:rPr>
              <w:t>(84,749</w:t>
            </w:r>
            <w:r>
              <w:rPr>
                <w:rFonts w:ascii="Times New Roman" w:cs="Times New Roman" w:eastAsia="Times New Roman" w:hAnsi="Times New Roman"/>
                <w:sz w:val="29"/>
                <w:szCs w:val="29"/>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744,072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Three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(385,450)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change in fair value of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(92,746)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(165,713)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255,203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(185,958</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(133,000,000)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(375,347)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134,149,653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(217,166)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235,295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124,413,913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Accretion of common stock to redemption value (interest earned on trust account)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8" w:name="page199"/>
    <w:bookmarkEnd w:id="198"/>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9" w:name="page200"/>
    <w:bookmarkEnd w:id="199"/>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0"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ectPr>
          <w:pgSz w:w="11900" w:h="16838" w:orient="portrait"/>
          <w:cols w:equalWidth="0" w:num="1">
            <w:col w:w="11240"/>
          </w:cols>
          <w:pgMar w:left="320" w:top="873"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including accretion of temporary equity to redemption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3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For the three</w:t>
            </w: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16"/>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45"/>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198"/>
        </w:trPr>
        <w:tc>
          <w:tcPr>
            <w:tcW w:w="1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(385,450)</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(84,033)</w:t>
            </w:r>
          </w:p>
        </w:tc>
        <w:tc>
          <w:tcPr>
            <w:tcW w:w="40" w:type="dxa"/>
            <w:vAlign w:val="bottom"/>
          </w:tcPr>
          <w:p>
            <w:pPr>
              <w:spacing w:after="0"/>
              <w:rPr>
                <w:sz w:val="17"/>
                <w:szCs w:val="17"/>
                <w:color w:val="auto"/>
              </w:rPr>
            </w:pPr>
          </w:p>
        </w:tc>
      </w:tr>
      <w:tr>
        <w:trPr>
          <w:trHeight w:val="255"/>
        </w:trPr>
        <w:tc>
          <w:tcPr>
            <w:tcW w:w="100" w:type="dxa"/>
            <w:vAlign w:val="bottom"/>
          </w:tcPr>
          <w:p>
            <w:pPr>
              <w:spacing w:after="0"/>
              <w:rPr>
                <w:sz w:val="22"/>
                <w:szCs w:val="22"/>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(11,857)</w:t>
            </w:r>
          </w:p>
        </w:tc>
        <w:tc>
          <w:tcPr>
            <w:tcW w:w="20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(13,366,548)</w:t>
            </w:r>
          </w:p>
        </w:tc>
      </w:tr>
      <w:tr>
        <w:trPr>
          <w:trHeight w:val="250"/>
        </w:trPr>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(13,450,581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720"/>
            <w:col w:w="270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02" w:name="page203"/>
    <w:bookmarkEnd w:id="2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9" w:lineRule="exact"/>
        <w:rPr>
          <w:sz w:val="20"/>
          <w:szCs w:val="20"/>
          <w:color w:val="auto"/>
        </w:rPr>
      </w:pPr>
    </w:p>
    <w:p>
      <w:pPr>
        <w:ind w:right="795"/>
        <w:spacing w:after="0" w:line="292" w:lineRule="auto"/>
        <w:rPr>
          <w:sz w:val="20"/>
          <w:szCs w:val="20"/>
          <w:color w:val="auto"/>
        </w:rPr>
      </w:pPr>
      <w:r>
        <w:rPr>
          <w:rFonts w:ascii="Times New Roman" w:cs="Times New Roman" w:eastAsia="Times New Roman" w:hAnsi="Times New Roman"/>
          <w:sz w:val="18"/>
          <w:szCs w:val="18"/>
          <w:color w:val="auto"/>
        </w:rPr>
        <w:t>Allocation of net loss including accretion of temporary equity Accretion of temporary equity to redemption value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net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shares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27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16"/>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45"/>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194"/>
        </w:trPr>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45"/>
        </w:trPr>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redeemable</w:t>
            </w:r>
          </w:p>
        </w:tc>
      </w:tr>
    </w:tbl>
    <w:p>
      <w:pPr>
        <w:spacing w:after="0" w:line="200" w:lineRule="exact"/>
        <w:rPr>
          <w:sz w:val="20"/>
          <w:szCs w:val="20"/>
          <w:color w:val="auto"/>
        </w:rPr>
      </w:pPr>
    </w:p>
    <w:p>
      <w:pPr>
        <w:spacing w:after="0" w:line="214" w:lineRule="exact"/>
        <w:rPr>
          <w:sz w:val="20"/>
          <w:szCs w:val="20"/>
          <w:color w:val="auto"/>
        </w:rPr>
      </w:pPr>
    </w:p>
    <w:p>
      <w:pPr>
        <w:ind w:left="485" w:hanging="485"/>
        <w:spacing w:after="0"/>
        <w:tabs>
          <w:tab w:leader="none" w:pos="4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(302,628)  $(94,679)  $   (5,492,495)  $   (7,958,086)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-119380</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5"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11,857</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13,366,548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(290,771</w:t>
            </w:r>
          </w:p>
        </w:tc>
        <w:tc>
          <w:tcPr>
            <w:tcW w:w="260" w:type="dxa"/>
            <w:vAlign w:val="bottom"/>
            <w:vMerge w:val="continue"/>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7,874,053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(7,958,086</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13,300,000</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4,161,000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2,306,667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3,342,133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-753745</wp:posOffset>
            </wp:positionV>
            <wp:extent cx="713232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-410845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-136525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55" w:space="720"/>
            <w:col w:w="5265"/>
          </w:cols>
          <w:pgMar w:left="320" w:top="873" w:right="339" w:bottom="1440" w:gutter="0" w:footer="0" w:header="0"/>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03" w:name="page204"/>
    <w:bookmarkEnd w:id="203"/>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4" w:name="page205"/>
    <w:bookmarkEnd w:id="204"/>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loans were non-interest bearing, unsecured and were due at the earlier of March 31, 2021 or the closing of the IPO.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29"/>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6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00" w:type="dxa"/>
            <w:vAlign w:val="bottom"/>
            <w:shd w:val="clear" w:color="auto" w:fill="CCEEFF"/>
          </w:tcPr>
          <w:p>
            <w:pPr>
              <w:spacing w:after="0"/>
              <w:rPr>
                <w:sz w:val="19"/>
                <w:szCs w:val="19"/>
                <w:color w:val="auto"/>
              </w:rPr>
            </w:pPr>
          </w:p>
        </w:tc>
      </w:tr>
      <w:tr>
        <w:trPr>
          <w:trHeight w:val="27"/>
        </w:trPr>
        <w:tc>
          <w:tcPr>
            <w:tcW w:w="6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5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0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 January 13, 2021: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January 13,</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8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0"/>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133,022,440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133,022,440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5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133,022,440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133,022,440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154,768</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8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154,768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0"/>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0"/>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5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247,514</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8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247,514</w:t>
            </w: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March 15, 2021: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15,</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2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December 31,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2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March 31, 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2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14"/>
                <w:szCs w:val="14"/>
                <w:color w:val="auto"/>
              </w:rPr>
            </w:pPr>
          </w:p>
        </w:tc>
        <w:tc>
          <w:tcPr>
            <w:tcW w:w="106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00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3"/>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(92,746</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March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154,768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45"/>
        </w:trPr>
        <w:tc>
          <w:tcPr>
            <w:tcW w:w="410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6"/>
        </w:trPr>
        <w:tc>
          <w:tcPr>
            <w:tcW w:w="4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5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valuation of warrant liability</w:t>
            </w: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270,307</w:t>
            </w:r>
          </w:p>
        </w:tc>
      </w:tr>
      <w:tr>
        <w:trPr>
          <w:trHeight w:val="23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3,117</w:t>
            </w:r>
          </w:p>
        </w:tc>
      </w:tr>
      <w:tr>
        <w:trPr>
          <w:trHeight w:val="216"/>
        </w:trPr>
        <w:tc>
          <w:tcPr>
            <w:tcW w:w="4100" w:type="dxa"/>
            <w:vAlign w:val="bottom"/>
            <w:tcBorders>
              <w:top w:val="single" w:sz="8" w:color="CCEEFF"/>
            </w:tcBorders>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as of March 31, 2021</w:t>
            </w:r>
          </w:p>
        </w:tc>
        <w:tc>
          <w:tcPr>
            <w:tcW w:w="5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4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F-81</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at par value of $0.0001 per share. As of March 31,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there were no shares of preferred stock issued or outstanding.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0" w:name="page211"/>
    <w:bookmarkEnd w:id="21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 value of $0.0001 per share. At March 31,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there were 4,161,000 shares of common stock issued and outstanding, excluding 13,300,000 shares of common stock subject to possible redemption.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76"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financial statements were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$109 as of March 31, 2022 and December 31, 2021,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13,015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27,471</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5,474</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80" w:type="dxa"/>
            <w:vAlign w:val="bottom"/>
            <w:shd w:val="clear" w:color="auto" w:fill="CCEEFF"/>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LIABILITIES, REDEEMABLE CONVERTIBLE PREFERRED STOCK,</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AND STOCKHOLDERS’ DEFICIT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11,703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3,519</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6,006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30,198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30,810</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96,806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87,739</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13,372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119,841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112,937</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 26,316,129 shares authorized; 19,248,537 shares issued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liquidation preference of $284,826 as of March 31, 2022 and 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279,503</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45,000,000 shares authorized; 12,718,968 and 12,280,051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as of March 31, 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48,429</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(411,832)</w:t>
            </w:r>
          </w:p>
        </w:tc>
        <w:tc>
          <w:tcPr>
            <w:tcW w:w="2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(386,729)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35,942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14,443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3,246</w:t>
            </w: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(1,057)</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(24,751)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(19,093)</w:t>
            </w:r>
          </w:p>
        </w:tc>
        <w:tc>
          <w:tcPr>
            <w:tcW w:w="100" w:type="dxa"/>
            <w:vAlign w:val="bottom"/>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(25,103)</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(19,260)</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holding gain on available-for-sale securities, net of tax</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(2.00</w:t>
            </w:r>
            <w:r>
              <w:rPr>
                <w:rFonts w:ascii="Times New Roman" w:cs="Times New Roman" w:eastAsia="Times New Roman" w:hAnsi="Times New Roman"/>
                <w:sz w:val="29"/>
                <w:szCs w:val="29"/>
                <w:color w:val="auto"/>
                <w:vertAlign w:val="superscript"/>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(1.62</w:t>
            </w:r>
            <w:r>
              <w:rPr>
                <w:rFonts w:ascii="Times New Roman" w:cs="Times New Roman" w:eastAsia="Times New Roman" w:hAnsi="Times New Roman"/>
                <w:sz w:val="29"/>
                <w:szCs w:val="29"/>
                <w:color w:val="auto"/>
                <w:vertAlign w:val="superscript"/>
              </w:rPr>
              <w:t>)</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12,527,229</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11,872,698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STOCK AND STOCKHOLDERS’ DEFICIT</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10"/>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 March 31, 2022</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40" w:type="dxa"/>
            <w:vAlign w:val="bottom"/>
            <w:tcBorders>
              <w:right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080" w:type="dxa"/>
            <w:vAlign w:val="bottom"/>
          </w:tcPr>
          <w:p>
            <w:pPr>
              <w:spacing w:after="0"/>
              <w:rPr>
                <w:sz w:val="22"/>
                <w:szCs w:val="22"/>
                <w:color w:val="auto"/>
              </w:rPr>
            </w:pPr>
          </w:p>
        </w:tc>
        <w:tc>
          <w:tcPr>
            <w:tcW w:w="214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00" w:type="dxa"/>
            <w:vAlign w:val="bottom"/>
          </w:tcPr>
          <w:p>
            <w:pPr>
              <w:spacing w:after="0"/>
              <w:rPr>
                <w:sz w:val="22"/>
                <w:szCs w:val="22"/>
                <w:color w:val="auto"/>
              </w:rPr>
            </w:pPr>
          </w:p>
        </w:tc>
        <w:tc>
          <w:tcPr>
            <w:tcW w:w="22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20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January 1,</w:t>
            </w: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279,503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12,280,051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43,491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(386,729)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(343,237)</w:t>
            </w: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upon exercise of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438,917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w:t>
            </w:r>
          </w:p>
        </w:tc>
        <w:tc>
          <w:tcPr>
            <w:tcW w:w="220" w:type="dxa"/>
            <w:vAlign w:val="bottom"/>
          </w:tcPr>
          <w:p>
            <w:pPr>
              <w:spacing w:after="0"/>
              <w:rPr>
                <w:sz w:val="20"/>
                <w:szCs w:val="20"/>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(25,103)</w:t>
            </w:r>
          </w:p>
        </w:tc>
        <w:tc>
          <w:tcPr>
            <w:tcW w:w="0" w:type="dxa"/>
            <w:vAlign w:val="bottom"/>
          </w:tcPr>
          <w:p>
            <w:pPr>
              <w:spacing w:after="0"/>
              <w:rPr>
                <w:sz w:val="1"/>
                <w:szCs w:val="1"/>
                <w:color w:val="auto"/>
              </w:rPr>
            </w:pPr>
          </w:p>
        </w:tc>
      </w:tr>
      <w:tr>
        <w:trPr>
          <w:trHeight w:val="184"/>
        </w:trPr>
        <w:tc>
          <w:tcPr>
            <w:tcW w:w="20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March 31,</w:t>
            </w: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19,248,537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279,503</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12,718,968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line="275" w:lineRule="exact"/>
              <w:rPr>
                <w:sz w:val="20"/>
                <w:szCs w:val="20"/>
                <w:color w:val="auto"/>
              </w:rPr>
            </w:pPr>
            <w:r>
              <w:rPr>
                <w:rFonts w:ascii="Times New Roman" w:cs="Times New Roman" w:eastAsia="Times New Roman" w:hAnsi="Times New Roman"/>
                <w:sz w:val="17"/>
                <w:szCs w:val="17"/>
                <w:color w:val="auto"/>
              </w:rPr>
              <w:t>(411,832</w:t>
            </w:r>
            <w:r>
              <w:rPr>
                <w:rFonts w:ascii="Times New Roman" w:cs="Times New Roman" w:eastAsia="Times New Roman" w:hAnsi="Times New Roman"/>
                <w:sz w:val="31"/>
                <w:szCs w:val="31"/>
                <w:color w:val="auto"/>
                <w:vertAlign w:val="superscript"/>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line="275" w:lineRule="exact"/>
              <w:rPr>
                <w:sz w:val="20"/>
                <w:szCs w:val="20"/>
                <w:color w:val="auto"/>
              </w:rPr>
            </w:pPr>
            <w:r>
              <w:rPr>
                <w:rFonts w:ascii="Times New Roman" w:cs="Times New Roman" w:eastAsia="Times New Roman" w:hAnsi="Times New Roman"/>
                <w:sz w:val="17"/>
                <w:szCs w:val="17"/>
                <w:color w:val="auto"/>
              </w:rPr>
              <w:t>(363,402</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2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right="180" w:hanging="179"/>
        <w:spacing w:after="0" w:line="261" w:lineRule="auto"/>
        <w:rPr>
          <w:sz w:val="20"/>
          <w:szCs w:val="20"/>
          <w:color w:val="auto"/>
        </w:rPr>
      </w:pPr>
      <w:r>
        <w:rPr>
          <w:rFonts w:ascii="Times New Roman" w:cs="Times New Roman" w:eastAsia="Times New Roman" w:hAnsi="Times New Roman"/>
          <w:sz w:val="18"/>
          <w:szCs w:val="18"/>
          <w:color w:val="auto"/>
        </w:rPr>
        <w:t>Balance as of January 1, 2021</w:t>
      </w:r>
    </w:p>
    <w:p>
      <w:pPr>
        <w:ind w:left="180" w:right="20" w:hanging="179"/>
        <w:spacing w:after="0" w:line="250" w:lineRule="auto"/>
        <w:rPr>
          <w:sz w:val="20"/>
          <w:szCs w:val="20"/>
          <w:color w:val="auto"/>
        </w:rPr>
      </w:pPr>
      <w:r>
        <w:rPr>
          <w:rFonts w:ascii="Times New Roman" w:cs="Times New Roman" w:eastAsia="Times New Roman" w:hAnsi="Times New Roman"/>
          <w:sz w:val="18"/>
          <w:szCs w:val="18"/>
          <w:color w:val="auto"/>
        </w:rPr>
        <w:t>Issuance of common stock upon exercise of stock options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Stock-based compensation Net loss</w:t>
      </w:r>
    </w:p>
    <w:p>
      <w:pPr>
        <w:spacing w:after="0" w:line="1" w:lineRule="exact"/>
        <w:rPr>
          <w:sz w:val="20"/>
          <w:szCs w:val="20"/>
          <w:color w:val="auto"/>
        </w:rPr>
      </w:pPr>
    </w:p>
    <w:p>
      <w:pPr>
        <w:ind w:left="180" w:right="180" w:hanging="179"/>
        <w:spacing w:after="0" w:line="282" w:lineRule="auto"/>
        <w:rPr>
          <w:sz w:val="20"/>
          <w:szCs w:val="20"/>
          <w:color w:val="auto"/>
        </w:rPr>
      </w:pPr>
      <w:r>
        <w:rPr>
          <w:rFonts w:ascii="Times New Roman" w:cs="Times New Roman" w:eastAsia="Times New Roman" w:hAnsi="Times New Roman"/>
          <w:sz w:val="18"/>
          <w:szCs w:val="18"/>
          <w:color w:val="auto"/>
        </w:rPr>
        <w:t>Balance as of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10"/>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 March 31, 2021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Borders>
              <w:right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4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00" w:type="dxa"/>
            <w:vAlign w:val="bottom"/>
          </w:tcPr>
          <w:p>
            <w:pPr>
              <w:spacing w:after="0"/>
              <w:rPr>
                <w:sz w:val="22"/>
                <w:szCs w:val="22"/>
                <w:color w:val="auto"/>
              </w:rPr>
            </w:pPr>
          </w:p>
        </w:tc>
        <w:tc>
          <w:tcPr>
            <w:tcW w:w="22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19,132,387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273,687</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11,818,761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30,836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(307,189)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(276,353)</w:t>
            </w:r>
          </w:p>
        </w:tc>
        <w:tc>
          <w:tcPr>
            <w:tcW w:w="0" w:type="dxa"/>
            <w:vAlign w:val="bottom"/>
          </w:tcPr>
          <w:p>
            <w:pPr>
              <w:spacing w:after="0"/>
              <w:rPr>
                <w:sz w:val="1"/>
                <w:szCs w:val="1"/>
                <w:color w:val="auto"/>
              </w:rPr>
            </w:pPr>
          </w:p>
        </w:tc>
      </w:tr>
      <w:tr>
        <w:trPr>
          <w:trHeight w:val="630"/>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297,850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(19,260)</w:t>
            </w:r>
          </w:p>
        </w:tc>
        <w:tc>
          <w:tcPr>
            <w:tcW w:w="1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12,116,611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33,423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35"/>
                <w:szCs w:val="35"/>
                <w:color w:val="auto"/>
                <w:vertAlign w:val="super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(326,449</w:t>
            </w:r>
            <w:r>
              <w:rPr>
                <w:rFonts w:ascii="Times New Roman" w:cs="Times New Roman" w:eastAsia="Times New Roman" w:hAnsi="Times New Roman"/>
                <w:sz w:val="35"/>
                <w:szCs w:val="35"/>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(293,026</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21"/>
        </w:trPr>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-1319530</wp:posOffset>
            </wp:positionV>
            <wp:extent cx="7132320" cy="274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-633730</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-342265</wp:posOffset>
            </wp:positionV>
            <wp:extent cx="7132320" cy="316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940" w:space="140"/>
            <w:col w:w="9160"/>
          </w:cols>
          <w:pgMar w:left="320" w:top="87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and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4,398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(14,989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finance and capital lease obligations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(13,645)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(14,162)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22,822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to amounts on the condensed consolidated balance sheets: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restricted cash equivalents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portion of restricted cash equivalents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8680" w:type="dxa"/>
            <w:vAlign w:val="bottom"/>
            <w:tcBorders>
              <w:top w:val="single" w:sz="8" w:color="CCEEFF"/>
            </w:tcBorders>
          </w:tcPr>
          <w:p>
            <w:pPr>
              <w:ind w:left="540"/>
              <w:spacing w:after="0" w:line="171" w:lineRule="exact"/>
              <w:rPr>
                <w:sz w:val="20"/>
                <w:szCs w:val="20"/>
                <w:color w:val="auto"/>
              </w:rPr>
            </w:pPr>
            <w:r>
              <w:rPr>
                <w:rFonts w:ascii="Times New Roman" w:cs="Times New Roman" w:eastAsia="Times New Roman" w:hAnsi="Times New Roman"/>
                <w:sz w:val="18"/>
                <w:szCs w:val="18"/>
                <w:color w:val="auto"/>
              </w:rPr>
              <w:t>Total cash, cash equivalents, and restricted cash equivalents shown in the condensed consolidated statements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cash flows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and right-of-use assets through adoption of ASC 842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line="194"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Property and equipment acquired under capital leases or debt</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6" w:name="page217"/>
    <w:bookmarkEnd w:id="216"/>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jc w:val="both"/>
        <w:ind w:right="9160"/>
        <w:spacing w:after="0" w:line="532" w:lineRule="auto"/>
        <w:tabs>
          <w:tab w:leader="none" w:pos="18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u w:val="single" w:color="auto"/>
          <w:color w:val="auto"/>
        </w:rPr>
        <w:t>Nature of Operations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 Inc. (“SoundHound” or the “Company”) was incorporated in Delaware on September 2, 2005 and is headquartered in Santa Clara, California.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which has resulted in a net loss of $25,103 for the three-month period ended March 31, 2022. As of March 31, 2022, the Company has an accumulated deficit of $411,832. Management expects to continue to incur additional substantial losses in the foreseeable future as a result of research and development activities. The Company has funded its operations primarily through equity or debt financings.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plans to continue funding its operations and capital funding needs through a combination of private equity offerings, debt financing, revenue and other sources. Total cash and cash equivalents on hand as of March 31, 2022 was $8,211. The Company’s condensed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26, 2022, the Company and Archimedes Tech SPAC Partners Co. (“ATSP”) completed a merger resulting in the reverse recapitalization of the Company (the “Business Combination”) and the Company received aggregate gross proceeds of $5,357 held in trust by ATSP (following satisfaction of redemptions by public stockholders), and $113,000 in aggregate gross proceeds from PIPE investors. The Company received $93,064 in net proceeds after the reduction of $25,293 in transaction related expenses. Management believes the Company’s sources of liquidity will be sufficient to fund the Company’s planned operations and existing obligations within one year after the date that the consolidated financial statements are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two-year period ended December 31, 2021, and through March 31, 2022,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17" w:name="page218"/>
    <w:bookmarkEnd w:id="217"/>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ORGANIZATION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186" w:lineRule="exact"/>
        <w:rPr>
          <w:sz w:val="20"/>
          <w:szCs w:val="20"/>
          <w:color w:val="auto"/>
        </w:rPr>
      </w:pPr>
    </w:p>
    <w:p>
      <w:pPr>
        <w:ind w:right="5940"/>
        <w:spacing w:after="0" w:line="532" w:lineRule="auto"/>
        <w:tabs>
          <w:tab w:leader="none" w:pos="18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(a) condensed consolidated balance sheet as of December 31, 2021, which has been derived from audited financial statements,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months ended March 31, 2022 are not necessarily indicative of the results for the fiscal year ending December 31, 2022 or any future interim period.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pursuant to the rules and regulations of the SEC. 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39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18" w:name="page219"/>
    <w:bookmarkEnd w:id="218"/>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the Company and its wholly-owned subsidiaries.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three-month period ended March 31, 2022 and 2021, the Company recognized net losses/(gains) related to foreign currency transactions and remeasurements of $464 and $367, respectively, in the condensed consolidated statements of operations and comprehensive loss as other expense,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19" w:name="page220"/>
    <w:bookmarkEnd w:id="219"/>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accounts receivable balances due from three customers collectively totaled 72% of the Company’s condensed consolidated accounts receivable balance. As of December 31, 2021, accounts receivable balances due from five customers collectively totaled 86% of the Company’s condensed consolidated accounts receivable balance.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had four customers that accounted for 59% of revenue and three customers that accounted for 60% of revenue for the three months ended March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Issuance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condensed consolidated statements of operations and comprehensive loss.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certain transaction costs incurred in connection with the pending merger agreement, which are direct and incremental to the proposed merger, will be deferred and recorded as a component of other non-current assets within the condensed consolidated balance sheets and will offset cash proceeds from the Business Combination if successful. The Company had $3,318 and $1,264 of deferred offering costs recorded as of March 31, 2022 and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82" w:lineRule="exact"/>
        <w:rPr>
          <w:sz w:val="20"/>
          <w:szCs w:val="20"/>
          <w:color w:val="auto"/>
        </w:rPr>
      </w:pPr>
    </w:p>
    <w:p>
      <w:pPr>
        <w:ind w:left="1080" w:hanging="216"/>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contract(s) with a customer;</w:t>
      </w:r>
    </w:p>
    <w:p>
      <w:pPr>
        <w:spacing w:after="0" w:line="225" w:lineRule="exact"/>
        <w:rPr>
          <w:rFonts w:ascii="Times New Roman" w:cs="Times New Roman" w:eastAsia="Times New Roman" w:hAnsi="Times New Roman"/>
          <w:sz w:val="18"/>
          <w:szCs w:val="18"/>
          <w:color w:val="auto"/>
        </w:rPr>
      </w:pPr>
    </w:p>
    <w:p>
      <w:pPr>
        <w:ind w:left="1120" w:hanging="256"/>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1180" w:hanging="316"/>
        <w:spacing w:after="0"/>
        <w:tabs>
          <w:tab w:leader="none" w:pos="11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225" w:lineRule="exact"/>
        <w:rPr>
          <w:rFonts w:ascii="Times New Roman" w:cs="Times New Roman" w:eastAsia="Times New Roman" w:hAnsi="Times New Roman"/>
          <w:sz w:val="18"/>
          <w:szCs w:val="18"/>
          <w:color w:val="auto"/>
        </w:rPr>
      </w:pPr>
    </w:p>
    <w:p>
      <w:pPr>
        <w:ind w:left="1160" w:hanging="296"/>
        <w:spacing w:after="0"/>
        <w:tabs>
          <w:tab w:leader="none" w:pos="11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1120" w:hanging="256"/>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(3) monetization and (4) licensing.</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20" w:name="page221"/>
    <w:bookmarkEnd w:id="220"/>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warrants are considered freestanding instruments that qualify as liabilities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Company is committed to issuing an instrument that 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condensed consolidated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uncertain tax positions in income tax expense, if applicable. There were no interest expenses or penalties related to unrecognized tax benefits recorded through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87" w:lineRule="exact"/>
        <w:rPr>
          <w:sz w:val="20"/>
          <w:szCs w:val="20"/>
          <w:color w:val="auto"/>
        </w:rPr>
      </w:pPr>
    </w:p>
    <w:p>
      <w:pPr>
        <w:jc w:val="both"/>
        <w:ind w:lef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estimates volatility for option grants by evaluating the average historical volatility of a peer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for the period immediately preceding the option grant for a term that is approximately equal to the option’s expected term.</w:t>
      </w:r>
    </w:p>
    <w:p>
      <w:pPr>
        <w:spacing w:after="0" w:line="15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Company’s options represents the period that the stock-based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80" w:lineRule="exact"/>
        <w:rPr>
          <w:sz w:val="20"/>
          <w:szCs w:val="20"/>
          <w:color w:val="auto"/>
        </w:rPr>
      </w:pPr>
    </w:p>
    <w:p>
      <w:pPr>
        <w:jc w:val="both"/>
        <w:ind w:left="4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implied yield currently available on U.S. Treasury zero-coupon issues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term that is equal to the options’ expected term at the grant date.</w:t>
      </w:r>
    </w:p>
    <w:p>
      <w:pPr>
        <w:spacing w:after="0" w:line="158" w:lineRule="exact"/>
        <w:rPr>
          <w:sz w:val="20"/>
          <w:szCs w:val="20"/>
          <w:color w:val="auto"/>
        </w:rPr>
      </w:pPr>
    </w:p>
    <w:p>
      <w:pPr>
        <w:jc w:val="both"/>
        <w:ind w:lef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not declared or paid dividends to date and does not anticipate declaring dividends. As such, the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has been estimated to be zero.</w:t>
      </w:r>
    </w:p>
    <w:p>
      <w:pPr>
        <w:spacing w:after="0" w:line="3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21" w:name="page222"/>
    <w:bookmarkEnd w:id="221"/>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 awards (“RSUs”) to grantees as compensation for services. The Company’s RSUs are classified as equity awards because the RSUs will be settled in the Company’s common stock upon vesting. The fair value of the RSUs is determined at the grant date based on the fair value of the Company’s common stock on the date of grant and is recognized straight-line over the service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74" w:lineRule="exact"/>
        <w:rPr>
          <w:sz w:val="20"/>
          <w:szCs w:val="20"/>
          <w:color w:val="auto"/>
        </w:rPr>
      </w:pPr>
    </w:p>
    <w:p>
      <w:pPr>
        <w:ind w:left="860" w:hanging="320"/>
        <w:spacing w:after="0"/>
        <w:tabs>
          <w:tab w:leader="none" w:pos="8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rFonts w:ascii="Times New Roman" w:cs="Times New Roman" w:eastAsia="Times New Roman" w:hAnsi="Times New Roman"/>
          <w:sz w:val="18"/>
          <w:szCs w:val="18"/>
          <w:color w:val="auto"/>
        </w:rPr>
      </w:pPr>
    </w:p>
    <w:p>
      <w:pPr>
        <w:ind w:left="860" w:hanging="320"/>
        <w:spacing w:after="0" w:line="284" w:lineRule="auto"/>
        <w:tabs>
          <w:tab w:leader="none" w:pos="8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market prices included in Level 1) are either directly or indirectly observable for the asset or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correlation with market data at the measurement date and for the duration of the instrument’s anticipated life.</w:t>
      </w:r>
    </w:p>
    <w:p>
      <w:pPr>
        <w:spacing w:after="0" w:line="158" w:lineRule="exact"/>
        <w:rPr>
          <w:rFonts w:ascii="Times New Roman" w:cs="Times New Roman" w:eastAsia="Times New Roman" w:hAnsi="Times New Roman"/>
          <w:sz w:val="18"/>
          <w:szCs w:val="18"/>
          <w:color w:val="auto"/>
        </w:rPr>
      </w:pPr>
    </w:p>
    <w:p>
      <w:pPr>
        <w:ind w:left="860" w:hanging="320"/>
        <w:spacing w:after="0" w:line="284" w:lineRule="auto"/>
        <w:tabs>
          <w:tab w:leader="none" w:pos="8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reflect management’s best estimate of what market participants would use in pricing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 Consideration is given to the risk inherent in the valuation technique and the risk inherent in the inputs to the model.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Redeemable Convertible 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Convertible Notes and Derivative Liabilities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condensed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39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22" w:name="page223"/>
    <w:bookmarkEnd w:id="222"/>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three-month period ended March 31, 2022, no additional accounting pronouncements were adopted. Refer to Note 2 of our audited consolidated financial statements for the fiscal year ended December 31, 2021 contained within the proxy statement/prospectus/consent solicitation for adopted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 —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is currently evaluating the impact the standard will have on the Company’s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23" w:name="page224"/>
    <w:bookmarkEnd w:id="223"/>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w:t>
      </w:r>
    </w:p>
    <w:p>
      <w:pPr>
        <w:spacing w:after="0" w:line="1" w:lineRule="exact"/>
        <w:rPr>
          <w:sz w:val="20"/>
          <w:szCs w:val="20"/>
          <w:color w:val="auto"/>
        </w:rPr>
      </w:pPr>
    </w:p>
    <w:p>
      <w:pPr>
        <w:jc w:val="both"/>
        <w:spacing w:after="0" w:line="252" w:lineRule="auto"/>
        <w:tabs>
          <w:tab w:leader="none" w:pos="28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condensed consolidated financial statements.</w:t>
      </w:r>
    </w:p>
    <w:p>
      <w:pPr>
        <w:spacing w:after="0" w:line="184" w:lineRule="exact"/>
        <w:rPr>
          <w:sz w:val="20"/>
          <w:szCs w:val="20"/>
          <w:color w:val="auto"/>
        </w:rPr>
      </w:pPr>
    </w:p>
    <w:p>
      <w:pPr>
        <w:ind w:right="8380"/>
        <w:spacing w:after="0" w:line="532" w:lineRule="auto"/>
        <w:tabs>
          <w:tab w:leader="none" w:pos="18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b w:val="1"/>
          <w:bCs w:val="1"/>
          <w:u w:val="single" w:color="auto"/>
          <w:color w:val="auto"/>
        </w:rPr>
        <w:t>Revenue Recognition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3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24" w:name="page225"/>
    <w:bookmarkEnd w:id="224"/>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March 31, 2022, $567 of professional service revenue was recognized over time, with the remaining $0 recognized at a point in time when the performance obligation was completed and control of the service was transferred to the customer. During the three months ended March 31, 2021, no professional service revenue was recognized over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 products. Licensing revenue is a distinct performance obligation that is recognized when control is transferred to the customer, which is at a point-in-time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3" w:lineRule="exact"/>
        <w:rPr>
          <w:sz w:val="20"/>
          <w:szCs w:val="20"/>
          <w:color w:val="auto"/>
        </w:rPr>
      </w:pPr>
    </w:p>
    <w:p>
      <w:pPr>
        <w:ind w:left="540" w:hanging="324"/>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540" w:hanging="324"/>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620" w:hanging="180"/>
        <w:spacing w:after="0"/>
        <w:tabs>
          <w:tab w:leader="none" w:pos="6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2022 and 2021, revenues under each performance obligation were: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 services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2022 and 2021, the disaggregated revenue by geographic location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2022 and 2021, the disaggregated revenue by recognition pattern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 revenue</w:t>
            </w: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Point-in-time</w:t>
            </w:r>
          </w:p>
        </w:tc>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3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vMerge w:val="continue"/>
            <w:shd w:val="clear" w:color="auto" w:fill="CCEEFF"/>
          </w:tcPr>
          <w:p>
            <w:pPr>
              <w:spacing w:after="0"/>
              <w:rPr>
                <w:sz w:val="21"/>
                <w:szCs w:val="21"/>
                <w:color w:val="auto"/>
              </w:rPr>
            </w:pPr>
          </w:p>
        </w:tc>
        <w:tc>
          <w:tcPr>
            <w:tcW w:w="5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1"/>
        </w:trPr>
        <w:tc>
          <w:tcPr>
            <w:tcW w:w="340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F-99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months ended March 31, 2022 and 2021, the disaggregated revenue by service type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Subscriptions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had contract assets included in prepaid expenses and other current assets of $141 and $54, respectively, in the condensed consolidated balance sheets. The Company did not record any asset impairment charges related to contract assets during the three-month period ended March 31, 2022.</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Revenue recognized for the three-month period ended March 31, 2022 and year ended December 31, 2021 that was included in the deferred revenues balances at the beginning of the reporting period was $2,162 and $14,945, respectively.</w:t>
      </w:r>
    </w:p>
    <w:p>
      <w:pPr>
        <w:spacing w:after="0" w:line="162"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As of March 31, 2022, the aggregate amount of the transaction price allocated to the remaining performance obligations related to customer contracts that were unsatisfied or partially unsatisfied was $27,253. Given the applicable contract terms, $10,811 is expected to be recognized as revenue within one year and $12,144 is expected to be recognized between two to five years, with the remainder of $4,298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9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voice recordings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at cost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(28,691)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(27,399)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property and equipment account includes assets under finance lease obligations (see Note 13 for additional information) with an aggregate cost of approximately $6,731 and $6,975 as of March 31, 2022 and December 31, 2021 and accumulated depreciation of approximately $4,470 and $4,293 as of March 31, 2022 and December 31, 2021, respectively. Depreciation and amortization expense totaled approximately $1,292 and $1,451 for the three months ended March 31, 2022 and 2021, respectively.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on the consolidated balance sheets are comprised of the following as of March 31, 2022 and December 31, 2021,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payables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right="7180"/>
        <w:spacing w:after="0" w:line="503" w:lineRule="auto"/>
        <w:tabs>
          <w:tab w:leader="none" w:pos="6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Contingent Bonuses</w:t>
      </w: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declared discretionary bonuses of $670, with payment contingent upon the closing of the Business Combination.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$99,000 in cloud costs over a seven-year period subject to variable increases based on usage.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noncancelable future minimum payments are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Remainder of 2022 as of March 31, 2022</w:t>
            </w:r>
          </w:p>
        </w:tc>
        <w:tc>
          <w:tcPr>
            <w:tcW w:w="61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5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3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Borders>
              <w:bottom w:val="single" w:sz="8" w:color="CCEEFF"/>
            </w:tcBorders>
          </w:tcPr>
          <w:p>
            <w:pPr>
              <w:spacing w:after="0"/>
              <w:rPr>
                <w:sz w:val="20"/>
                <w:szCs w:val="20"/>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jc w:val="right"/>
              <w:ind w:right="4450"/>
              <w:spacing w:after="0"/>
              <w:rPr>
                <w:sz w:val="20"/>
                <w:szCs w:val="20"/>
                <w:color w:val="auto"/>
              </w:rPr>
            </w:pPr>
            <w:r>
              <w:rPr>
                <w:rFonts w:ascii="Times New Roman" w:cs="Times New Roman" w:eastAsia="Times New Roman" w:hAnsi="Times New Roman"/>
                <w:sz w:val="18"/>
                <w:szCs w:val="18"/>
                <w:color w:val="auto"/>
              </w:rPr>
              <w:t>F-101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28" w:name="page229"/>
    <w:bookmarkEnd w:id="228"/>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in accordance with ASC 450, Contingencies, of $1,105 as of December 31, 2021 and March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As of March 31, 2022 and December 31, 2021, the fair value of the warrant liability was $0.</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condensed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$1,526, respectively. The warrants have a ten-year expiration date from the applicable closing date of March 2031 and June 2031,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2022, no warrants were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NOTES AND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SNAP June 2020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$30,000, which excludes the conversion of the SNAP June 2020 Note and any other indebtedness.</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873"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 CONVERTIBLE NOTES AND NOTE PAYABLE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Furthermore, upon a change of control event, the Company shall settle the SNAP June 2020 Note in cash, pursuant to the following terms (“Redemption Features”):</w:t>
      </w:r>
    </w:p>
    <w:p>
      <w:pPr>
        <w:spacing w:after="0" w:line="162" w:lineRule="exact"/>
        <w:rPr>
          <w:sz w:val="20"/>
          <w:szCs w:val="20"/>
          <w:color w:val="auto"/>
        </w:rPr>
      </w:pPr>
    </w:p>
    <w:p>
      <w:pPr>
        <w:ind w:left="1300" w:hanging="324"/>
        <w:spacing w:after="0" w:line="282" w:lineRule="auto"/>
        <w:rPr>
          <w:sz w:val="20"/>
          <w:szCs w:val="20"/>
          <w:color w:val="auto"/>
        </w:rPr>
      </w:pPr>
      <w:r>
        <w:rPr>
          <w:rFonts w:ascii="Times New Roman" w:cs="Times New Roman" w:eastAsia="Times New Roman" w:hAnsi="Times New Roman"/>
          <w:sz w:val="18"/>
          <w:szCs w:val="18"/>
          <w:color w:val="auto"/>
        </w:rPr>
        <w:t>— 200% of the then outstanding principal amount of the respective note plus any unpaid accrued interest on the original principal of such note; and</w:t>
      </w:r>
    </w:p>
    <w:p>
      <w:pPr>
        <w:spacing w:after="0" w:line="161" w:lineRule="exact"/>
        <w:rPr>
          <w:sz w:val="20"/>
          <w:szCs w:val="20"/>
          <w:color w:val="auto"/>
        </w:rPr>
      </w:pPr>
    </w:p>
    <w:p>
      <w:pPr>
        <w:ind w:left="1300" w:hanging="324"/>
        <w:spacing w:after="0" w:line="282" w:lineRule="auto"/>
        <w:rPr>
          <w:sz w:val="20"/>
          <w:szCs w:val="20"/>
          <w:color w:val="auto"/>
        </w:rPr>
      </w:pPr>
      <w:r>
        <w:rPr>
          <w:rFonts w:ascii="Times New Roman" w:cs="Times New Roman" w:eastAsia="Times New Roman" w:hAnsi="Times New Roman"/>
          <w:sz w:val="18"/>
          <w:szCs w:val="18"/>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162"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June 2020 was $2,460,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total amount of debt discount at issuance for the SNAP June 2020 Note was $2,529. The Company amortized the aggregate debt discount using the effective interest method. The Company recognized total interest expense of $515 associated with the SNAP June 2020 Note for the three months ended March 31, 2022, out of which $330 relates to the amortization of the debt discount. The debt discount related to the SNAP June 2020 Note is amortized over the life of the instrument, beginning at note issuance and ending on June 26, 2022, the date of maturity.</w:t>
      </w:r>
    </w:p>
    <w:p>
      <w:pPr>
        <w:spacing w:after="0" w:line="180"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$30,000, excluding the face value of the SNAP June 2020 Note (“SNAP June 2020 Note Qualified Financing”).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unamortized debt discount, fair value of conversion feature, and accrued interest as of March 31, 2022 and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2021, and fair value remeasurement for the three months ended March 31, 2022 and March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60" w:type="dxa"/>
            <w:vAlign w:val="bottom"/>
            <w:tcBorders>
              <w:bottom w:val="single" w:sz="8" w:color="CCEEFF"/>
            </w:tcBorders>
          </w:tcPr>
          <w:p>
            <w:pPr>
              <w:spacing w:after="0"/>
              <w:rPr>
                <w:sz w:val="21"/>
                <w:szCs w:val="21"/>
                <w:color w:val="auto"/>
              </w:rPr>
            </w:pPr>
          </w:p>
        </w:tc>
        <w:tc>
          <w:tcPr>
            <w:tcW w:w="47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conversion feature</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655"/>
        </w:trPr>
        <w:tc>
          <w:tcPr>
            <w:tcW w:w="38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2"/>
          </w:tcPr>
          <w:p>
            <w:pPr>
              <w:jc w:val="right"/>
              <w:ind w:right="2870"/>
              <w:spacing w:after="0"/>
              <w:rPr>
                <w:sz w:val="20"/>
                <w:szCs w:val="20"/>
                <w:color w:val="auto"/>
              </w:rPr>
            </w:pPr>
            <w:r>
              <w:rPr>
                <w:rFonts w:ascii="Times New Roman" w:cs="Times New Roman" w:eastAsia="Times New Roman" w:hAnsi="Times New Roman"/>
                <w:sz w:val="18"/>
                <w:szCs w:val="18"/>
                <w:color w:val="auto"/>
              </w:rPr>
              <w:t>F-103</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 CONVERTIBLE NOTES AND NOTE PAYABLE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conversion feature – gain/(loss)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Accrued interest is included in accrued liabilities on the condensed consolidated balance sheets to reflect the classification of the SNAP June 2020 Note as short-term in nature on March 31, 2022 and December 31, 2021. The Company recorded the remeasurement of derivative liabilities in other expense, net on the condensed consolidated statements of operations and comprehensive loss.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187" w:lineRule="exact"/>
        <w:rPr>
          <w:sz w:val="20"/>
          <w:szCs w:val="20"/>
          <w:color w:val="auto"/>
        </w:rPr>
      </w:pPr>
    </w:p>
    <w:p>
      <w:pPr>
        <w:jc w:val="both"/>
        <w:ind w:left="440" w:right="20"/>
        <w:spacing w:after="0" w:line="261"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March 31, 2022, the interest rate was 9.25%. Payments are interest-only for the first twelve months and are fully amortizable thereafter. The Company recorded interest expense in the condensed consolidated statements of operations and comprehensive loss for the three-month period ended March 31, 2022 of $675, of which $233 remained unpaid as accrued interest.</w:t>
      </w:r>
    </w:p>
    <w:p>
      <w:pPr>
        <w:spacing w:after="0" w:line="180"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term loan amortization date is April 1, 2022, with an opportunity for a six-month extension if certain performance milestones are met. The total amount of debt discount at issuance was $3,532. As of March 31, 2022 and December 31, 2021, the unamortized debt discount totaled $240 and $1,086, respectively.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March 31, 2022.</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SCI June 2021 Note</w:t>
      </w:r>
    </w:p>
    <w:p>
      <w:pPr>
        <w:spacing w:after="0" w:line="229"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$1,526 at issuance. The Company recorded the final payment as an increase to the principal balance and debt discount for the entire payment amount upon each draw.</w:t>
      </w:r>
    </w:p>
    <w:p>
      <w:pPr>
        <w:spacing w:after="0" w:line="18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condensed consolidated balance sheets. The Company is amortizing the cost on a straight-line basis from the issuance date through the early maturity date of June 26, 2022. The Company recorded $566 in interest expense related to the debt discounts during the three-month period ended March 31, 2022. As of March 31, 2022, the unamortized debt discount totaled $566.</w:t>
      </w:r>
    </w:p>
    <w:p>
      <w:pPr>
        <w:spacing w:after="0" w:line="183"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loan bears interest at an annual rate equal to the greater of 9% or 5.75% above the Prime Rate. As of March 31, 2022, the interest rate is 9.25%. Payments are interest-only for the first twelve months and are fully amortizing thereafter. The Company incurred and paid $338 in stated interest in the condensed consolidated statements of operations and comprehensive loss for the three-month period ended March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 CONVERTIBLE NOTES AND NOTE PAYABLE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March 31, 2022, the Company has classified the SCI June 2021 Note as a current liability on its condensed consolidated balance sheet.</w:t>
      </w:r>
    </w:p>
    <w:p>
      <w:pPr>
        <w:sectPr>
          <w:pgSz w:w="11900" w:h="16838" w:orient="portrait"/>
          <w:cols w:equalWidth="0" w:num="1">
            <w:col w:w="11240"/>
          </w:cols>
          <w:pgMar w:left="320" w:top="873" w:right="339" w:bottom="1440" w:gutter="0" w:footer="0" w:header="0"/>
        </w:sectPr>
      </w:pP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March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payable, current portion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loan discount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978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9780" cy="1714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SVB</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2021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18" w:lineRule="exact"/>
        <w:rPr>
          <w:sz w:val="20"/>
          <w:szCs w:val="20"/>
          <w:color w:val="auto"/>
        </w:rPr>
      </w:pPr>
    </w:p>
    <w:p>
      <w:pPr>
        <w:ind w:left="620" w:hanging="615"/>
        <w:spacing w:after="0"/>
        <w:tabs>
          <w:tab w:leader="none" w:pos="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31,050</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w:t>
      </w:r>
    </w:p>
    <w:p>
      <w:pPr>
        <w:spacing w:after="0" w:line="58" w:lineRule="exact"/>
        <w:rPr>
          <w:sz w:val="20"/>
          <w:szCs w:val="20"/>
          <w:color w:val="auto"/>
        </w:rPr>
      </w:pPr>
    </w:p>
    <w:p>
      <w:pPr>
        <w:ind w:left="620" w:hanging="615"/>
        <w:spacing w:after="0"/>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SNAP</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SCI</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June 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2021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30,198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SVB</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March 2021</w:t>
            </w: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SNAP</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SCI</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June 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2021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loan discount</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 recorded as an asset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gridSpan w:val="2"/>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that are measured or disclosed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gridSpan w:val="11"/>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r>
      <w:tr>
        <w:trPr>
          <w:trHeight w:val="245"/>
        </w:trPr>
        <w:tc>
          <w:tcPr>
            <w:tcW w:w="7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8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7"/>
        </w:trPr>
        <w:tc>
          <w:tcPr>
            <w:tcW w:w="7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11"/>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r>
      <w:tr>
        <w:trPr>
          <w:trHeight w:val="245"/>
        </w:trPr>
        <w:tc>
          <w:tcPr>
            <w:tcW w:w="7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4,863</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37"/>
        </w:trPr>
        <w:tc>
          <w:tcPr>
            <w:tcW w:w="7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4,863</w:t>
            </w: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fair values of the warrants were determined based on significant inputs not observable in the market, which represent Level 3 measurements within the fair value hierarchy.</w:t>
      </w:r>
    </w:p>
    <w:p>
      <w:pPr>
        <w:spacing w:after="0" w:line="16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76"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Series C Warrants (April 2013 and November 2013)</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revalued the warrants as of March 31, 2021 resulting in a change in fair value of $253. This change in fair value was recorded as a component of other expense, net, in the accompanying condensed consolidated statements of operations and comprehensive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April 2013 Series C redeemable convertible preferred stock warrants using the Black-Scholes-Merton option-pricing model using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8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exercise in December 2021, the warrants were recorded as Series C Preferred Stock at their fair value of $5,816 upon net share settlement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 (SVB March 2021 Note)</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issued common stock warrants in connection with the SVB March 2021 Note (See Note 8 for additional information). The SVB March 2021 Note warrants were recorded based on the allocation of its relative fair of the debt proceeds of $2,316. The warrants were classified as equity instruments at inception with a corresponding discount recorded at issuance</w:t>
      </w:r>
    </w:p>
    <w:p>
      <w:pPr>
        <w:spacing w:after="0" w:line="17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against the outstanding notes in connection with the SVB March 2021 Note. The common stock warrants are not subject to remeasurement at each subsequent balance sheet date due to their classification as equity instruments as they are considered indexed to the Company’s stock. As of March 31, 2022, none of these warrants have been exercised. The SVB March 2021 Note warrants expire in March 2031.</w:t>
      </w:r>
    </w:p>
    <w:p>
      <w:pPr>
        <w:spacing w:after="0" w:line="176"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SVB March 2021 Note common stock warrants at issuance using the Black-Scholes option-pricing model using the following assumptions: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SVB March 2021 Note Common Stock Warrants</w:t>
            </w:r>
          </w:p>
        </w:tc>
        <w:tc>
          <w:tcPr>
            <w:tcW w:w="1380" w:type="dxa"/>
            <w:vAlign w:val="bottom"/>
            <w:tcBorders>
              <w:bottom w:val="single" w:sz="8" w:color="CCEEFF"/>
            </w:tcBorders>
          </w:tcPr>
          <w:p>
            <w:pPr>
              <w:spacing w:after="0"/>
              <w:rPr>
                <w:sz w:val="21"/>
                <w:szCs w:val="21"/>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Liability (SNAP June 2020 Note)</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Next Equity Financing</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SPAC/PIPE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IPO</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term (years)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7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9.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As of March 31, 2022, the embedded derivative was valued at its intrinsic value due to the proximity of the valuation date to the closing of the Business Combination. This valuation method was materially consistent when compared to a fair value model adjusted for timing of the valuation to the transaction and using an increased probability of SPAC occurrence of 100%.</w:t>
      </w:r>
    </w:p>
    <w:p>
      <w:pPr>
        <w:spacing w:after="0" w:line="176"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fair value of the Company’s derivative liability and warrant liability for which fair value was determined by Level 3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2,380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the three levels of the fair value hierarchy for the three-month period ended March 31, 2022. The Company had no other financial assets or liabilities that were required to be measured at fair value on a recurring basis.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Preferred Stock authorized, issued and outstanding as of March 31, 2022 is as follows</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3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Preference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6,065,646</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6,065,646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1,041,607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1,023,631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798,399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3,646,050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85,648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1,515,152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49,957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1,515,151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1,515,151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49,949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3,750,000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50,046</w:t>
            </w: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D-3A</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4,545,454</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26,316,129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19,248,537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284,826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8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dividends have been declared during the three-month period ended March 31,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conversion events have occurred during the three-month period ended March 31,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right="8240"/>
        <w:spacing w:after="0" w:line="503" w:lineRule="auto"/>
        <w:tabs>
          <w:tab w:leader="none" w:pos="71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Liquidation Preference</w:t>
      </w: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holders of Preferred Stock are entitled to receive distributions of any assets of the Company in order of their preferences.</w:t>
      </w:r>
    </w:p>
    <w:p>
      <w:pPr>
        <w:spacing w:after="0" w:line="162"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Company has not experienced any voluntary or involuntary liquidation, dissolution or winding up during the three months ended March 31,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Redemption</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Preferred Stock is not mandatorily redeemable. The Company has not experienced any redemptions during the three months ended March 31,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Voting rights have not changed during the three months ended March 31, 2022.</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2022, the Company has authorized the issuance of 45,000,000 shares of common stock.</w:t>
      </w:r>
    </w:p>
    <w:p>
      <w:pPr>
        <w:spacing w:after="0" w:line="225"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 has reserved shares of common stock for future issuance on an as-if converted basis related to the following outstanding Preferred Stock, warrants, stock options and future grants as of March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3,438,670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6,065,646</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1,023,631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C-1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798,399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D-1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1,515,152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Preferred Stock</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1,515,151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Series D-3 Preferred Stock</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1,245,838</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191,355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5,039,511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362,652</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incentive plan shares reserved for future issuance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133,441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24,975,496</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12. STOCK INCENTIVE PLAN</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 During the three months ended March 31, 2022, no further amendments to the Plans were made.</w:t>
      </w:r>
    </w:p>
    <w:p>
      <w:pPr>
        <w:spacing w:after="0" w:line="183"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 STOCK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Option Activity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Shares available for grant under the Plans is as follows for the three-month period ended March 31, 2022 and the year ended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2021</w:t>
            </w:r>
          </w:p>
        </w:tc>
        <w:tc>
          <w:tcPr>
            <w:tcW w:w="11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(1,134,542)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376,245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(362,652)</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left w:val="single" w:sz="8" w:color="CCEEFF"/>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133,441</w:t>
            </w:r>
          </w:p>
        </w:tc>
        <w:tc>
          <w:tcPr>
            <w:tcW w:w="0" w:type="dxa"/>
            <w:vAlign w:val="bottom"/>
          </w:tcPr>
          <w:p>
            <w:pPr>
              <w:spacing w:after="0"/>
              <w:rPr>
                <w:sz w:val="1"/>
                <w:szCs w:val="1"/>
                <w:color w:val="auto"/>
              </w:rPr>
            </w:pPr>
          </w:p>
        </w:tc>
      </w:tr>
      <w:tr>
        <w:trPr>
          <w:trHeight w:val="20"/>
        </w:trPr>
        <w:tc>
          <w:tcPr>
            <w:tcW w:w="870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Stock option activity under the Plans is as follows for the three-month period ended March 31, 2022 and 2021:</w:t>
            </w: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6"/>
            <w:vMerge w:val="continue"/>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5,178,276</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(297,850)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(94,272)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March 31,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69,274</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4,926,154</w:t>
            </w:r>
          </w:p>
        </w:tc>
        <w:tc>
          <w:tcPr>
            <w:tcW w:w="2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w:t>
            </w:r>
          </w:p>
        </w:tc>
        <w:tc>
          <w:tcPr>
            <w:tcW w:w="132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5,475,283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168,923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(438,917)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forfeited or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(28,855)</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112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169,930</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5,039,511</w:t>
            </w:r>
          </w:p>
        </w:tc>
        <w:tc>
          <w:tcPr>
            <w:tcW w:w="26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20.52</w:t>
            </w:r>
          </w:p>
        </w:tc>
        <w:tc>
          <w:tcPr>
            <w:tcW w:w="132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March 31, 2022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124,137</w:t>
            </w:r>
          </w:p>
        </w:tc>
        <w:tc>
          <w:tcPr>
            <w:tcW w:w="0" w:type="dxa"/>
            <w:vAlign w:val="bottom"/>
          </w:tcPr>
          <w:p>
            <w:pPr>
              <w:spacing w:after="0"/>
              <w:rPr>
                <w:sz w:val="1"/>
                <w:szCs w:val="1"/>
                <w:color w:val="auto"/>
              </w:rPr>
            </w:pPr>
          </w:p>
        </w:tc>
      </w:tr>
      <w:tr>
        <w:trPr>
          <w:trHeight w:val="263"/>
        </w:trPr>
        <w:tc>
          <w:tcPr>
            <w:tcW w:w="5980" w:type="dxa"/>
            <w:vAlign w:val="bottom"/>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3,050,249</w:t>
            </w:r>
          </w:p>
        </w:tc>
        <w:tc>
          <w:tcPr>
            <w:tcW w:w="2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623"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Restricted stock activity under the Plans are as follows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Released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Per</w:t>
            </w:r>
          </w:p>
        </w:tc>
      </w:tr>
      <w:tr>
        <w:trPr>
          <w:trHeight w:val="245"/>
        </w:trPr>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362,652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54.26</w:t>
            </w:r>
          </w:p>
        </w:tc>
      </w:tr>
      <w:tr>
        <w:trPr>
          <w:trHeight w:val="229"/>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362,652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54.26</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623" w:gutter="0" w:footer="0" w:header="0"/>
          <w:type w:val="continuous"/>
        </w:sect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Options exercised early are subject to the vesting provisions mentioned above, and any unvested shares are subject to repurchase at the original price upon termination of employment, death, or disability. There were no option exercises during the three-month period ended March 31, 2022 or year ended December 31, 2021 that were subject to repurchase.</w:t>
      </w:r>
    </w:p>
    <w:p>
      <w:pPr>
        <w:spacing w:after="0" w:line="176"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was approximately $1,578 and $1,036, during the three-month period ended March 31, 2022 and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23" w:gutter="0" w:footer="0" w:header="0"/>
          <w:type w:val="continuous"/>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 STOCK INCENTIVE PLAN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94"/>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 Per Share</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0" w:type="dxa"/>
            <w:vAlign w:val="bottom"/>
          </w:tcPr>
          <w:p>
            <w:pPr>
              <w:spacing w:after="0"/>
              <w:rPr>
                <w:sz w:val="1"/>
                <w:szCs w:val="1"/>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$0.00 - $12.06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869,350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$12.07 - $15.34</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1,176,127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1,136,881</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$15.35 - $19.31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845,592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558,563</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$19.32 - $24.17</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1,131,944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476,053</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$24.18 - $50.07</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1,016,498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line="20" w:lineRule="exact"/>
              <w:rPr>
                <w:sz w:val="1"/>
                <w:szCs w:val="1"/>
                <w:color w:val="auto"/>
              </w:rPr>
            </w:pPr>
          </w:p>
        </w:tc>
      </w:tr>
      <w:tr>
        <w:trPr>
          <w:trHeight w:val="237"/>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5,039,511</w:t>
            </w:r>
          </w:p>
        </w:tc>
        <w:tc>
          <w:tcPr>
            <w:tcW w:w="1340" w:type="dxa"/>
            <w:vAlign w:val="bottom"/>
            <w:gridSpan w:val="2"/>
            <w:vMerge w:val="continue"/>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3,050,249</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40"/>
        <w:spacing w:after="0" w:line="281" w:lineRule="auto"/>
        <w:rPr>
          <w:sz w:val="20"/>
          <w:szCs w:val="20"/>
          <w:color w:val="auto"/>
        </w:rPr>
      </w:pPr>
      <w:r>
        <w:rPr>
          <w:rFonts w:ascii="Times New Roman" w:cs="Times New Roman" w:eastAsia="Times New Roman" w:hAnsi="Times New Roman"/>
          <w:sz w:val="17"/>
          <w:szCs w:val="17"/>
          <w:color w:val="auto"/>
        </w:rPr>
        <w:t>During the three-month period ended March 31, 2022 and 2021, the Company’s stock compensation expense was $2,464 and $1,388, respectively. As of March 31, 2022, the unamortized expense related to outstanding awards was $43,336. The weighted average remaining amortization period over which the balance as of March 31, 2022 is to be amortized is 2.93 years. No income tax benefit was recognized for this compensation expense in the condensed consolidated statements of operations and comprehensive loss, as the Company does not anticipate realizing any such benefit in the future.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Employee Stock-Based Compensation</w:t>
      </w:r>
    </w:p>
    <w:p>
      <w:pPr>
        <w:spacing w:after="0" w:line="229"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assumptions under the Black-Scholes option-pricing model and the weighted average calculated fair value of the options granted to employees as of March 31, 2022 and December 31,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operating expense accounts on the condensed consolidated statements of operations and comprehensive loss for the three-month period ended March 31, 2022 and 2021:</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1,603</w:t>
            </w:r>
          </w:p>
        </w:tc>
        <w:tc>
          <w:tcPr>
            <w:tcW w:w="22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1,039</w:t>
            </w:r>
          </w:p>
        </w:tc>
      </w:tr>
      <w:tr>
        <w:trPr>
          <w:trHeight w:val="229"/>
        </w:trPr>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-642620</wp:posOffset>
            </wp:positionV>
            <wp:extent cx="7132320"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-359410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 STOCK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Options</w:t>
      </w:r>
    </w:p>
    <w:p>
      <w:pPr>
        <w:spacing w:after="0" w:line="229"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80"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maximum change in control bonus for executive award holders is $5,837 and remains unamortized as of March 31, 2022.</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noncancelable future minimum lease payments under operating and finance leases as of March 31,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4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Remainder of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information related to the Company’s lease balances during the period ended March 31, 2022 and 2021 and as of March 31, 2022 and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2021 includes: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4060" w:type="dxa"/>
            <w:vAlign w:val="bottom"/>
            <w:tcBorders>
              <w:bottom w:val="single" w:sz="8" w:color="CCEEFF"/>
            </w:tcBorders>
          </w:tcPr>
          <w:p>
            <w:pPr>
              <w:spacing w:after="0"/>
              <w:rPr>
                <w:sz w:val="21"/>
                <w:szCs w:val="21"/>
                <w:color w:val="auto"/>
              </w:rPr>
            </w:pPr>
          </w:p>
        </w:tc>
        <w:tc>
          <w:tcPr>
            <w:tcW w:w="4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40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lease cost:</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finance leased assets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637"/>
        </w:trPr>
        <w:tc>
          <w:tcPr>
            <w:tcW w:w="40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right"/>
              <w:ind w:right="2856"/>
              <w:spacing w:after="0"/>
              <w:rPr>
                <w:sz w:val="20"/>
                <w:szCs w:val="20"/>
                <w:color w:val="auto"/>
              </w:rPr>
            </w:pPr>
            <w:r>
              <w:rPr>
                <w:rFonts w:ascii="Times New Roman" w:cs="Times New Roman" w:eastAsia="Times New Roman" w:hAnsi="Times New Roman"/>
                <w:sz w:val="18"/>
                <w:szCs w:val="18"/>
                <w:color w:val="auto"/>
              </w:rPr>
              <w:t>F-112</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 LEASES </w:t>
            </w:r>
            <w:r>
              <w:rPr>
                <w:rFonts w:ascii="Times New Roman" w:cs="Times New Roman" w:eastAsia="Times New Roman" w:hAnsi="Times New Roman"/>
                <w:sz w:val="18"/>
                <w:szCs w:val="18"/>
                <w:color w:val="auto"/>
              </w:rPr>
              <w:t>(cont.)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45"/>
        </w:trPr>
        <w:tc>
          <w:tcPr>
            <w:tcW w:w="86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4.12</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5.92%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rent expense totaled approximately $922 and $1,036 during the period ended March 31, 2022 and 2021, respectively.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14. OTHER EXPENSE, NET</w:t>
      </w:r>
    </w:p>
    <w:p>
      <w:pPr>
        <w:spacing w:after="0" w:line="2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Other expense, net on the condensed consolidated statements of operations and comprehensive loss is comprised of the following for the three months ended March 31, 2022 and 2021, respectively:</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0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55"/>
        </w:trPr>
        <w:tc>
          <w:tcPr>
            <w:tcW w:w="100" w:type="dxa"/>
            <w:vAlign w:val="bottom"/>
          </w:tcPr>
          <w:p>
            <w:pPr>
              <w:spacing w:after="0"/>
              <w:rPr>
                <w:sz w:val="22"/>
                <w:szCs w:val="22"/>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9"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three-month period ended March 31, 2022 and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(25,103)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12,527,229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11,872,698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For the three-month period ended March 31, 2022 and 2021, the diluted earnings per share is equal to the basic earnings per share as the effect of potentially dilutive securities would have been antidilutive.</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three-month period ended March 31,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3580" w:type="dxa"/>
            <w:vAlign w:val="bottom"/>
          </w:tcPr>
          <w:p>
            <w:pPr>
              <w:spacing w:after="0"/>
              <w:rPr>
                <w:sz w:val="21"/>
                <w:szCs w:val="21"/>
                <w:color w:val="auto"/>
              </w:rPr>
            </w:pPr>
          </w:p>
        </w:tc>
        <w:tc>
          <w:tcPr>
            <w:tcW w:w="62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5,039,511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w:t>
            </w:r>
          </w:p>
        </w:tc>
        <w:tc>
          <w:tcPr>
            <w:tcW w:w="6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362,652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6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261,696</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5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19,248,537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19,132,387</w:t>
            </w:r>
          </w:p>
        </w:tc>
        <w:tc>
          <w:tcPr>
            <w:tcW w:w="0" w:type="dxa"/>
            <w:vAlign w:val="bottom"/>
          </w:tcPr>
          <w:p>
            <w:pPr>
              <w:spacing w:after="0"/>
              <w:rPr>
                <w:sz w:val="1"/>
                <w:szCs w:val="1"/>
                <w:color w:val="auto"/>
              </w:rPr>
            </w:pPr>
          </w:p>
        </w:tc>
      </w:tr>
      <w:tr>
        <w:trPr>
          <w:trHeight w:val="27"/>
        </w:trPr>
        <w:tc>
          <w:tcPr>
            <w:tcW w:w="35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vMerge w:val="continue"/>
            <w:shd w:val="clear" w:color="auto" w:fill="CCEEFF"/>
          </w:tcPr>
          <w:p>
            <w:pPr>
              <w:spacing w:after="0"/>
              <w:rPr>
                <w:sz w:val="21"/>
                <w:szCs w:val="21"/>
                <w:color w:val="auto"/>
              </w:rPr>
            </w:pPr>
          </w:p>
        </w:tc>
        <w:tc>
          <w:tcPr>
            <w:tcW w:w="5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24,842,055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24,320,237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3"/>
          </w:tcPr>
          <w:p>
            <w:pPr>
              <w:jc w:val="right"/>
              <w:ind w:right="4180"/>
              <w:spacing w:after="0"/>
              <w:rPr>
                <w:sz w:val="20"/>
                <w:szCs w:val="20"/>
                <w:color w:val="auto"/>
              </w:rPr>
            </w:pPr>
            <w:r>
              <w:rPr>
                <w:rFonts w:ascii="Times New Roman" w:cs="Times New Roman" w:eastAsia="Times New Roman" w:hAnsi="Times New Roman"/>
                <w:sz w:val="18"/>
                <w:szCs w:val="18"/>
                <w:color w:val="auto"/>
              </w:rPr>
              <w:t>F-113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16. INCOME TAXES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51"/>
        </w:trPr>
        <w:tc>
          <w:tcPr>
            <w:tcW w:w="8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tax expense and the effective tax rate resulting from operations were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6"/>
                <w:szCs w:val="16"/>
                <w:color w:val="auto"/>
              </w:rPr>
            </w:pPr>
          </w:p>
        </w:tc>
      </w:tr>
      <w:tr>
        <w:trPr>
          <w:trHeight w:val="245"/>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r>
      <w:tr>
        <w:trPr>
          <w:trHeight w:val="216"/>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r>
    </w:tbl>
    <w:p>
      <w:pPr>
        <w:spacing w:after="0" w:line="117"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three months ended March 31, 2022, compared to the three months ended March 31, 2021, is primarily due to the amount and mix of income (loss) from multiple tax jurisdictions and withholding taxes in excluded loss jurisdictions.</w:t>
      </w:r>
    </w:p>
    <w:p>
      <w:pPr>
        <w:spacing w:after="0" w:line="16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2"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Company currently has valuation allowances recorded against its deductible temporary differences and net operating loss carryforwards in certain jurisdictions where the realizability of such deferred tax assets is substantially in doubt. Each quarter, the Company assesses the likelihood that it will be able to recover its deferred tax assets. The Company considers available evidence, including significant events and transactions, both positive and negative, including reversing taxable temporary differences and forecasted earnings in assessing its need for a valuation allowance in each jurisdiction. As a result of the Company’s analysis, it concluded that it is more likely than not that a portion of its deferred tax assets will not be realized. Therefore, the Company continues to provide a valuation allowance against its deferred tax assets in certain jurisdictions. The Company continues to monitor available evidence and may reverse some or all its remaining valuation allowance in future periods, if appropriate. The Company has a recorded valuation allowance against its deferred tax assets of $86,694 thousand as of March 31, 2022, and $50,821 thousand as of March 31, 2021.</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48"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three-month period ended March 31, 2022 and for the year ended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evaluated subsequent events through May 16, 2022, the date the condensed consolidated financial statements were issued.</w:t>
      </w:r>
    </w:p>
    <w:p>
      <w:pPr>
        <w:spacing w:after="0" w:line="144"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In April 2022, the Company received additional PIPE funding in connection with the Business Combination, resulting in an increase of $2,000 to the gross proceeds to be received from the transaction.</w:t>
      </w:r>
    </w:p>
    <w:p>
      <w:pPr>
        <w:spacing w:after="0" w:line="81"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In April 2022, the Company entered into a loan modification agreement with Silicon Valley Bank, which modified the original maturity date term of the SVB March 2021 Note. The agreement extended the note’s Early Maturity Date from April 26, 2022 to May 26, 2022. Refer to Note 8 for the SVB March 2021 Note’s original maturity date terms.</w:t>
      </w:r>
    </w:p>
    <w:p>
      <w:pPr>
        <w:spacing w:after="0" w:line="95"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On April 26, 2022, the Company and Archimedes Tech SPAC Partners Co. (“ATSP”) completed a merger resulting in the reverse recapitalization of the Company (the “Business Combination”) and the issuance of common stock in the PIPE investment. Upon the Closing of the Business Combination, ATSP changed its name to SoundHound AI, Inc. Cash proceeds of the Business Combination were funded through a combination of $5,357 held in trust by ATSP (following satisfaction of redemptions by public stockholders), and $113,000 in aggregate gross proceeds from PIPE investors in exchange for 11,300,000 shares of SoundHound AI Class A common stock that closed substantially contemporaneously with the Closing of the Business Combination. The combined company incurred $25,293 of expenses related to the transaction. After giving effect to these transactions, SoundHound received $93,064 in net proceeds, which are intended to be used for general corporate purposes, including investments in sales, marketing and advancement of product development, but which may also be used to acquire other companies in the Voice AI industry.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663"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3"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225" w:lineRule="exact"/>
        <w:rPr>
          <w:sz w:val="20"/>
          <w:szCs w:val="20"/>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Bylaws are not exclusive.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2" w:name="page243"/>
    <w:bookmarkEnd w:id="242"/>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Class A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38"/>
        </w:trPr>
        <w:tc>
          <w:tcPr>
            <w:tcW w:w="632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tcBorders>
              <w:bottom w:val="single" w:sz="8" w:color="auto"/>
            </w:tcBorders>
            <w:gridSpan w:val="5"/>
          </w:tcPr>
          <w:p>
            <w:pPr>
              <w:ind w:left="1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gridSpan w:val="2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5"/>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200" w:type="dxa"/>
            <w:vAlign w:val="bottom"/>
            <w:tcBorders>
              <w:top w:val="single" w:sz="8" w:color="auto"/>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Merger Agreement dated as of November 15, 2021 by and among</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Archimedes Tech SPAC Partners Co., ATSPC Merger Sub, Inc. and</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SoundHound, Inc.</w:t>
              </w:r>
            </w:hyperlink>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518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Second  Amended  and  Restated  Certificate  of  Incorporation  of</w:t>
              </w:r>
            </w:hyperlink>
          </w:p>
        </w:tc>
        <w:tc>
          <w:tcPr>
            <w:tcW w:w="100" w:type="dxa"/>
            <w:vAlign w:val="bottom"/>
            <w:gridSpan w:val="3"/>
          </w:tcPr>
          <w:p>
            <w:pPr>
              <w:spacing w:after="0"/>
              <w:rPr>
                <w:sz w:val="15"/>
                <w:szCs w:val="15"/>
                <w:color w:val="auto"/>
              </w:rPr>
            </w:pP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28"/>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SoundHound AI, Inc.</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Amended and Restated Bylaws of SoundHound AI, Inc.</w:t>
              </w:r>
            </w:hyperlink>
          </w:p>
        </w:tc>
        <w:tc>
          <w:tcPr>
            <w:tcW w:w="1240" w:type="dxa"/>
            <w:vAlign w:val="bottom"/>
            <w:tcBorders>
              <w:bottom w:val="single" w:sz="8" w:color="CCEEFF"/>
            </w:tcBorders>
            <w:gridSpan w:val="6"/>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5280" w:type="dxa"/>
            <w:vAlign w:val="bottom"/>
            <w:gridSpan w:val="28"/>
          </w:tcPr>
          <w:p>
            <w:pPr>
              <w:spacing w:after="0" w:line="17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Amended and Restated Warrant Agreement.</w:t>
              </w:r>
            </w:hyperlink>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52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Form of Specimen Class A Common Stock Certificate</w:t>
              </w:r>
            </w:hyperlink>
          </w:p>
        </w:tc>
        <w:tc>
          <w:tcPr>
            <w:tcW w:w="18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16, 2022</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tcPr>
          <w:p>
            <w:pPr>
              <w:spacing w:after="0"/>
              <w:rPr>
                <w:sz w:val="15"/>
                <w:szCs w:val="15"/>
                <w:color w:val="auto"/>
              </w:rPr>
            </w:pPr>
          </w:p>
        </w:tc>
        <w:tc>
          <w:tcPr>
            <w:tcW w:w="3900" w:type="dxa"/>
            <w:vAlign w:val="bottom"/>
            <w:tcBorders>
              <w:top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Form of Specimen Warrant Certificate</w:t>
              </w:r>
            </w:hyperlink>
          </w:p>
        </w:tc>
        <w:tc>
          <w:tcPr>
            <w:tcW w:w="1380" w:type="dxa"/>
            <w:vAlign w:val="bottom"/>
            <w:tcBorders>
              <w:top w:val="single" w:sz="8" w:color="CCEEFF"/>
            </w:tcBorders>
            <w:gridSpan w:val="7"/>
          </w:tcPr>
          <w:p>
            <w:pPr>
              <w:spacing w:after="0"/>
              <w:rPr>
                <w:sz w:val="15"/>
                <w:szCs w:val="15"/>
                <w:color w:val="auto"/>
              </w:rPr>
            </w:pPr>
          </w:p>
        </w:tc>
        <w:tc>
          <w:tcPr>
            <w:tcW w:w="180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16,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52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Amended and Restated Warrant Agreement</w:t>
              </w:r>
            </w:hyperlink>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528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Form of PIPE Subscription Agreement.</w:t>
              </w:r>
            </w:hyperlink>
          </w:p>
        </w:tc>
        <w:tc>
          <w:tcPr>
            <w:tcW w:w="2440" w:type="dxa"/>
            <w:vAlign w:val="bottom"/>
            <w:tcBorders>
              <w:bottom w:val="single" w:sz="8" w:color="CCEEFF"/>
            </w:tcBorders>
            <w:gridSpan w:val="17"/>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5280" w:type="dxa"/>
            <w:vAlign w:val="bottom"/>
            <w:gridSpan w:val="28"/>
          </w:tcPr>
          <w:p>
            <w:pPr>
              <w:spacing w:after="0" w:line="17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Form of Lock-Up Agreement.</w:t>
              </w:r>
            </w:hyperlink>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518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Amended and Restated Registration Rights Agreement, dated April 26,</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16, 2022</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2022, by and between SoundHound AI, Inc. and certain stockholders of</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SoundHound AI, Inc.</w:t>
              </w:r>
            </w:hyperlink>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5280" w:type="dxa"/>
            <w:vAlign w:val="bottom"/>
            <w:gridSpan w:val="28"/>
          </w:tcPr>
          <w:p>
            <w:pPr>
              <w:spacing w:after="0" w:line="17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SoundHound AI, Inc. 2022 Incentive Award Plan.</w:t>
              </w:r>
            </w:hyperlink>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Proxy Statement</w:t>
            </w:r>
          </w:p>
        </w:tc>
        <w:tc>
          <w:tcPr>
            <w:tcW w:w="11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Annex D</w:t>
            </w: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7"/>
                <w:szCs w:val="17"/>
                <w:color w:val="auto"/>
              </w:rPr>
            </w:pPr>
          </w:p>
        </w:tc>
        <w:tc>
          <w:tcPr>
            <w:tcW w:w="52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SoundHound AI, Inc. 2022 Employee Stock Purchase Plan.</w:t>
              </w:r>
            </w:hyperlink>
          </w:p>
        </w:tc>
        <w:tc>
          <w:tcPr>
            <w:tcW w:w="18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Proxy Statement</w:t>
            </w:r>
          </w:p>
        </w:tc>
        <w:tc>
          <w:tcPr>
            <w:tcW w:w="11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Annex E</w:t>
            </w:r>
          </w:p>
        </w:tc>
        <w:tc>
          <w:tcPr>
            <w:tcW w:w="2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tcPr>
          <w:p>
            <w:pPr>
              <w:spacing w:after="0"/>
              <w:rPr>
                <w:sz w:val="15"/>
                <w:szCs w:val="15"/>
                <w:color w:val="auto"/>
              </w:rPr>
            </w:pPr>
          </w:p>
        </w:tc>
        <w:tc>
          <w:tcPr>
            <w:tcW w:w="4280" w:type="dxa"/>
            <w:vAlign w:val="bottom"/>
            <w:tcBorders>
              <w:top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Form of Restricted Stock Unit Agreement.</w:t>
              </w:r>
            </w:hyperlink>
          </w:p>
        </w:tc>
        <w:tc>
          <w:tcPr>
            <w:tcW w:w="1000" w:type="dxa"/>
            <w:vAlign w:val="bottom"/>
            <w:tcBorders>
              <w:top w:val="single" w:sz="8" w:color="CCEEFF"/>
            </w:tcBorders>
            <w:gridSpan w:val="5"/>
          </w:tcPr>
          <w:p>
            <w:pPr>
              <w:spacing w:after="0"/>
              <w:rPr>
                <w:sz w:val="15"/>
                <w:szCs w:val="15"/>
                <w:color w:val="auto"/>
              </w:rPr>
            </w:pPr>
          </w:p>
        </w:tc>
        <w:tc>
          <w:tcPr>
            <w:tcW w:w="18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7"/>
                <w:szCs w:val="17"/>
                <w:color w:val="auto"/>
              </w:rPr>
            </w:pPr>
          </w:p>
        </w:tc>
        <w:tc>
          <w:tcPr>
            <w:tcW w:w="52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Form of Stock Option Award Agreement.</w:t>
              </w:r>
            </w:hyperlink>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CCEEFF"/>
            </w:tcBorders>
          </w:tcPr>
          <w:p>
            <w:pPr>
              <w:spacing w:after="0"/>
              <w:rPr>
                <w:sz w:val="15"/>
                <w:szCs w:val="15"/>
                <w:color w:val="auto"/>
              </w:rPr>
            </w:pPr>
          </w:p>
        </w:tc>
        <w:tc>
          <w:tcPr>
            <w:tcW w:w="298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Form of Indemnity Agreement.</w:t>
              </w:r>
            </w:hyperlink>
          </w:p>
        </w:tc>
        <w:tc>
          <w:tcPr>
            <w:tcW w:w="2300" w:type="dxa"/>
            <w:vAlign w:val="bottom"/>
            <w:tcBorders>
              <w:top w:val="single" w:sz="8" w:color="CCEEFF"/>
            </w:tcBorders>
            <w:gridSpan w:val="16"/>
          </w:tcPr>
          <w:p>
            <w:pPr>
              <w:spacing w:after="0"/>
              <w:rPr>
                <w:sz w:val="15"/>
                <w:szCs w:val="15"/>
                <w:color w:val="auto"/>
              </w:rPr>
            </w:pPr>
          </w:p>
        </w:tc>
        <w:tc>
          <w:tcPr>
            <w:tcW w:w="18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516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Employment  Agreement  with  Keyvan  Mohajer,  Chief  Executive</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Officer, dated June 2, 2022</w:t>
              </w:r>
            </w:hyperlink>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5"/>
                <w:szCs w:val="15"/>
                <w:color w:val="auto"/>
              </w:rPr>
            </w:pPr>
          </w:p>
        </w:tc>
        <w:tc>
          <w:tcPr>
            <w:tcW w:w="518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Employment Agreement with Nitesh Sharan, Chief Financial Officer,</w:t>
              </w:r>
            </w:hyperlink>
          </w:p>
        </w:tc>
        <w:tc>
          <w:tcPr>
            <w:tcW w:w="100" w:type="dxa"/>
            <w:vAlign w:val="bottom"/>
            <w:gridSpan w:val="3"/>
          </w:tcPr>
          <w:p>
            <w:pPr>
              <w:spacing w:after="0"/>
              <w:rPr>
                <w:sz w:val="15"/>
                <w:szCs w:val="15"/>
                <w:color w:val="auto"/>
              </w:rPr>
            </w:pP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28"/>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dated June 2, 2022</w:t>
              </w:r>
            </w:hyperlink>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shd w:val="clear" w:color="auto" w:fill="CCEEFF"/>
          </w:tcPr>
          <w:p>
            <w:pPr>
              <w:spacing w:after="0"/>
              <w:rPr>
                <w:sz w:val="15"/>
                <w:szCs w:val="15"/>
                <w:color w:val="auto"/>
              </w:rPr>
            </w:pPr>
          </w:p>
        </w:tc>
        <w:tc>
          <w:tcPr>
            <w:tcW w:w="518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Employment Agreement with Timothy Stonehocker, Chief Technology</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Officer, dated June 2, 2022</w:t>
              </w:r>
            </w:hyperlink>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5"/>
                <w:szCs w:val="15"/>
                <w:color w:val="auto"/>
              </w:rPr>
            </w:pPr>
          </w:p>
        </w:tc>
        <w:tc>
          <w:tcPr>
            <w:tcW w:w="5280" w:type="dxa"/>
            <w:vAlign w:val="bottom"/>
            <w:gridSpan w:val="28"/>
          </w:tcPr>
          <w:p>
            <w:pPr>
              <w:spacing w:after="0" w:line="17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Non-Employee Director Compensation Policy</w:t>
              </w:r>
            </w:hyperlink>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8"/>
              </w:rPr>
            </w:pPr>
            <w:hyperlink r:id="rId306">
              <w:r>
                <w:rPr>
                  <w:rFonts w:ascii="Times New Roman" w:cs="Times New Roman" w:eastAsia="Times New Roman" w:hAnsi="Times New Roman"/>
                  <w:sz w:val="18"/>
                  <w:szCs w:val="18"/>
                  <w:color w:val="0000EE"/>
                  <w:w w:val="98"/>
                </w:rPr>
                <w:t>Subsidiaries of the Company.</w:t>
              </w:r>
            </w:hyperlink>
          </w:p>
        </w:tc>
        <w:tc>
          <w:tcPr>
            <w:tcW w:w="3160" w:type="dxa"/>
            <w:vAlign w:val="bottom"/>
            <w:tcBorders>
              <w:bottom w:val="single" w:sz="8" w:color="CCEEFF"/>
            </w:tcBorders>
            <w:gridSpan w:val="22"/>
            <w:shd w:val="clear" w:color="auto" w:fill="CCEEFF"/>
          </w:tcPr>
          <w:p>
            <w:pPr>
              <w:spacing w:after="0"/>
              <w:rPr>
                <w:sz w:val="17"/>
                <w:szCs w:val="17"/>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528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Consent of UHY LLP dated July 13, 2022.</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Armanino LLP dated July 13, 2022.</w:t>
            </w:r>
          </w:p>
        </w:tc>
        <w:tc>
          <w:tcPr>
            <w:tcW w:w="1860" w:type="dxa"/>
            <w:vAlign w:val="bottom"/>
            <w:tcBorders>
              <w:bottom w:val="single" w:sz="8" w:color="CCEEFF"/>
            </w:tcBorders>
            <w:gridSpan w:val="9"/>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5280" w:type="dxa"/>
            <w:vAlign w:val="bottom"/>
            <w:gridSpan w:val="28"/>
          </w:tcPr>
          <w:p>
            <w:pPr>
              <w:spacing w:after="0" w:line="176" w:lineRule="exact"/>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Press Release, dated April 27, 2022.</w:t>
              </w:r>
            </w:hyperlink>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15"/>
                <w:szCs w:val="15"/>
                <w:color w:val="auto"/>
              </w:rPr>
            </w:pPr>
          </w:p>
        </w:tc>
        <w:tc>
          <w:tcPr>
            <w:tcW w:w="516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Unaudited Pro Forma Condensed Combined Financial Statements of</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c>
          <w:tcPr>
            <w:tcW w:w="18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6"/>
              </w:rPr>
            </w:pPr>
            <w:hyperlink r:id="rId308">
              <w:r>
                <w:rPr>
                  <w:rFonts w:ascii="Times New Roman" w:cs="Times New Roman" w:eastAsia="Times New Roman" w:hAnsi="Times New Roman"/>
                  <w:sz w:val="18"/>
                  <w:szCs w:val="18"/>
                  <w:color w:val="0000EE"/>
                  <w:w w:val="96"/>
                </w:rPr>
                <w:t>the Company.</w:t>
              </w:r>
            </w:hyperlink>
          </w:p>
        </w:tc>
        <w:tc>
          <w:tcPr>
            <w:tcW w:w="4280" w:type="dxa"/>
            <w:vAlign w:val="bottom"/>
            <w:tcBorders>
              <w:bottom w:val="single" w:sz="8" w:color="CCEEFF"/>
            </w:tcBorders>
            <w:gridSpan w:val="27"/>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2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2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bl>
    <w:p>
      <w:pPr>
        <w:ind w:left="1040" w:right="5040" w:hanging="1032"/>
        <w:spacing w:after="0" w:line="250" w:lineRule="auto"/>
        <w:tabs>
          <w:tab w:leader="none" w:pos="10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310">
        <w:r>
          <w:rPr>
            <w:rFonts w:ascii="Times New Roman" w:cs="Times New Roman" w:eastAsia="Times New Roman" w:hAnsi="Times New Roman"/>
            <w:sz w:val="18"/>
            <w:szCs w:val="18"/>
            <w:u w:val="single" w:color="auto"/>
            <w:color w:val="0000EE"/>
          </w:rPr>
          <w:t>Calculation of Filing Fees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7" w:lineRule="exact"/>
        <w:rPr>
          <w:sz w:val="20"/>
          <w:szCs w:val="20"/>
          <w:color w:val="auto"/>
        </w:rPr>
      </w:pPr>
    </w:p>
    <w:p>
      <w:pPr>
        <w:ind w:left="340" w:hanging="332"/>
        <w:spacing w:after="0" w:line="250"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1" w:lineRule="exact"/>
        <w:rPr>
          <w:sz w:val="20"/>
          <w:szCs w:val="20"/>
          <w:color w:val="auto"/>
        </w:rPr>
      </w:pPr>
    </w:p>
    <w:p>
      <w:pPr>
        <w:ind w:right="6560" w:firstLine="8"/>
        <w:spacing w:after="0" w:line="260" w:lineRule="auto"/>
        <w:tabs>
          <w:tab w:leader="none" w:pos="3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Previously filed.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3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5" w:name="page246"/>
    <w:bookmarkEnd w:id="245"/>
    <w:p>
      <w:pPr>
        <w:jc w:val="both"/>
        <w:ind w:left="980" w:hanging="324"/>
        <w:spacing w:after="0" w:line="255" w:lineRule="auto"/>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3"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39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Santa Clara, State of California, on the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July, 2022.</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94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0"/>
                <w:szCs w:val="20"/>
                <w:color w:val="auto"/>
              </w:rPr>
            </w:pPr>
          </w:p>
        </w:tc>
      </w:tr>
      <w:tr>
        <w:trPr>
          <w:trHeight w:val="42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20"/>
                <w:szCs w:val="20"/>
                <w:color w:val="auto"/>
              </w:rPr>
            </w:pPr>
          </w:p>
        </w:tc>
      </w:tr>
      <w:tr>
        <w:trPr>
          <w:trHeight w:val="42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179" w:lineRule="exact"/>
        <w:rPr>
          <w:sz w:val="20"/>
          <w:szCs w:val="20"/>
          <w:color w:val="auto"/>
        </w:rPr>
      </w:pPr>
    </w:p>
    <w:p>
      <w:pPr>
        <w:ind w:right="8960" w:firstLine="8"/>
        <w:spacing w:after="0" w:line="276" w:lineRule="auto"/>
        <w:tabs>
          <w:tab w:leader="none" w:pos="13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Dr. Keyvan Mohajer Name: Dr. Keyvan Mohajer</w:t>
      </w:r>
    </w:p>
    <w:p>
      <w:pPr>
        <w:spacing w:after="0" w:line="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-285115</wp:posOffset>
            </wp:positionV>
            <wp:extent cx="24942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7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954530" cy="677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1954530" cy="677545"/>
                    </a:xfrm>
                    <a:prstGeom prst="rect">
                      <a:avLst/>
                    </a:prstGeom>
                    <a:noFill/>
                  </pic:spPr>
                </pic:pic>
              </a:graphicData>
            </a:graphic>
          </wp:anchor>
        </w:drawing>
      </w:r>
    </w:p>
    <w:p>
      <w:pPr>
        <w:jc w:val="right"/>
        <w:ind w:right="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FACSIMILE: (212) 370-7889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www.egsllp.com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5499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SoundHound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a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the Securities Act of 1933, as amended. The Registration Statement relates to (1) the resale by the selling stockholders listed in the prospectus included as a part of the Registration Statement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of (a) up to 56,834,904 shares (the “</w:t>
      </w:r>
      <w:r>
        <w:rPr>
          <w:rFonts w:ascii="Times New Roman" w:cs="Times New Roman" w:eastAsia="Times New Roman" w:hAnsi="Times New Roman"/>
          <w:sz w:val="18"/>
          <w:szCs w:val="18"/>
          <w:b w:val="1"/>
          <w:bCs w:val="1"/>
          <w:color w:val="auto"/>
        </w:rPr>
        <w:t>Resale A 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(b) up to 40,396,600 Class A Shares (the “</w:t>
      </w:r>
      <w:r>
        <w:rPr>
          <w:rFonts w:ascii="Times New Roman" w:cs="Times New Roman" w:eastAsia="Times New Roman" w:hAnsi="Times New Roman"/>
          <w:sz w:val="18"/>
          <w:szCs w:val="18"/>
          <w:b w:val="1"/>
          <w:bCs w:val="1"/>
          <w:color w:val="auto"/>
        </w:rPr>
        <w:t>Resale B Shares</w:t>
      </w:r>
      <w:r>
        <w:rPr>
          <w:rFonts w:ascii="Times New Roman" w:cs="Times New Roman" w:eastAsia="Times New Roman" w:hAnsi="Times New Roman"/>
          <w:sz w:val="18"/>
          <w:szCs w:val="18"/>
          <w:color w:val="auto"/>
        </w:rPr>
        <w:t>”) issuable upon conversion of shares of Class B common stock, par value $0.0001 per share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and (c) up to 208,000 warrants, each exercisable for one share of Class A Shares at a price of $11.50, subject to adjustment (the “</w:t>
      </w:r>
      <w:r>
        <w:rPr>
          <w:rFonts w:ascii="Times New Roman" w:cs="Times New Roman" w:eastAsia="Times New Roman" w:hAnsi="Times New Roman"/>
          <w:sz w:val="18"/>
          <w:szCs w:val="18"/>
          <w:b w:val="1"/>
          <w:bCs w:val="1"/>
          <w:color w:val="auto"/>
        </w:rPr>
        <w:t>Placement Warrants</w:t>
      </w:r>
      <w:r>
        <w:rPr>
          <w:rFonts w:ascii="Times New Roman" w:cs="Times New Roman" w:eastAsia="Times New Roman" w:hAnsi="Times New Roman"/>
          <w:sz w:val="18"/>
          <w:szCs w:val="18"/>
          <w:color w:val="auto"/>
        </w:rPr>
        <w:t>”) and (2) the issuance by the Company of up to 3,532,984 Class A Shares upon the exercise of outstanding warrants to purchase the Company’s Class A Shares at an exercise price of $11.50 (the “</w:t>
      </w:r>
      <w:r>
        <w:rPr>
          <w:rFonts w:ascii="Times New Roman" w:cs="Times New Roman" w:eastAsia="Times New Roman" w:hAnsi="Times New Roman"/>
          <w:sz w:val="18"/>
          <w:szCs w:val="18"/>
          <w:b w:val="1"/>
          <w:bCs w:val="1"/>
          <w:color w:val="auto"/>
        </w:rPr>
        <w:t>IPO Warrants</w:t>
      </w:r>
      <w:r>
        <w:rPr>
          <w:rFonts w:ascii="Times New Roman" w:cs="Times New Roman" w:eastAsia="Times New Roman" w:hAnsi="Times New Roman"/>
          <w:sz w:val="18"/>
          <w:szCs w:val="18"/>
          <w:color w:val="auto"/>
        </w:rPr>
        <w:t>”), each as described in further detail in the prospectus. This opinion letter is furnished to you at your request to enable you to fulfill the requirements, in connection with the Registration Statement, of Item 601(b)(5) of Regulation S-K promulgated by the Commission.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examined such documents and considered such legal matters as we have deemed necessary and relevant as the basis for the opinion set forth below including, without limitation: (i) the Registration Statement, as amended to date; (ii) the Certificate of Incorporation and Bylaws of the Company, each as amended to date; (iii) the Placement Warrants and the IPO Warrants; and (iv) records of meetings and consents of the Board of Directors of the Company provided to us by the Company.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8" w:name="page249"/>
    <w:bookmarkEnd w:id="2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(1) the Resale A Shares were duly and validly issued, fully paid and non-assessable, (2) that upon conversion of the Class B Shares, the Resale B Shares will be duly and validly issued, fully paid and non-assessable, (3) that the Placement Warrants are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 and (4) upon due exercise of the IPO Warrants in accordance with the terms thereof, and when certificates for the same have been duly executed and countersigned and delivered in accordance with and pursuant to the terms of the IPO Warrants, the Class A Shares issuable upon exercise will be duly and validly issued, fully paid and non-assessable.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solely to the General Corporation Law of the State of Delaware, including the applicable provisions of the Delaware Constitution and the reported judicial decisions interpreting such law, as currently in effect, and we express no opinion as to the effect of any other law of the State of Delaware or the laws of any other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reference to our firm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Commission promulgated thereunder. We assume no obligation to update or supplement any of the opinion set forth herein to reflect any changes of law or fact that may occur following the date hereof.</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of SoundHound AI, Inc. (formerly known as Archimedes Tech SPAC Partners Co.) on Form S-1 of our report dated March 9, 2022, with respect to our audit of the Archimedes Tech SPAC Partners Co. (the “Company”) financial statements as of December 31, 2021 and 2020, and for the year ended December 31, 2021 and the period September 15, 2020 (inception) through December 31, 2020, which appears in this Registration Statement. Our report contained an explanatory paragraph regarding substantial doubt about the Company’s ability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2022</w:t>
      </w:r>
    </w:p>
    <w:p>
      <w:pPr>
        <w:sectPr>
          <w:pgSz w:w="11900" w:h="16838" w:orient="portrait"/>
          <w:cols w:equalWidth="0" w:num="1">
            <w:col w:w="11240"/>
          </w:cols>
          <w:pgMar w:left="320" w:top="117"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1234440" cy="3600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12344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use in this Registration Statement on Amendment No. 1 to Form S-1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spacing w:after="0" w:line="19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Armanino LLP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822960" cy="4972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822960" cy="49720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1)"/>
      <w:numFmt w:val="lowerRoman"/>
      <w:start w:val="3"/>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1)"/>
      <w:numFmt w:val="lowerRoman"/>
      <w:start w:val="2"/>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1)"/>
      <w:numFmt w:val="decimal"/>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1)"/>
      <w:numFmt w:val="decimal"/>
      <w:start w:val="1"/>
    </w:lvl>
  </w:abstractNum>
  <w:abstractNum w:abstractNumId="34">
    <w:nsid w:val="6EB5BD4"/>
    <w:multiLevelType w:val="hybridMultilevel"/>
    <w:lvl w:ilvl="0">
      <w:lvlJc w:val="left"/>
      <w:lvlText w:val="(%1)"/>
      <w:numFmt w:val="lowerLetter"/>
      <w:start w:val="2"/>
    </w:lvl>
  </w:abstractNum>
  <w:abstractNum w:abstractNumId="35">
    <w:nsid w:val="6F6DD9AC"/>
    <w:multiLevelType w:val="hybridMultilevel"/>
    <w:lvl w:ilvl="0">
      <w:lvlJc w:val="left"/>
      <w:lvlText w:val="(%1)"/>
      <w:numFmt w:val="decimal"/>
      <w:start w:val="1"/>
    </w:lvl>
  </w:abstractNum>
  <w:abstractNum w:abstractNumId="36">
    <w:nsid w:val="94211F2"/>
    <w:multiLevelType w:val="hybridMultilevel"/>
    <w:lvl w:ilvl="0">
      <w:lvlJc w:val="left"/>
      <w:lvlText w:val="(%1)"/>
      <w:numFmt w:val="lowerRoman"/>
      <w:start w:val="1"/>
    </w:lvl>
  </w:abstractNum>
  <w:abstractNum w:abstractNumId="37">
    <w:nsid w:val="885E1B"/>
    <w:multiLevelType w:val="hybridMultilevel"/>
    <w:lvl w:ilvl="0">
      <w:lvlJc w:val="left"/>
      <w:lvlText w:val="(%1)"/>
      <w:numFmt w:val="lowerLetter"/>
      <w:start w:val="2"/>
    </w:lvl>
  </w:abstractNum>
  <w:abstractNum w:abstractNumId="38">
    <w:nsid w:val="76272110"/>
    <w:multiLevelType w:val="hybridMultilevel"/>
    <w:lvl w:ilvl="0">
      <w:lvlJc w:val="left"/>
      <w:lvlText w:val="(%1)"/>
      <w:numFmt w:val="lowerRoman"/>
      <w:start w:val="10"/>
    </w:lvl>
  </w:abstractNum>
  <w:abstractNum w:abstractNumId="39">
    <w:nsid w:val="4C04A8AF"/>
    <w:multiLevelType w:val="hybridMultilevel"/>
    <w:lvl w:ilvl="0">
      <w:lvlJc w:val="left"/>
      <w:lvlText w:val="(%1)"/>
      <w:numFmt w:val="lowerLetter"/>
      <w:start w:val="2"/>
    </w:lvl>
    <w:lvl w:ilvl="1">
      <w:lvlJc w:val="left"/>
      <w:lvlText w:val="(%2)"/>
      <w:numFmt w:val="lowerLetter"/>
      <w:start w:val="6"/>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
      <w:numFmt w:val="bullet"/>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1)"/>
      <w:numFmt w:val="decimal"/>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1)"/>
      <w:numFmt w:val="decimal"/>
      <w:start w:val="1"/>
    </w:lvl>
  </w:abstractNum>
  <w:abstractNum w:abstractNumId="52">
    <w:nsid w:val="60EF0119"/>
    <w:multiLevelType w:val="hybridMultilevel"/>
    <w:lvl w:ilvl="0">
      <w:lvlJc w:val="left"/>
      <w:lvlText w:val="(%1)"/>
      <w:numFmt w:val="decimal"/>
      <w:start w:val="9"/>
    </w:lvl>
    <w:lvl w:ilvl="1">
      <w:lvlJc w:val="left"/>
      <w:lvlText w:val="(%2)"/>
      <w:numFmt w:val="lowerRoman"/>
      <w:start w:val="4"/>
    </w:lvl>
  </w:abstractNum>
  <w:abstractNum w:abstractNumId="53">
    <w:nsid w:val="26F324BA"/>
    <w:multiLevelType w:val="hybridMultilevel"/>
    <w:lvl w:ilvl="0">
      <w:lvlJc w:val="left"/>
      <w:lvlText w:val="(%1)"/>
      <w:numFmt w:val="lowerRoman"/>
      <w:start w:val="2"/>
    </w:lvl>
  </w:abstractNum>
  <w:abstractNum w:abstractNumId="54">
    <w:nsid w:val="7F01579B"/>
    <w:multiLevelType w:val="hybridMultilevel"/>
    <w:lvl w:ilvl="0">
      <w:lvlJc w:val="left"/>
      <w:lvlText w:val="(%1)"/>
      <w:numFmt w:val="decimal"/>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
      <w:numFmt w:val="bullet"/>
      <w:start w:val="1"/>
    </w:lvl>
  </w:abstractNum>
  <w:abstractNum w:abstractNumId="59">
    <w:nsid w:val="488AC1A"/>
    <w:multiLevelType w:val="hybridMultilevel"/>
    <w:lvl w:ilvl="0">
      <w:lvlJc w:val="left"/>
      <w:lvlText w:val="●"/>
      <w:numFmt w:val="bullet"/>
      <w:start w:val="1"/>
    </w:lvl>
  </w:abstractNum>
  <w:abstractNum w:abstractNumId="60">
    <w:nsid w:val="5FB8011C"/>
    <w:multiLevelType w:val="hybridMultilevel"/>
    <w:lvl w:ilvl="0">
      <w:lvlJc w:val="left"/>
      <w:lvlText w:val="(%1)"/>
      <w:numFmt w:val="decimal"/>
      <w:start w:val="1"/>
    </w:lvl>
  </w:abstractNum>
  <w:abstractNum w:abstractNumId="61">
    <w:nsid w:val="6AA78F7F"/>
    <w:multiLevelType w:val="hybridMultilevel"/>
    <w:lvl w:ilvl="0">
      <w:lvlJc w:val="left"/>
      <w:lvlText w:val="(%1)"/>
      <w:numFmt w:val="decimal"/>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
      <w:numFmt w:val="bullet"/>
      <w:start w:val="1"/>
    </w:lvl>
  </w:abstractNum>
  <w:abstractNum w:abstractNumId="64">
    <w:nsid w:val="6A5F7029"/>
    <w:multiLevelType w:val="hybridMultilevel"/>
    <w:lvl w:ilvl="0">
      <w:lvlJc w:val="left"/>
      <w:lvlText w:val="●"/>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1)"/>
      <w:numFmt w:val="decimal"/>
      <w:start w:val="636"/>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1"/>
    </w:lvl>
  </w:abstractNum>
  <w:abstractNum w:abstractNumId="70">
    <w:nsid w:val="3FA62ACA"/>
    <w:multiLevelType w:val="hybridMultilevel"/>
    <w:lvl w:ilvl="0">
      <w:lvlJc w:val="left"/>
      <w:lvlText w:val="%1."/>
      <w:numFmt w:val="decimal"/>
      <w:start w:val="2"/>
    </w:lvl>
  </w:abstractNum>
  <w:abstractNum w:abstractNumId="71">
    <w:nsid w:val="14FCE74E"/>
    <w:multiLevelType w:val="hybridMultilevel"/>
    <w:lvl w:ilvl="0">
      <w:lvlJc w:val="left"/>
      <w:lvlText w:val="%1."/>
      <w:numFmt w:val="decimal"/>
      <w:start w:val="2"/>
    </w:lvl>
  </w:abstractNum>
  <w:abstractNum w:abstractNumId="72">
    <w:nsid w:val="6A3DD3E8"/>
    <w:multiLevelType w:val="hybridMultilevel"/>
    <w:lvl w:ilvl="0">
      <w:lvlJc w:val="left"/>
      <w:lvlText w:val="%1."/>
      <w:numFmt w:val="decimal"/>
      <w:start w:val="2"/>
    </w:lvl>
    <w:lvl w:ilvl="1">
      <w:lvlJc w:val="left"/>
      <w:lvlText w:val="(%2)"/>
      <w:numFmt w:val="lowerRoman"/>
      <w:start w:val="1"/>
    </w:lvl>
  </w:abstractNum>
  <w:abstractNum w:abstractNumId="73">
    <w:nsid w:val="71C91298"/>
    <w:multiLevelType w:val="hybridMultilevel"/>
    <w:lvl w:ilvl="0">
      <w:lvlJc w:val="left"/>
      <w:lvlText w:val="%1."/>
      <w:numFmt w:val="decimal"/>
      <w:start w:val="2"/>
    </w:lvl>
  </w:abstractNum>
  <w:abstractNum w:abstractNumId="74">
    <w:nsid w:val="9DAF632"/>
    <w:multiLevelType w:val="hybridMultilevel"/>
    <w:lvl w:ilvl="0">
      <w:lvlJc w:val="left"/>
      <w:lvlText w:val="%1."/>
      <w:numFmt w:val="decimal"/>
      <w:start w:val="2"/>
    </w:lvl>
    <w:lvl w:ilvl="1">
      <w:lvlJc w:val="left"/>
      <w:lvlText w:val="●"/>
      <w:numFmt w:val="bullet"/>
      <w:start w:val="1"/>
    </w:lvl>
  </w:abstractNum>
  <w:abstractNum w:abstractNumId="75">
    <w:nsid w:val="53299938"/>
    <w:multiLevelType w:val="hybridMultilevel"/>
    <w:lvl w:ilvl="0">
      <w:lvlJc w:val="left"/>
      <w:lvlText w:val="(%1)"/>
      <w:numFmt w:val="lowerRoman"/>
      <w:start w:val="3"/>
    </w:lvl>
  </w:abstractNum>
  <w:abstractNum w:abstractNumId="76">
    <w:nsid w:val="1FBFE8E0"/>
    <w:multiLevelType w:val="hybridMultilevel"/>
    <w:lvl w:ilvl="0">
      <w:lvlJc w:val="left"/>
      <w:lvlText w:val="%1."/>
      <w:numFmt w:val="decimal"/>
      <w:start w:val="2"/>
    </w:lvl>
  </w:abstractNum>
  <w:abstractNum w:abstractNumId="77">
    <w:nsid w:val="5092CA79"/>
    <w:multiLevelType w:val="hybridMultilevel"/>
    <w:lvl w:ilvl="0">
      <w:lvlJc w:val="left"/>
      <w:lvlText w:val="%1."/>
      <w:numFmt w:val="decimal"/>
      <w:start w:val="2"/>
    </w:lvl>
    <w:lvl w:ilvl="1">
      <w:lvlJc w:val="left"/>
      <w:lvlText w:val="●"/>
      <w:numFmt w:val="bullet"/>
      <w:start w:val="1"/>
    </w:lvl>
  </w:abstractNum>
  <w:abstractNum w:abstractNumId="78">
    <w:nsid w:val="1D545C4D"/>
    <w:multiLevelType w:val="hybridMultilevel"/>
    <w:lvl w:ilvl="0">
      <w:lvlJc w:val="left"/>
      <w:lvlText w:val="%1."/>
      <w:numFmt w:val="decimal"/>
      <w:start w:val="2"/>
    </w:lvl>
    <w:lvl w:ilvl="1">
      <w:lvlJc w:val="left"/>
      <w:lvlText w:val="(%2)"/>
      <w:numFmt w:val="decimal"/>
      <w:start w:val="2"/>
    </w:lvl>
  </w:abstractNum>
  <w:abstractNum w:abstractNumId="79">
    <w:nsid w:val="59ADEA3D"/>
    <w:multiLevelType w:val="hybridMultilevel"/>
    <w:lvl w:ilvl="0">
      <w:lvlJc w:val="left"/>
      <w:lvlText w:val="%1"/>
      <w:numFmt w:val="decimal"/>
      <w:start w:val="1"/>
    </w:lvl>
    <w:lvl w:ilvl="1">
      <w:lvlJc w:val="left"/>
      <w:lvlText w:val="(%2)"/>
      <w:numFmt w:val="decimal"/>
      <w:start w:val="3"/>
    </w:lvl>
  </w:abstractNum>
  <w:abstractNum w:abstractNumId="80">
    <w:nsid w:val="288F1A34"/>
    <w:multiLevelType w:val="hybridMultilevel"/>
    <w:lvl w:ilvl="0">
      <w:lvlJc w:val="left"/>
      <w:lvlText w:val="%1."/>
      <w:numFmt w:val="decimal"/>
      <w:start w:val="3"/>
    </w:lvl>
    <w:lvl w:ilvl="1">
      <w:lvlJc w:val="left"/>
      <w:lvlText w:val="●"/>
      <w:numFmt w:val="bullet"/>
      <w:start w:val="1"/>
    </w:lvl>
  </w:abstractNum>
  <w:abstractNum w:abstractNumId="81">
    <w:nsid w:val="2A155DBC"/>
    <w:multiLevelType w:val="hybridMultilevel"/>
    <w:lvl w:ilvl="0">
      <w:lvlJc w:val="left"/>
      <w:lvlText w:val="%1."/>
      <w:numFmt w:val="decimal"/>
      <w:start w:val="3"/>
    </w:lvl>
    <w:lvl w:ilvl="1">
      <w:lvlJc w:val="left"/>
      <w:lvlText w:val="●"/>
      <w:numFmt w:val="bullet"/>
      <w:start w:val="1"/>
    </w:lvl>
  </w:abstractNum>
  <w:abstractNum w:abstractNumId="82">
    <w:nsid w:val="1D9F6E5F"/>
    <w:multiLevelType w:val="hybridMultilevel"/>
    <w:lvl w:ilvl="0">
      <w:lvlJc w:val="left"/>
      <w:lvlText w:val="%1."/>
      <w:numFmt w:val="decimal"/>
      <w:start w:val="3"/>
    </w:lvl>
  </w:abstractNum>
  <w:abstractNum w:abstractNumId="83">
    <w:nsid w:val="97E1B4E"/>
    <w:multiLevelType w:val="hybridMultilevel"/>
    <w:lvl w:ilvl="0">
      <w:lvlJc w:val="left"/>
      <w:lvlText w:val="%1."/>
      <w:numFmt w:val="decimal"/>
      <w:start w:val="4"/>
    </w:lvl>
  </w:abstractNum>
  <w:abstractNum w:abstractNumId="84">
    <w:nsid w:val="51088277"/>
    <w:multiLevelType w:val="hybridMultilevel"/>
    <w:lvl w:ilvl="0">
      <w:lvlJc w:val="left"/>
      <w:lvlText w:val="%1."/>
      <w:numFmt w:val="decimal"/>
      <w:start w:val="5"/>
    </w:lvl>
  </w:abstractNum>
  <w:abstractNum w:abstractNumId="85">
    <w:nsid w:val="1CA0C5FA"/>
    <w:multiLevelType w:val="hybridMultilevel"/>
    <w:lvl w:ilvl="0">
      <w:lvlJc w:val="left"/>
      <w:lvlText w:val="%1."/>
      <w:numFmt w:val="decimal"/>
      <w:start w:val="6"/>
    </w:lvl>
  </w:abstractNum>
  <w:abstractNum w:abstractNumId="86">
    <w:nsid w:val="53584BCB"/>
    <w:multiLevelType w:val="hybridMultilevel"/>
    <w:lvl w:ilvl="0">
      <w:lvlJc w:val="left"/>
      <w:lvlText w:val="%1."/>
      <w:numFmt w:val="decimal"/>
      <w:start w:val="6"/>
    </w:lvl>
  </w:abstractNum>
  <w:abstractNum w:abstractNumId="87">
    <w:nsid w:val="415E286C"/>
    <w:multiLevelType w:val="hybridMultilevel"/>
    <w:lvl w:ilvl="0">
      <w:lvlJc w:val="left"/>
      <w:lvlText w:val="%1."/>
      <w:numFmt w:val="decimal"/>
      <w:start w:val="7"/>
    </w:lvl>
    <w:lvl w:ilvl="1">
      <w:lvlJc w:val="left"/>
      <w:lvlText w:val="\emdash "/>
      <w:numFmt w:val="bullet"/>
      <w:start w:val="1"/>
    </w:lvl>
  </w:abstractNum>
  <w:abstractNum w:abstractNumId="88">
    <w:nsid w:val="7C58FD05"/>
    <w:multiLevelType w:val="hybridMultilevel"/>
    <w:lvl w:ilvl="0">
      <w:lvlJc w:val="left"/>
      <w:lvlText w:val="%1."/>
      <w:numFmt w:val="decimal"/>
      <w:start w:val="8"/>
    </w:lvl>
  </w:abstractNum>
  <w:abstractNum w:abstractNumId="89">
    <w:nsid w:val="23D86AAC"/>
    <w:multiLevelType w:val="hybridMultilevel"/>
    <w:lvl w:ilvl="0">
      <w:lvlJc w:val="left"/>
      <w:lvlText w:val="%1."/>
      <w:numFmt w:val="decimal"/>
      <w:start w:val="8"/>
    </w:lvl>
  </w:abstractNum>
  <w:abstractNum w:abstractNumId="90">
    <w:nsid w:val="45E6D486"/>
    <w:multiLevelType w:val="hybridMultilevel"/>
    <w:lvl w:ilvl="0">
      <w:lvlJc w:val="left"/>
      <w:lvlText w:val="%1."/>
      <w:numFmt w:val="decimal"/>
      <w:start w:val="8"/>
    </w:lvl>
  </w:abstractNum>
  <w:abstractNum w:abstractNumId="91">
    <w:nsid w:val="5C10FE21"/>
    <w:multiLevelType w:val="hybridMultilevel"/>
    <w:lvl w:ilvl="0">
      <w:lvlJc w:val="left"/>
      <w:lvlText w:val="%1."/>
      <w:numFmt w:val="decimal"/>
      <w:start w:val="9"/>
    </w:lvl>
  </w:abstractNum>
  <w:abstractNum w:abstractNumId="92">
    <w:nsid w:val="E7FFA2B"/>
    <w:multiLevelType w:val="hybridMultilevel"/>
    <w:lvl w:ilvl="0">
      <w:lvlJc w:val="left"/>
      <w:lvlText w:val="%1."/>
      <w:numFmt w:val="decimal"/>
      <w:start w:val="9"/>
    </w:lvl>
  </w:abstractNum>
  <w:abstractNum w:abstractNumId="93">
    <w:nsid w:val="3C5991AA"/>
    <w:multiLevelType w:val="hybridMultilevel"/>
    <w:lvl w:ilvl="0">
      <w:lvlJc w:val="left"/>
      <w:lvlText w:val="%1."/>
      <w:numFmt w:val="decimal"/>
      <w:start w:val="9"/>
    </w:lvl>
  </w:abstractNum>
  <w:abstractNum w:abstractNumId="94">
    <w:nsid w:val="4BD8591A"/>
    <w:multiLevelType w:val="hybridMultilevel"/>
    <w:lvl w:ilvl="0">
      <w:lvlJc w:val="left"/>
      <w:lvlText w:val="%1."/>
      <w:numFmt w:val="decimal"/>
      <w:start w:val="9"/>
    </w:lvl>
  </w:abstractNum>
  <w:abstractNum w:abstractNumId="95">
    <w:nsid w:val="78DF6A55"/>
    <w:multiLevelType w:val="hybridMultilevel"/>
    <w:lvl w:ilvl="0">
      <w:lvlJc w:val="left"/>
      <w:lvlText w:val="%1."/>
      <w:numFmt w:val="decimal"/>
      <w:start w:val="10"/>
    </w:lvl>
  </w:abstractNum>
  <w:abstractNum w:abstractNumId="96">
    <w:nsid w:val="39B7AAA2"/>
    <w:multiLevelType w:val="hybridMultilevel"/>
    <w:lvl w:ilvl="0">
      <w:lvlJc w:val="left"/>
      <w:lvlText w:val="%1."/>
      <w:numFmt w:val="decimal"/>
      <w:start w:val="10"/>
    </w:lvl>
  </w:abstractNum>
  <w:abstractNum w:abstractNumId="97">
    <w:nsid w:val="2B0D8DBE"/>
    <w:multiLevelType w:val="hybridMultilevel"/>
    <w:lvl w:ilvl="0">
      <w:lvlJc w:val="left"/>
      <w:lvlText w:val="%1."/>
      <w:numFmt w:val="decimal"/>
      <w:start w:val="10"/>
    </w:lvl>
  </w:abstractNum>
  <w:abstractNum w:abstractNumId="98">
    <w:nsid w:val="6C80EC70"/>
    <w:multiLevelType w:val="hybridMultilevel"/>
    <w:lvl w:ilvl="0">
      <w:lvlJc w:val="left"/>
      <w:lvlText w:val="%1."/>
      <w:numFmt w:val="decimal"/>
      <w:start w:val="10"/>
    </w:lvl>
  </w:abstractNum>
  <w:abstractNum w:abstractNumId="99">
    <w:nsid w:val="379E21B5"/>
    <w:multiLevelType w:val="hybridMultilevel"/>
    <w:lvl w:ilvl="0">
      <w:lvlJc w:val="left"/>
      <w:lvlText w:val="%1."/>
      <w:numFmt w:val="decimal"/>
      <w:start w:val="10"/>
    </w:lvl>
  </w:abstractNum>
  <w:abstractNum w:abstractNumId="100">
    <w:nsid w:val="69E373"/>
    <w:multiLevelType w:val="hybridMultilevel"/>
    <w:lvl w:ilvl="0">
      <w:lvlJc w:val="left"/>
      <w:lvlText w:val="%1."/>
      <w:numFmt w:val="decimal"/>
      <w:start w:val="12"/>
    </w:lvl>
  </w:abstractNum>
  <w:abstractNum w:abstractNumId="101">
    <w:nsid w:val="2C27173B"/>
    <w:multiLevelType w:val="hybridMultilevel"/>
    <w:lvl w:ilvl="0">
      <w:lvlJc w:val="left"/>
      <w:lvlText w:val="%1."/>
      <w:numFmt w:val="decimal"/>
      <w:start w:val="12"/>
    </w:lvl>
  </w:abstractNum>
  <w:abstractNum w:abstractNumId="102">
    <w:nsid w:val="4C9B0904"/>
    <w:multiLevelType w:val="hybridMultilevel"/>
    <w:lvl w:ilvl="0">
      <w:lvlJc w:val="left"/>
      <w:lvlText w:val="%1."/>
      <w:numFmt w:val="decimal"/>
      <w:start w:val="12"/>
    </w:lvl>
  </w:abstractNum>
  <w:abstractNum w:abstractNumId="103">
    <w:nsid w:val="6AA7B75C"/>
    <w:multiLevelType w:val="hybridMultilevel"/>
    <w:lvl w:ilvl="0">
      <w:lvlJc w:val="left"/>
      <w:lvlText w:val="%1."/>
      <w:numFmt w:val="decimal"/>
      <w:start w:val="14"/>
    </w:lvl>
  </w:abstractNum>
  <w:abstractNum w:abstractNumId="104">
    <w:nsid w:val="1DF029D3"/>
    <w:multiLevelType w:val="hybridMultilevel"/>
    <w:lvl w:ilvl="0">
      <w:lvlJc w:val="left"/>
      <w:lvlText w:val="%1."/>
      <w:numFmt w:val="decimal"/>
      <w:start w:val="16"/>
    </w:lvl>
  </w:abstractNum>
  <w:abstractNum w:abstractNumId="105">
    <w:nsid w:val="5675FF36"/>
    <w:multiLevelType w:val="hybridMultilevel"/>
    <w:lvl w:ilvl="0">
      <w:lvlJc w:val="left"/>
      <w:lvlText w:val="%1."/>
      <w:numFmt w:val="decimal"/>
      <w:start w:val="16"/>
    </w:lvl>
  </w:abstractNum>
  <w:abstractNum w:abstractNumId="106">
    <w:nsid w:val="3DD15094"/>
    <w:multiLevelType w:val="hybridMultilevel"/>
    <w:lvl w:ilvl="0">
      <w:lvlJc w:val="left"/>
      <w:lvlText w:val="%1."/>
      <w:numFmt w:val="decimal"/>
      <w:start w:val="16"/>
    </w:lvl>
  </w:abstractNum>
  <w:abstractNum w:abstractNumId="107">
    <w:nsid w:val="3DB012B3"/>
    <w:multiLevelType w:val="hybridMultilevel"/>
    <w:lvl w:ilvl="0">
      <w:lvlJc w:val="left"/>
      <w:lvlText w:val="%1."/>
      <w:numFmt w:val="decimal"/>
      <w:start w:val="18"/>
    </w:lvl>
  </w:abstractNum>
  <w:abstractNum w:abstractNumId="108">
    <w:nsid w:val="2708C9AF"/>
    <w:multiLevelType w:val="hybridMultilevel"/>
    <w:lvl w:ilvl="0">
      <w:lvlJc w:val="left"/>
      <w:lvlText w:val="●"/>
      <w:numFmt w:val="bullet"/>
      <w:start w:val="1"/>
    </w:lvl>
  </w:abstractNum>
  <w:abstractNum w:abstractNumId="109">
    <w:nsid w:val="5B25ACE2"/>
    <w:multiLevelType w:val="hybridMultilevel"/>
    <w:lvl w:ilvl="0">
      <w:lvlJc w:val="left"/>
      <w:lvlText w:val="$"/>
      <w:numFmt w:val="bullet"/>
      <w:start w:val="1"/>
    </w:lvl>
  </w:abstractNum>
  <w:abstractNum w:abstractNumId="110">
    <w:nsid w:val="175DFCF0"/>
    <w:multiLevelType w:val="hybridMultilevel"/>
    <w:lvl w:ilvl="0">
      <w:lvlJc w:val="left"/>
      <w:lvlText w:val="●"/>
      <w:numFmt w:val="bullet"/>
      <w:start w:val="1"/>
    </w:lvl>
  </w:abstractNum>
  <w:abstractNum w:abstractNumId="111">
    <w:nsid w:val="4F97E3E4"/>
    <w:multiLevelType w:val="hybridMultilevel"/>
    <w:lvl w:ilvl="0">
      <w:lvlJc w:val="left"/>
      <w:lvlText w:val="%1."/>
      <w:numFmt w:val="decimal"/>
      <w:start w:val="1"/>
    </w:lvl>
  </w:abstractNum>
  <w:abstractNum w:abstractNumId="112">
    <w:nsid w:val="53B0A9E"/>
    <w:multiLevelType w:val="hybridMultilevel"/>
    <w:lvl w:ilvl="0">
      <w:lvlJc w:val="left"/>
      <w:lvlText w:val="%1."/>
      <w:numFmt w:val="decimal"/>
      <w:start w:val="2"/>
    </w:lvl>
  </w:abstractNum>
  <w:abstractNum w:abstractNumId="113">
    <w:nsid w:val="34FD6B4F"/>
    <w:multiLevelType w:val="hybridMultilevel"/>
    <w:lvl w:ilvl="0">
      <w:lvlJc w:val="left"/>
      <w:lvlText w:val="(%1)"/>
      <w:numFmt w:val="lowerRoman"/>
      <w:start w:val="1"/>
    </w:lvl>
  </w:abstractNum>
  <w:abstractNum w:abstractNumId="114">
    <w:nsid w:val="5915FF32"/>
    <w:multiLevelType w:val="hybridMultilevel"/>
    <w:lvl w:ilvl="0">
      <w:lvlJc w:val="left"/>
      <w:lvlText w:val="●"/>
      <w:numFmt w:val="bullet"/>
      <w:start w:val="1"/>
    </w:lvl>
  </w:abstractNum>
  <w:abstractNum w:abstractNumId="115">
    <w:nsid w:val="56438D15"/>
    <w:multiLevelType w:val="hybridMultilevel"/>
    <w:lvl w:ilvl="0">
      <w:lvlJc w:val="left"/>
      <w:lvlText w:val="(%1)"/>
      <w:numFmt w:val="decimal"/>
      <w:start w:val="3"/>
    </w:lvl>
  </w:abstractNum>
  <w:abstractNum w:abstractNumId="116">
    <w:nsid w:val="519E3149"/>
    <w:multiLevelType w:val="hybridMultilevel"/>
    <w:lvl w:ilvl="0">
      <w:lvlJc w:val="left"/>
      <w:lvlText w:val="%1."/>
      <w:numFmt w:val="decimal"/>
      <w:start w:val="3"/>
    </w:lvl>
  </w:abstractNum>
  <w:abstractNum w:abstractNumId="117">
    <w:nsid w:val="2C6E4AFD"/>
    <w:multiLevelType w:val="hybridMultilevel"/>
    <w:lvl w:ilvl="0">
      <w:lvlJc w:val="left"/>
      <w:lvlText w:val="●"/>
      <w:numFmt w:val="bullet"/>
      <w:start w:val="1"/>
    </w:lvl>
  </w:abstractNum>
  <w:abstractNum w:abstractNumId="118">
    <w:nsid w:val="17A1B582"/>
    <w:multiLevelType w:val="hybridMultilevel"/>
    <w:lvl w:ilvl="0">
      <w:lvlJc w:val="left"/>
      <w:lvlText w:val="%1."/>
      <w:numFmt w:val="decimal"/>
      <w:start w:val="3"/>
    </w:lvl>
    <w:lvl w:ilvl="1">
      <w:lvlJc w:val="left"/>
      <w:lvlText w:val="●"/>
      <w:numFmt w:val="bullet"/>
      <w:start w:val="1"/>
    </w:lvl>
  </w:abstractNum>
  <w:abstractNum w:abstractNumId="119">
    <w:nsid w:val="4DF72E4E"/>
    <w:multiLevelType w:val="hybridMultilevel"/>
    <w:lvl w:ilvl="0">
      <w:lvlJc w:val="left"/>
      <w:lvlText w:val="%1."/>
      <w:numFmt w:val="decimal"/>
      <w:start w:val="6"/>
    </w:lvl>
  </w:abstractNum>
  <w:abstractNum w:abstractNumId="120">
    <w:nsid w:val="5046B5A9"/>
    <w:multiLevelType w:val="hybridMultilevel"/>
    <w:lvl w:ilvl="0">
      <w:lvlJc w:val="left"/>
      <w:lvlText w:val="\emdash "/>
      <w:numFmt w:val="bullet"/>
      <w:start w:val="1"/>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1."/>
      <w:numFmt w:val="decimal"/>
      <w:start w:val="10"/>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
      <w:numFmt w:val="bullet"/>
      <w:start w:val="1"/>
    </w:lvl>
  </w:abstractNum>
  <w:abstractNum w:abstractNumId="127">
    <w:nsid w:val="5399C654"/>
    <w:multiLevelType w:val="hybridMultilevel"/>
    <w:lvl w:ilvl="0">
      <w:lvlJc w:val="left"/>
      <w:lvlText w:val="%1"/>
      <w:numFmt w:val="decimal"/>
      <w:start w:val="104"/>
    </w:lvl>
  </w:abstractNum>
  <w:abstractNum w:abstractNumId="128">
    <w:nsid w:val="20EE1348"/>
    <w:multiLevelType w:val="hybridMultilevel"/>
    <w:lvl w:ilvl="0">
      <w:lvlJc w:val="left"/>
      <w:lvlText w:val="*"/>
      <w:numFmt w:val="bullet"/>
      <w:start w:val="1"/>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
      <w:numFmt w:val="bullet"/>
      <w:start w:val="1"/>
    </w:lvl>
  </w:abstractNum>
  <w:abstractNum w:abstractNumId="131">
    <w:nsid w:val="2157F6B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Roman"/>
      <w:start w:val="2"/>
    </w:lvl>
  </w:abstractNum>
  <w:abstractNum w:abstractNumId="133">
    <w:nsid w:val="57D2F10E"/>
    <w:multiLevelType w:val="hybridMultilevel"/>
    <w:lvl w:ilvl="0">
      <w:lvlJc w:val="left"/>
      <w:lvlText w:val="%1."/>
      <w:numFmt w:val="decimal"/>
      <w:start w:val="5"/>
    </w:lvl>
    <w:lvl w:ilvl="1">
      <w:lvlJc w:val="left"/>
      <w:lvlText w:val="(%2)"/>
      <w:numFmt w:val="lowerRoman"/>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309"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jpe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jpeg"/><Relationship Id="rId322" Type="http://schemas.openxmlformats.org/officeDocument/2006/relationships/image" Target="media/image293.jpeg"/><Relationship Id="rId288" Type="http://schemas.openxmlformats.org/officeDocument/2006/relationships/hyperlink" Target="http://www.sec.gov/Archives/edgar/data/1840856/000121390021059752/ea150505ex2-1_archimedes.htm" TargetMode="External"/><Relationship Id="rId289" Type="http://schemas.openxmlformats.org/officeDocument/2006/relationships/hyperlink" Target="http://www.sec.gov/Archives/edgar/data/1840856/000121390022023274/ea159193ex3-1_soundhound.htm" TargetMode="External"/><Relationship Id="rId290" Type="http://schemas.openxmlformats.org/officeDocument/2006/relationships/hyperlink" Target="http://www.sec.gov/Archives/edgar/data/1840856/000121390022023274/ea159193ex3-2_soundhound.htm" TargetMode="External"/><Relationship Id="rId291" Type="http://schemas.openxmlformats.org/officeDocument/2006/relationships/hyperlink" Target="http://www.sec.gov/Archives/edgar/data/1840856/000121390022023274/ea159193ex4-1_soundhound.htm" TargetMode="External"/><Relationship Id="rId292" Type="http://schemas.openxmlformats.org/officeDocument/2006/relationships/hyperlink" Target="http://www.sec.gov/Archives/edgar/data/1840856/000121390022026797/fs12022ex4-2_soundhound.htm" TargetMode="External"/><Relationship Id="rId293" Type="http://schemas.openxmlformats.org/officeDocument/2006/relationships/hyperlink" Target="http://www.sec.gov/Archives/edgar/data/1840856/000121390022026797/fs12022ex4-3_soundhound.htm" TargetMode="External"/><Relationship Id="rId294" Type="http://schemas.openxmlformats.org/officeDocument/2006/relationships/hyperlink" Target="http://www.sec.gov/Archives/edgar/data/1840856/000121390021059752/ea150505ex10-3_archimedes.htm" TargetMode="External"/><Relationship Id="rId295" Type="http://schemas.openxmlformats.org/officeDocument/2006/relationships/hyperlink" Target="http://www.sec.gov/Archives/edgar/data/1840856/000121390021059752/ea150505ex10-4_archimedes.htm" TargetMode="External"/><Relationship Id="rId296" Type="http://schemas.openxmlformats.org/officeDocument/2006/relationships/hyperlink" Target="http://www.sec.gov/Archives/edgar/data/1840856/000121390022026797/fs12022ex10-3_soundhound.htm" TargetMode="External"/><Relationship Id="rId297" Type="http://schemas.openxmlformats.org/officeDocument/2006/relationships/hyperlink" Target="http://www.sec.gov/Archives/edgar/data/1840856/000121390022018967/f424b30422_archimedes.htm#T601" TargetMode="External"/><Relationship Id="rId298" Type="http://schemas.openxmlformats.org/officeDocument/2006/relationships/hyperlink" Target="http://www.sec.gov/Archives/edgar/data/1840856/000121390022018967/f424b30422_archimedes.htm#T602" TargetMode="External"/><Relationship Id="rId299" Type="http://schemas.openxmlformats.org/officeDocument/2006/relationships/hyperlink" Target="http://www.sec.gov/Archives/edgar/data/1840856/000121390022023274/ea159193ex10-8_soundhound.htm" TargetMode="External"/><Relationship Id="rId300" Type="http://schemas.openxmlformats.org/officeDocument/2006/relationships/hyperlink" Target="http://www.sec.gov/Archives/edgar/data/1840856/000121390022023274/ea159193ex10-9_soundhound.htm" TargetMode="External"/><Relationship Id="rId301" Type="http://schemas.openxmlformats.org/officeDocument/2006/relationships/hyperlink" Target="http://www.sec.gov/Archives/edgar/data/1840856/000121390022023274/ea159193ex10-10_soundhound.htm" TargetMode="External"/><Relationship Id="rId302" Type="http://schemas.openxmlformats.org/officeDocument/2006/relationships/hyperlink" Target="http://www.sec.gov/Archives/edgar/data/1840856/000121390022031794/ea161309ex10-1_soundhound.htm" TargetMode="External"/><Relationship Id="rId303" Type="http://schemas.openxmlformats.org/officeDocument/2006/relationships/hyperlink" Target="http://www.sec.gov/Archives/edgar/data/1840856/000121390022031794/ea161309ex10-2_soundhound.htm" TargetMode="External"/><Relationship Id="rId304" Type="http://schemas.openxmlformats.org/officeDocument/2006/relationships/hyperlink" Target="http://www.sec.gov/Archives/edgar/data/1840856/000121390022031794/ea161309ex10-3_soundhound.htm" TargetMode="External"/><Relationship Id="rId305" Type="http://schemas.openxmlformats.org/officeDocument/2006/relationships/hyperlink" Target="http://www.sec.gov/Archives/edgar/data/1840856/000121390022031794/ea161309ex10-4_soundhound.htm" TargetMode="External"/><Relationship Id="rId306" Type="http://schemas.openxmlformats.org/officeDocument/2006/relationships/hyperlink" Target="http://www.sec.gov/Archives/edgar/data/1840856/000121390022023274/ea159193ex21-1_soundhound.htm" TargetMode="External"/><Relationship Id="rId307" Type="http://schemas.openxmlformats.org/officeDocument/2006/relationships/hyperlink" Target="http://www.sec.gov/Archives/edgar/data/1840856/000121390022023274/ea159193ex99-1_soundhound.htm" TargetMode="External"/><Relationship Id="rId308" Type="http://schemas.openxmlformats.org/officeDocument/2006/relationships/hyperlink" Target="http://www.sec.gov/Archives/edgar/data/1840856/000121390022023274/ea159193ex99-2_soundhound.htm" TargetMode="External"/><Relationship Id="rId310" Type="http://schemas.openxmlformats.org/officeDocument/2006/relationships/hyperlink" Target="http://www.sec.gov/Archives/edgar/data/1840856/000121390022026797/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2022-07-13T16:11:56Z</dcterms:created>
  <dcterms:modified xsi:type="dcterms:W3CDTF">2022-07-13T16:11:56Z</dcterms:modified>
</cp:coreProperties>
</file>