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MOHAJER KEYVAN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SOUNDHOUND AI,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5400 BETSY ROSS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SOUNDHOUND AI,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SOUN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4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08/11/2025</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405"/>
        <w:spacing w:after="0"/>
        <w:rPr>
          <w:sz w:val="20"/>
          <w:szCs w:val="20"/>
          <w:color w:val="auto"/>
        </w:rPr>
      </w:pPr>
      <w:r>
        <w:rPr>
          <w:rFonts w:ascii="Times New Roman" w:cs="Times New Roman" w:eastAsia="Times New Roman" w:hAnsi="Times New Roman"/>
          <w:sz w:val="17"/>
          <w:szCs w:val="17"/>
          <w:color w:val="0000FF"/>
        </w:rPr>
        <w:t>CEO</w:t>
      </w:r>
    </w:p>
    <w:p>
      <w:pPr>
        <w:spacing w:after="0" w:line="46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47"/>
        </w:trPr>
        <w:tc>
          <w:tcPr>
            <w:tcW w:w="40" w:type="dxa"/>
            <w:vAlign w:val="bottom"/>
          </w:tcPr>
          <w:p>
            <w:pPr>
              <w:spacing w:after="0"/>
              <w:rPr>
                <w:sz w:val="4"/>
                <w:szCs w:val="4"/>
                <w:color w:val="auto"/>
              </w:rPr>
            </w:pPr>
          </w:p>
        </w:tc>
        <w:tc>
          <w:tcPr>
            <w:tcW w:w="364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3680" w:type="dxa"/>
            <w:vAlign w:val="bottom"/>
            <w:tcBorders>
              <w:top w:val="single" w:sz="8" w:color="2C2C2C"/>
              <w:bottom w:val="single" w:sz="8" w:color="2C2C2C"/>
            </w:tcBorders>
            <w:vMerge w:val="restart"/>
          </w:tcPr>
          <w:p>
            <w:pPr>
              <w:ind w:left="80"/>
              <w:spacing w:after="0"/>
              <w:rPr>
                <w:sz w:val="20"/>
                <w:szCs w:val="20"/>
                <w:color w:val="auto"/>
              </w:rPr>
            </w:pPr>
            <w:r>
              <w:rPr>
                <w:rFonts w:ascii="Arial" w:cs="Arial" w:eastAsia="Arial" w:hAnsi="Arial"/>
                <w:sz w:val="13"/>
                <w:szCs w:val="13"/>
                <w:color w:val="auto"/>
              </w:rPr>
              <w:t>4. If Amendment, Date of Original Filed (Month/Day/Year)</w:t>
            </w:r>
          </w:p>
        </w:tc>
        <w:tc>
          <w:tcPr>
            <w:tcW w:w="3440" w:type="dxa"/>
            <w:vAlign w:val="bottom"/>
            <w:tcBorders>
              <w:top w:val="single" w:sz="8" w:color="2C2C2C"/>
              <w:bottom w:val="single" w:sz="8" w:color="2C2C2C"/>
            </w:tcBorders>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4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80" w:type="dxa"/>
            <w:vAlign w:val="bottom"/>
            <w:vMerge w:val="continue"/>
          </w:tcPr>
          <w:p>
            <w:pPr>
              <w:spacing w:after="0" w:line="20" w:lineRule="exact"/>
              <w:rPr>
                <w:sz w:val="1"/>
                <w:szCs w:val="1"/>
                <w:color w:val="auto"/>
              </w:rPr>
            </w:pPr>
          </w:p>
        </w:tc>
        <w:tc>
          <w:tcPr>
            <w:tcW w:w="344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368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80" w:type="dxa"/>
            <w:vAlign w:val="bottom"/>
          </w:tcPr>
          <w:p>
            <w:pPr>
              <w:spacing w:after="0"/>
              <w:rPr>
                <w:sz w:val="11"/>
                <w:szCs w:val="11"/>
                <w:color w:val="auto"/>
              </w:rPr>
            </w:pPr>
          </w:p>
        </w:tc>
        <w:tc>
          <w:tcPr>
            <w:tcW w:w="3680" w:type="dxa"/>
            <w:vAlign w:val="bottom"/>
            <w:vMerge w:val="continue"/>
          </w:tcPr>
          <w:p>
            <w:pPr>
              <w:spacing w:after="0"/>
              <w:rPr>
                <w:sz w:val="11"/>
                <w:szCs w:val="11"/>
                <w:color w:val="auto"/>
              </w:rPr>
            </w:pPr>
          </w:p>
        </w:tc>
        <w:tc>
          <w:tcPr>
            <w:tcW w:w="3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368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440" w:type="dxa"/>
            <w:vAlign w:val="bottom"/>
            <w:vMerge w:val="restart"/>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30"/>
        </w:trPr>
        <w:tc>
          <w:tcPr>
            <w:tcW w:w="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80" w:type="dxa"/>
            <w:vAlign w:val="bottom"/>
          </w:tcPr>
          <w:p>
            <w:pPr>
              <w:spacing w:after="0"/>
              <w:rPr>
                <w:sz w:val="2"/>
                <w:szCs w:val="2"/>
                <w:color w:val="auto"/>
              </w:rPr>
            </w:pPr>
          </w:p>
        </w:tc>
        <w:tc>
          <w:tcPr>
            <w:tcW w:w="3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4"/>
          <w:szCs w:val="24"/>
          <w:color w:val="auto"/>
        </w:rPr>
      </w:pPr>
    </w:p>
    <w:tbl>
      <w:tblPr>
        <w:tblLayout w:type="fixed"/>
        <w:tblInd w:w="120" w:type="dxa"/>
        <w:tblCellMar>
          <w:top w:w="0" w:type="dxa"/>
          <w:left w:w="0" w:type="dxa"/>
          <w:bottom w:w="0" w:type="dxa"/>
          <w:right w:w="0" w:type="dxa"/>
        </w:tblCellMar>
      </w:tblPr>
      <w:tr>
        <w:trPr>
          <w:trHeight w:val="193"/>
        </w:trPr>
        <w:tc>
          <w:tcPr>
            <w:tcW w:w="90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SANTA</w:t>
            </w:r>
          </w:p>
        </w:tc>
        <w:tc>
          <w:tcPr>
            <w:tcW w:w="11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95054</w:t>
            </w:r>
          </w:p>
        </w:tc>
        <w:tc>
          <w:tcPr>
            <w:tcW w:w="6820" w:type="dxa"/>
            <w:vAlign w:val="bottom"/>
            <w:vMerge w:val="restart"/>
          </w:tcPr>
          <w:p>
            <w:pPr>
              <w:ind w:left="45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95"/>
        </w:trPr>
        <w:tc>
          <w:tcPr>
            <w:tcW w:w="9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1140" w:type="dxa"/>
            <w:vAlign w:val="bottom"/>
            <w:vMerge w:val="continue"/>
          </w:tcPr>
          <w:p>
            <w:pPr>
              <w:spacing w:after="0"/>
              <w:rPr>
                <w:sz w:val="8"/>
                <w:szCs w:val="8"/>
                <w:color w:val="auto"/>
              </w:rPr>
            </w:pPr>
          </w:p>
        </w:tc>
        <w:tc>
          <w:tcPr>
            <w:tcW w:w="1600" w:type="dxa"/>
            <w:vAlign w:val="bottom"/>
            <w:vMerge w:val="continue"/>
          </w:tcPr>
          <w:p>
            <w:pPr>
              <w:spacing w:after="0"/>
              <w:rPr>
                <w:sz w:val="8"/>
                <w:szCs w:val="8"/>
                <w:color w:val="auto"/>
              </w:rPr>
            </w:pPr>
          </w:p>
        </w:tc>
        <w:tc>
          <w:tcPr>
            <w:tcW w:w="6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90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820" w:type="dxa"/>
            <w:vAlign w:val="bottom"/>
          </w:tcPr>
          <w:p>
            <w:pPr>
              <w:ind w:left="4500"/>
              <w:spacing w:after="0" w:line="14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9"/>
        </w:trPr>
        <w:tc>
          <w:tcPr>
            <w:tcW w:w="90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c>
          <w:tcPr>
            <w:tcW w:w="6820" w:type="dxa"/>
            <w:vAlign w:val="bottom"/>
          </w:tcPr>
          <w:p>
            <w:pPr>
              <w:ind w:left="4500"/>
              <w:spacing w:after="0" w:line="113" w:lineRule="exact"/>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309"/>
        </w:trPr>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6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ind w:left="580"/>
              <w:spacing w:after="0"/>
              <w:rPr>
                <w:sz w:val="20"/>
                <w:szCs w:val="20"/>
                <w:color w:val="auto"/>
              </w:rPr>
            </w:pPr>
            <w:r>
              <w:rPr>
                <w:rFonts w:ascii="Times New Roman" w:cs="Times New Roman" w:eastAsia="Times New Roman" w:hAnsi="Times New Roman"/>
                <w:sz w:val="17"/>
                <w:szCs w:val="17"/>
                <w:color w:val="0000FF"/>
              </w:rPr>
              <w:t>08/11/2025</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850,000</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2,599,790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20" w:type="dxa"/>
            <w:vAlign w:val="bottom"/>
            <w:gridSpan w:val="4"/>
          </w:tcPr>
          <w:p>
            <w:pPr>
              <w:ind w:left="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underlying certain restricted stock units which were issued on August 11, 2025. The grant of such restricted stock units was originally approved by the SoundHound AI, Inc. Board of Directors on July 31, 2025, subject to certain conditions.</w:t>
      </w:r>
    </w:p>
    <w:p>
      <w:pPr>
        <w:spacing w:after="0" w:line="7" w:lineRule="exact"/>
        <w:rPr>
          <w:rFonts w:ascii="Times New Roman" w:cs="Times New Roman" w:eastAsia="Times New Roman" w:hAnsi="Times New Roman"/>
          <w:sz w:val="13"/>
          <w:szCs w:val="13"/>
          <w:color w:val="008000"/>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under the SoundHound AI, Inc. 2022 Incentive Award Plan (the "Plan"). These restricted stock units vest over three years in approximately equal monthly installments.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/Warren Heit, attorney-in-</w:t>
            </w:r>
          </w:p>
        </w:tc>
        <w:tc>
          <w:tcPr>
            <w:tcW w:w="80" w:type="dxa"/>
            <w:vAlign w:val="bottom"/>
          </w:tcPr>
          <w:p>
            <w:pPr>
              <w:spacing w:after="0"/>
              <w:rPr>
                <w:sz w:val="17"/>
                <w:szCs w:val="17"/>
                <w:color w:val="auto"/>
              </w:rPr>
            </w:pPr>
          </w:p>
        </w:tc>
        <w:tc>
          <w:tcPr>
            <w:tcW w:w="8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08/13/2025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0" w:type="dxa"/>
            <w:vAlign w:val="bottom"/>
            <w:vMerge w:val="continu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2"/>
        </w:trPr>
        <w:tc>
          <w:tcPr>
            <w:tcW w:w="21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w w:val="99"/>
              </w:rPr>
              <w:t>fact for MOHAJER KEYVAN</w:t>
            </w:r>
          </w:p>
        </w:tc>
        <w:tc>
          <w:tcPr>
            <w:tcW w:w="80" w:type="dxa"/>
            <w:vAlign w:val="bottom"/>
            <w:vMerge w:val="continue"/>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2120" w:type="dxa"/>
            <w:vAlign w:val="bottom"/>
            <w:tcBorders>
              <w:bottom w:val="single" w:sz="8" w:color="auto"/>
            </w:tcBorders>
            <w:gridSpan w:val="2"/>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2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3"/>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FOR REPORTING UNDER SECTION 16(a)</w:t>
      </w:r>
    </w:p>
    <w:p>
      <w:pPr>
        <w:spacing w:after="0" w:line="39" w:lineRule="exact"/>
        <w:rPr>
          <w:sz w:val="20"/>
          <w:szCs w:val="20"/>
          <w:color w:val="auto"/>
        </w:rPr>
      </w:pPr>
    </w:p>
    <w:p>
      <w:pPr>
        <w:ind w:right="4799"/>
        <w:spacing w:after="0" w:line="249" w:lineRule="auto"/>
        <w:rPr>
          <w:sz w:val="20"/>
          <w:szCs w:val="20"/>
          <w:color w:val="auto"/>
        </w:rPr>
      </w:pPr>
      <w:r>
        <w:rPr>
          <w:rFonts w:ascii="Courier New" w:cs="Courier New" w:eastAsia="Courier New" w:hAnsi="Courier New"/>
          <w:sz w:val="17"/>
          <w:szCs w:val="17"/>
          <w:color w:val="auto"/>
        </w:rPr>
        <w:t>OF THE SECURITIES EXCHANGE ACT OF 1934, AS AMENDED SOUNDHOUND AI, INC.</w:t>
      </w:r>
    </w:p>
    <w:p>
      <w:pPr>
        <w:spacing w:after="0"/>
        <w:rPr>
          <w:sz w:val="20"/>
          <w:szCs w:val="20"/>
          <w:color w:val="auto"/>
        </w:rPr>
      </w:pPr>
      <w:r>
        <w:rPr>
          <w:rFonts w:ascii="Courier New" w:cs="Courier New" w:eastAsia="Courier New" w:hAnsi="Courier New"/>
          <w:sz w:val="17"/>
          <w:szCs w:val="17"/>
          <w:color w:val="auto"/>
        </w:rPr>
        <w:t>MOHAJER KEYVAN - CIK # 0001917995</w:t>
      </w:r>
    </w:p>
    <w:p>
      <w:pPr>
        <w:spacing w:after="0" w:line="175" w:lineRule="exact"/>
        <w:rPr>
          <w:sz w:val="20"/>
          <w:szCs w:val="20"/>
          <w:color w:val="auto"/>
        </w:rPr>
      </w:pPr>
    </w:p>
    <w:p>
      <w:pPr>
        <w:ind w:right="3539" w:firstLine="520"/>
        <w:spacing w:after="0" w:line="262"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Warren Heit or Nitesh Sharan signing singly, the undersigned's true and lawful attorney-in-fact to:</w:t>
      </w:r>
    </w:p>
    <w:p>
      <w:pPr>
        <w:spacing w:after="0" w:line="1" w:lineRule="exact"/>
        <w:rPr>
          <w:sz w:val="20"/>
          <w:szCs w:val="20"/>
          <w:color w:val="auto"/>
        </w:rPr>
      </w:pPr>
    </w:p>
    <w:p>
      <w:pPr>
        <w:ind w:right="353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any Form 3, 4, or 5 in accordance with Section 16(a) of the Securities Exchange Act of 1934, as amended, and the rules thereunder;</w:t>
      </w:r>
    </w:p>
    <w:p>
      <w:pPr>
        <w:ind w:right="3019" w:firstLine="526"/>
        <w:spacing w:after="0" w:line="250"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any such form with the United States Securities and Exchange Commission and any stock exchange or similar authority, including completing and executing a Uniform Application for Access Codes to File on Edgar on Form ID; and</w:t>
      </w:r>
    </w:p>
    <w:p>
      <w:pPr>
        <w:spacing w:after="0" w:line="194" w:lineRule="exact"/>
        <w:rPr>
          <w:rFonts w:ascii="Courier New" w:cs="Courier New" w:eastAsia="Courier New" w:hAnsi="Courier New"/>
          <w:sz w:val="17"/>
          <w:szCs w:val="17"/>
          <w:color w:val="auto"/>
        </w:rPr>
      </w:pPr>
    </w:p>
    <w:p>
      <w:pPr>
        <w:ind w:right="2919" w:firstLine="526"/>
        <w:spacing w:after="0" w:line="249" w:lineRule="auto"/>
        <w:tabs>
          <w:tab w:leader="none" w:pos="935"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ind w:right="281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to each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w:t>
      </w:r>
    </w:p>
    <w:p>
      <w:pPr>
        <w:ind w:right="27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do or cause to be done by virtue of this power of attorney and the rights and powers herein granted. The undersigned acknowledges that the foregoing attorneys-in-fact, in serving in such capacity at the request of the undersigned, are not assuming, any of the undersigned's responsibilities to comply with Section 16 of the Securities Exchange Act of 1934.</w:t>
      </w:r>
    </w:p>
    <w:p>
      <w:pPr>
        <w:ind w:right="2499" w:firstLine="520"/>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 3, 4, or 5, or unless earlier revoked by the undersigned in a signed writing delivered to the foregoing attorney-in-fact.</w:t>
      </w:r>
    </w:p>
    <w:p>
      <w:pPr>
        <w:ind w:right="3239" w:firstLine="520"/>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 5 day of May, 2022.</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Signature</w:t>
      </w:r>
    </w:p>
    <w:p>
      <w:pPr>
        <w:spacing w:after="0" w:line="37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Keyvan Mohajer</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3" Type="http://schemas.openxmlformats.org/officeDocument/2006/relationships/hyperlink" Target="http://www.sec.gov/cgi-bin/browse-edgar?action=getcompany&amp;CIK=0001917995" TargetMode="External"/><Relationship Id="rId14" Type="http://schemas.openxmlformats.org/officeDocument/2006/relationships/hyperlink" Target="http://www.sec.gov/cgi-bin/browse-edgar?action=getcompany&amp;CIK=000184085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2025-08-13T16:37:54Z</dcterms:created>
  <dcterms:modified xsi:type="dcterms:W3CDTF">2025-08-13T16:37:54Z</dcterms:modified>
</cp:coreProperties>
</file>