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jc w:val="center"/>
        <w:ind w:left="3820" w:right="940" w:hanging="2872"/>
        <w:spacing w:after="0" w:line="484" w:lineRule="auto"/>
        <w:tabs>
          <w:tab w:leader="none" w:pos="116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tabs>
          <w:tab w:leader="none" w:pos="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ARCHIMEDES TECH SPAC PARTNERS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280" w:type="dxa"/>
            <w:vAlign w:val="bottom"/>
          </w:tcPr>
          <w:p>
            <w:pPr>
              <w:jc w:val="right"/>
              <w:ind w:right="2110"/>
              <w:spacing w:after="0"/>
              <w:rPr>
                <w:sz w:val="20"/>
                <w:szCs w:val="20"/>
                <w:color w:val="auto"/>
              </w:rPr>
            </w:pPr>
            <w:r>
              <w:rPr>
                <w:rFonts w:ascii="Arial" w:cs="Arial" w:eastAsia="Arial" w:hAnsi="Arial"/>
                <w:sz w:val="18"/>
                <w:szCs w:val="18"/>
                <w:b w:val="1"/>
                <w:bCs w:val="1"/>
                <w:color w:val="auto"/>
              </w:rPr>
              <w:t>86-1286799</w:t>
            </w:r>
          </w:p>
        </w:tc>
      </w:tr>
      <w:tr>
        <w:trPr>
          <w:trHeight w:val="202"/>
        </w:trPr>
        <w:tc>
          <w:tcPr>
            <w:tcW w:w="5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100" w:type="dxa"/>
            <w:vAlign w:val="bottom"/>
          </w:tcPr>
          <w:p>
            <w:pPr>
              <w:spacing w:after="0"/>
              <w:rPr>
                <w:sz w:val="17"/>
                <w:szCs w:val="17"/>
                <w:color w:val="auto"/>
              </w:rPr>
            </w:pPr>
          </w:p>
        </w:tc>
        <w:tc>
          <w:tcPr>
            <w:tcW w:w="5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incorporation or organization)</w:t>
            </w:r>
          </w:p>
        </w:tc>
        <w:tc>
          <w:tcPr>
            <w:tcW w:w="5280" w:type="dxa"/>
            <w:vAlign w:val="bottom"/>
          </w:tcPr>
          <w:p>
            <w:pPr>
              <w:ind w:left="1940"/>
              <w:spacing w:after="0"/>
              <w:rPr>
                <w:sz w:val="20"/>
                <w:szCs w:val="20"/>
                <w:color w:val="auto"/>
              </w:rPr>
            </w:pPr>
            <w:r>
              <w:rPr>
                <w:rFonts w:ascii="Arial" w:cs="Arial" w:eastAsia="Arial" w:hAnsi="Arial"/>
                <w:sz w:val="18"/>
                <w:szCs w:val="18"/>
                <w:color w:val="auto"/>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 Claymont, DE 19703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560-4753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Units, each consisting of one subunit and one-</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ATSPU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21"/>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Pr>
          <w:p>
            <w:pPr>
              <w:spacing w:after="0"/>
              <w:rPr>
                <w:sz w:val="10"/>
                <w:szCs w:val="10"/>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Subunits included as part of the units, each</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ATSPT</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consisting of one share of common stock,</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$0.0001 par value, and one-quarter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21"/>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Pr>
          <w:p>
            <w:pPr>
              <w:spacing w:after="0"/>
              <w:rPr>
                <w:sz w:val="10"/>
                <w:szCs w:val="10"/>
                <w:color w:val="auto"/>
              </w:rPr>
            </w:pPr>
          </w:p>
        </w:tc>
      </w:tr>
      <w:tr>
        <w:trPr>
          <w:trHeight w:val="216"/>
        </w:trPr>
        <w:tc>
          <w:tcPr>
            <w:tcW w:w="38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Common stock, par value $0.0001 per share</w:t>
            </w:r>
          </w:p>
        </w:tc>
        <w:tc>
          <w:tcPr>
            <w:tcW w:w="3800" w:type="dxa"/>
            <w:vAlign w:val="bottom"/>
            <w:gridSpan w:val="2"/>
            <w:shd w:val="clear" w:color="auto" w:fill="CCECFF"/>
          </w:tcPr>
          <w:p>
            <w:pPr>
              <w:jc w:val="center"/>
              <w:ind w:right="220"/>
              <w:spacing w:after="0"/>
              <w:rPr>
                <w:sz w:val="20"/>
                <w:szCs w:val="20"/>
                <w:color w:val="auto"/>
              </w:rPr>
            </w:pPr>
            <w:r>
              <w:rPr>
                <w:rFonts w:ascii="Arial" w:cs="Arial" w:eastAsia="Arial" w:hAnsi="Arial"/>
                <w:sz w:val="18"/>
                <w:szCs w:val="18"/>
                <w:color w:val="auto"/>
                <w:w w:val="89"/>
              </w:rPr>
              <w:t>ATSP</w:t>
            </w:r>
          </w:p>
        </w:tc>
        <w:tc>
          <w:tcPr>
            <w:tcW w:w="3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21"/>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0" w:type="dxa"/>
            <w:vAlign w:val="bottom"/>
          </w:tcPr>
          <w:p>
            <w:pPr>
              <w:spacing w:after="0"/>
              <w:rPr>
                <w:sz w:val="10"/>
                <w:szCs w:val="1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ATSPW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40" w:right="339" w:bottom="807" w:gutter="0" w:footer="0" w:header="0"/>
        </w:sectPr>
      </w:pPr>
    </w:p>
    <w:p>
      <w:pPr>
        <w:spacing w:after="0" w:line="70"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51" w:lineRule="exact"/>
        <w:rPr>
          <w:sz w:val="24"/>
          <w:szCs w:val="24"/>
          <w:color w:val="auto"/>
        </w:rPr>
      </w:pPr>
    </w:p>
    <w:p>
      <w:pPr>
        <w:sectPr>
          <w:pgSz w:w="11900" w:h="16838" w:orient="portrait"/>
          <w:cols w:equalWidth="0" w:num="2">
            <w:col w:w="4580" w:space="720"/>
            <w:col w:w="5940"/>
          </w:cols>
          <w:pgMar w:left="320" w:top="540" w:right="339" w:bottom="807" w:gutter="0" w:footer="0" w:header="0"/>
          <w:type w:val="continuous"/>
        </w:sect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July 20, 2021, there were 17,461,000 shares of the Company’s common stock, including shares of common stock underlying the units and subunits,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80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940" w:type="dxa"/>
            <w:vAlign w:val="bottom"/>
            <w:gridSpan w:val="2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3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79"/>
              </w:rPr>
              <w:t>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2021 (unaudited) and December 31, 2020</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 of Operations for the three months ended March 31, 2021</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0" w:type="dxa"/>
            <w:vAlign w:val="bottom"/>
            <w:gridSpan w:val="18"/>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Unaudited Condensed Statement of Changes in Stockholders’ Equity for the three months ended March 31, 2021</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 of Cash Flows for the three months ended March 31, 2021</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130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620" w:type="dxa"/>
            <w:vAlign w:val="bottom"/>
            <w:tcBorders>
              <w:bottom w:val="single" w:sz="8" w:color="CCEEFF"/>
            </w:tcBorders>
            <w:gridSpan w:val="3"/>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020" w:type="dxa"/>
            <w:vAlign w:val="bottom"/>
            <w:tcBorders>
              <w:bottom w:val="single" w:sz="8" w:color="CCEEFF"/>
            </w:tcBorders>
            <w:gridSpan w:val="10"/>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9940" w:type="dxa"/>
            <w:vAlign w:val="bottom"/>
            <w:gridSpan w:val="2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800" w:type="dxa"/>
            <w:vAlign w:val="bottom"/>
            <w:gridSpan w:val="1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ARCHIMEDES TECH SPAC PARTNERS CO.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963,695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165,713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1,129,408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133,000,525</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134,129,933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273,424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Common stock subject to possible redemption, 12,874,459 shares and 0 shares at redemption value as of March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128,744,590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100,000,000 shares authorized; 4,586,541 shares and 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outstanding (excluding 12,874,459 shares and 0 shares subject to possible redemption) as of March 31, 2021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5,084,297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(84,749)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134,129,933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10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(81,441)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Unrealized loss on change in fair value of warrants</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(84,033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redemption</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2,059,408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 attributable to common stock subject to redemption</w:t>
            </w: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4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3,856,614</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Sale of 12,000,000 Units through IPO</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12,000,000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5"/>
              </w:rPr>
              <w:t>119,998,800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w w:val="97"/>
              </w:rPr>
              <w:t>120,000,000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1,300,000 Units through over-allotment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12,999,870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13,000,000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 of 416,000 Private Units in private placement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416,000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4,159,958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4,160,000</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to initial stockholders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3,450,000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fee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(2,660,000)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(2,660,000)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(428,847)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(428,847)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(270,307)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(270,307)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(84,033)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(84,033)</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Change in common stock subject to possible redemption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(12,874,459)</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(128,743,303)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(128,744,590)</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4,586,541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5,084,297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b w:val="1"/>
                <w:bCs w:val="1"/>
                <w:color w:val="auto"/>
              </w:rPr>
              <w:t>(84,749</w:t>
            </w:r>
            <w:r>
              <w:rPr>
                <w:rFonts w:ascii="Arial" w:cs="Arial" w:eastAsia="Arial" w:hAnsi="Arial"/>
                <w:sz w:val="29"/>
                <w:szCs w:val="29"/>
                <w:b w:val="1"/>
                <w:bCs w:val="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5,000,007</w:t>
            </w:r>
          </w:p>
        </w:tc>
        <w:tc>
          <w:tcPr>
            <w:tcW w:w="8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Unrealized loss on change in fair value of warrants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current assets and 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Accrued offering costs and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Due to related party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held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IPO and over-allotment, net of underwriters’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private placement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promissory note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 to promissory note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initial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 of deferred offering costs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beginning of the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Initial value of common stock subject to possible redemption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common stock subject to possible redemption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Forfeiture of founder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Initial classification of warrant liability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Deferred offering costs included in accrued offering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Three</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Months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0" w:hanging="555"/>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(84,033)</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(165,713)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54,815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6,381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(185,958)</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(133,000,000)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(133,000,000)</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130,340,000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4,160,000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125,000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(375,347)</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134,149,653</w:t>
      </w: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963,695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2"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963,695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20" w:hanging="215"/>
        <w:spacing w:after="0"/>
        <w:tabs>
          <w:tab w:leader="none" w:pos="220" w:val="left"/>
        </w:tabs>
        <w:numPr>
          <w:ilvl w:val="0"/>
          <w:numId w:val="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115,841,700</w:t>
      </w:r>
    </w:p>
    <w:p>
      <w:pPr>
        <w:spacing w:after="0" w:line="88" w:lineRule="exact"/>
        <w:rPr>
          <w:rFonts w:ascii="Arial" w:cs="Arial" w:eastAsia="Arial" w:hAnsi="Arial"/>
          <w:sz w:val="17"/>
          <w:szCs w:val="17"/>
          <w:u w:val="single" w:color="auto"/>
          <w:color w:val="auto"/>
        </w:rPr>
      </w:pPr>
    </w:p>
    <w:p>
      <w:pPr>
        <w:ind w:left="300" w:hanging="295"/>
        <w:spacing w:after="0"/>
        <w:tabs>
          <w:tab w:leader="none" w:pos="300" w:val="left"/>
        </w:tabs>
        <w:numPr>
          <w:ilvl w:val="0"/>
          <w:numId w:val="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12,902,890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 w:lineRule="exact"/>
        <w:rPr>
          <w:sz w:val="20"/>
          <w:szCs w:val="20"/>
          <w:color w:val="auto"/>
        </w:rPr>
      </w:pPr>
    </w:p>
    <w:p>
      <w:pPr>
        <w:ind w:left="940" w:hanging="93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ind w:left="520" w:hanging="51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270,307</w:t>
      </w:r>
    </w:p>
    <w:p>
      <w:pPr>
        <w:spacing w:after="0" w:line="76" w:lineRule="exact"/>
        <w:rPr>
          <w:rFonts w:ascii="Arial" w:cs="Arial" w:eastAsia="Arial" w:hAnsi="Arial"/>
          <w:sz w:val="18"/>
          <w:szCs w:val="18"/>
          <w:color w:val="auto"/>
        </w:rPr>
      </w:pPr>
    </w:p>
    <w:p>
      <w:pPr>
        <w:ind w:left="620" w:hanging="6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029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0" w:space="720"/>
            <w:col w:w="118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the Company had not commenced any revenue-generating operations. All activity for the period from September 15, 2020 (inception) through March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IPO was declared effective on March 10, 2021 (the “Effective Date”). On March 15, 2021, the Company consummated the IPO of 12,000,000 units, (the “Public Units”), at $10.00 per Public Unit, generating gross proceeds of $120,000,000, which is discussed in Note 4.</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$2,825,347 consisting of $2,400,000 of underwriting discount and $425,347 of other offering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(the “Over-allotment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had cash outside the Trust Account of $963,695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2021, none of the amount on deposit in the Trust Account was available to be withdrawn as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IPO (see Note 6). Subsequent to the consummation of the IPO and Private Placement, the Company’s liquidity needs have been satisfied through the net proceeds from the IPO and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the issuance date of these financial statements.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12, 2021, the Staff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dated as of March 10, 2021, between the Company and Continental Stock Transfer &amp; Trust Company, a New York corporation, as warrant agent (the "Warrant Agreement"). As a result of the SEC Statement, the Company reevaluated the accounting treatment of (i) the 6,650,000 Public Warrants and (ii) the 208,000 Private Warrants (See Note 4 and Note 5). The Company previously accounted for all warrants as components of equity.</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further consideration of the guidance in Accounting Standards Codification ("ASC") 815-40, Derivatives and Hedging; Contracts in Entity's Own Equity, the Company concluded that the provision in the Warrant Agreement that the Private Warrants shall be treated as Public Warrants once transferred to a holder other than the Sponsor or permitted transferee precludes the Private Warrants from being accounted for as components of equity. As the Private Warrants meet the definition of a derivative as contemplated in ASC 815, the Private Warrants should be recorded as derivative liabilities on the balance sheet and measured at fair value at inception (on the date of the IPO) and at each reporting date in accordance with ASC 820, Fair Value Measurement, with changes in fair value recognized in the statement of operations in the period of change.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The identified errors impacted the Company’s Form 8-K filing on March 19, 2021 containing the IPO balance sheet as of March 15, 2021 (the “Closing 8-K Report”).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not material to the Closing 8-K Report, but that correcting the cumulative impact of such errors would be significant to our statement of operations for the three months ended March 31, 2021. Accordingly, the Company has corrected such immaterial errors by adjusting the March 15, 2021 balance sheet and classified the Private Warrants as liabilities on the balance sheet at fair value. The Company will also correct previously reported financial information for such immaterial errors in future filings, as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effect of the revision on each balance sheet line item as of the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As of March 15, 2021</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As Reported</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As Adjusted</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253,413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253,413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591,387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253,413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772,800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116,095,120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115,841,700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5,004,068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5,004,072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for the three months ended March 31, 2021 are not necessarily indicative of the results that may be expected through December 31, 2021.</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March 19, 2021 and March 12, 2021,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unaudited condensed financial statement in conformity with US GAAP requires management to make estimates and assumptions that affect the reported amounts of assets and liabilities and disclosure of contingent assets and liabilities at the date of the unaudited condensed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has $963,695 of cash held outside of the Trust Account as of March 31, 2021 and no cash held outside of the Trust Account as of December 31, 2020. The Company did not have any cash equivalents as of March 31, 2021 and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the Company had $133,000,525 in the Trust Account which may be utilized for Business Combination. As of March 31, 2021, the assets held in the Trust Account were invested in Treasury Securities consisting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March 31, 2021 due to the short maturities of such instruments.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warrant liability is based on a valuation model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is classified as Level 3. See Note 7 for additional information on assets and liabilities measured at fair value.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2021 and December 31, 2020,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stock outstanding for each of the periods. The calculation of diluted loss per common share does not consider the effect of the warrants issued in connection with the (i) IPO, (ii) exercise of overallotment and (iii) Private Placement since the exercise of the warrants are contingent upon the occurrence of future events and the inclusion of such warrants would be anti-dilutive. The warrants are exercisable to purchase 6,858,000 shares of common stock in the aggregate.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statement of operations includes a presentation of loss per share for common stock subject to possible redemption in a manner similar to the two-class method of loss per common share. Net income per common share, basic and diluted, for redeemable common stock is calculated by dividing the net income allocable to common stockholders by the weighted average number of redeemable common stock outstanding since original issuance. Net loss per common share, basic and diluted, for non-redeemable common stock is calculated by dividing the net loss, adjusted for income attributable to redeemable common stock, by the weighted average number of non-redeemable common stock outstanding for the periods. Non-redeemable common stock includes the founder shares as these common stock do not have any redemption features and do not participate in the income earned on the Trust Account.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10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Common stock subject to possible redemption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Numerator: Net income allocable to common stock subject to possible redemption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on marketable securities held in trust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37"/>
        </w:trPr>
        <w:tc>
          <w:tcPr>
            <w:tcW w:w="10020" w:type="dxa"/>
            <w:vAlign w:val="bottom"/>
          </w:tcPr>
          <w:p>
            <w:pPr>
              <w:ind w:left="340"/>
              <w:spacing w:after="0"/>
              <w:rPr>
                <w:sz w:val="20"/>
                <w:szCs w:val="20"/>
                <w:color w:val="auto"/>
              </w:rPr>
            </w:pPr>
            <w:r>
              <w:rPr>
                <w:rFonts w:ascii="Arial" w:cs="Arial" w:eastAsia="Arial" w:hAnsi="Arial"/>
                <w:sz w:val="18"/>
                <w:szCs w:val="18"/>
                <w:color w:val="auto"/>
              </w:rPr>
              <w:t>Less: interest available to be withdrawn for payment of taxes</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r>
      <w:tr>
        <w:trPr>
          <w:trHeight w:val="216"/>
        </w:trPr>
        <w:tc>
          <w:tcPr>
            <w:tcW w:w="10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allocable to common stock subject to possible redemption</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common stock, basic and diluted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2,059,408</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Basic and diluted net income per share, redeemable common stock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minus redeemable net earnings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(84,033)</w:t>
            </w:r>
          </w:p>
        </w:tc>
      </w:tr>
      <w:tr>
        <w:trPr>
          <w:trHeight w:val="250"/>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net earnings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1002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Non-redeemable net loss</w:t>
            </w: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(84,033)</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non-redeemable basic and diluted weighted average shares outstanding, common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3,856,614</w:t>
            </w:r>
          </w:p>
        </w:tc>
      </w:t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Basic and diluted net loss per share, common stock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$2,825,347 have been charged to stockholders’ equity (consisting of $2,400,000 of underwriting discount and $425,347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financial position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financial position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unaudited condensed financial statement does not include any adjustments that might result from the outcome of this uncertainty.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 as of March 31, 2021.</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shareholders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$7,097 represents the amount accrued for the administrative support services provided by affiliate of the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31, 2021, no such Working Capital Loans were outstanding.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March 31, 2021, the Company has recorded $7,097 for the period from March 10, 2021 through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Recurring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March 31,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Mutual Fund held in Trust Account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133,000,525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133,000,525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04"/>
        </w:trPr>
        <w:tc>
          <w:tcPr>
            <w:tcW w:w="59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133,000,525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133,000,525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273,424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273,424</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273,424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 </w:t>
      </w:r>
      <w:r>
        <w:rPr>
          <w:rFonts w:ascii="Arial" w:cs="Arial" w:eastAsia="Arial" w:hAnsi="Arial"/>
          <w:sz w:val="18"/>
          <w:szCs w:val="18"/>
          <w:color w:val="auto"/>
        </w:rPr>
        <w:t>The Company is authorized to issue 1,000,000 shares of preferred stock at par value of $0.0001 per share. As of March 31,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shares of preferred stock issued or outstanding.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Common Stock — </w:t>
      </w:r>
      <w:r>
        <w:rPr>
          <w:rFonts w:ascii="Arial" w:cs="Arial" w:eastAsia="Arial" w:hAnsi="Arial"/>
          <w:sz w:val="16"/>
          <w:szCs w:val="16"/>
          <w:color w:val="auto"/>
        </w:rPr>
        <w:t>The Company is authorized to issue 100,000,000 shares of common stock with a par value of $0.0001 per share. At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4,586,541 shares of common stock issued and outstanding, excluding 12,874,459 shares of common stock subject to possible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was issued. The Company did not identify any subsequent events that would have required adjustment or disclosure in the unaudited condensed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activity through March 31, 2021 relates to our formation, IPO, which was consummated on March 15, 2021, and search for a prospective initial business combination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have not commenced any operations. All activity for the period from September 15, 2020 (inception) through March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$963,695 in our operating bank account for our working capital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the foregoing,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loss per common share is computed by dividing net loss by the weighted average number of common stock outstanding for each of the periods. The calculation of diluted loss per common share does not consider the effect of the warrants issued in connection with the (i) IPO, (ii) exercise of overallotment and (iii) Private Placement since the exercise of the warrants are contingent upon the occurrence of future events and the inclusion of such warrants would be anti-dilutive. The warrants are exercisable to purchase 6,858,000 shares of common stock in the aggregate.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March 31, 2021. Based upon their evaluation, our Chief Executive Officer and Chief Financial Officer concluded that, during the period covered by this report, our disclosure controls and procedures were not effective. Our internal control over financial reporting did not result in the proper accounting classification of the Private Warrants we issued in March 2021 which, due to its impact on our financial statements, we determined to be a material weakness. This matter was brought to our attention when the SEC issued the SEC Statement. The SEC Statement addresses certain accounting and reporting considerations related to warrants of a kind similar to those we issued at the time of our initial public offering in March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 Management has identified a material weakness in internal controls related to the accounting for Private Warrants issued in connection with the IPO, as described above. Although we have processes to identify and appropriately apply applicable accounting requirements, we plan to enhance our system of evaluating and implementing the accounting standards that apply to our financial statements, including through enhanced analyses by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final prospectus for our IPO filed with the SEC on March 12,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other than as described below, there have been no material changes to the risk factors disclosed in our final prospectus for our IPO filed with the SEC on March 12,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2021, the Company consummated its IPO of 12,000,000 Public Units. Each Public Unit consists of i) one Public Subunit, which consists of one Public Share and one-quarter of one Public Warrant and ii) one-quarter of one Public Warrant, with each whole warrant entitling the holder thereof to purchase one share of common stock, par value $0.0001 per share, for $11.50 per share. The Public Units were sold at a price of $10.00 per unit, generating gross proceeds to the Company of $120,000,000. The Company paid the underwriters, in aggregate, a fixed underwriting discount of $2,400,000. The Company granted the underwriters a 45-day option from the date of the IPO to purchase up to an additional 1,800,000 Public Units to cover over-allotments.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March 15, 2021, simultaneously with the consummation of the IPO, the Company completed the Private Placement of an aggregate of 390,000 Private Units to the Sponsor and EarlyBirdCapital at a purchase price of $10.00 per Private Unit, generating gross proceeds to the Company of $3,900,000.</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The Public Units were sold at a price of $10.00 per Unit, generating gross proceeds to the Company of $13,000,000. The Company paid the underwriters, in aggregate, a fixed underwriting discount of $260,000. 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a total of $133,000,525 was held in the Trust Account, $133,000,000 of which is the proceeds from the IPO and Private Placement and $525 of which was interest income generated by the proceeds in Trust.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IPO, see Part I, Item 2 of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920" w:type="dxa"/>
            <w:vAlign w:val="bottom"/>
            <w:gridSpan w:val="9"/>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114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7"/>
              </w:rPr>
              <w:t>1.1</w:t>
            </w:r>
          </w:p>
        </w:tc>
        <w:tc>
          <w:tcPr>
            <w:tcW w:w="220" w:type="dxa"/>
            <w:vAlign w:val="bottom"/>
            <w:tcBorders>
              <w:top w:val="single" w:sz="8" w:color="CCEEFF"/>
            </w:tcBorders>
            <w:shd w:val="clear" w:color="auto" w:fill="CCEEFF"/>
          </w:tcPr>
          <w:p>
            <w:pPr>
              <w:spacing w:after="0"/>
              <w:rPr>
                <w:sz w:val="16"/>
                <w:szCs w:val="16"/>
                <w:color w:val="auto"/>
              </w:rPr>
            </w:pPr>
          </w:p>
        </w:tc>
        <w:tc>
          <w:tcPr>
            <w:tcW w:w="9880" w:type="dxa"/>
            <w:vAlign w:val="bottom"/>
            <w:tcBorders>
              <w:top w:val="single" w:sz="8" w:color="auto"/>
              <w:right w:val="single" w:sz="8" w:color="CCEEFF"/>
            </w:tcBorders>
            <w:gridSpan w:val="15"/>
            <w:shd w:val="clear" w:color="auto" w:fill="CCEEFF"/>
          </w:tcPr>
          <w:p>
            <w:pPr>
              <w:spacing w:after="0" w:line="169" w:lineRule="exact"/>
              <w:rPr>
                <w:rFonts w:ascii="Arial" w:cs="Arial" w:eastAsia="Arial" w:hAnsi="Arial"/>
                <w:sz w:val="18"/>
                <w:szCs w:val="18"/>
                <w:color w:val="0000EE"/>
              </w:rPr>
            </w:pPr>
            <w:hyperlink r:id="rId61">
              <w:r>
                <w:rPr>
                  <w:rFonts w:ascii="Arial" w:cs="Arial" w:eastAsia="Arial" w:hAnsi="Arial"/>
                  <w:sz w:val="18"/>
                  <w:szCs w:val="18"/>
                  <w:color w:val="0000EE"/>
                </w:rPr>
                <w:t>Underwriting Agreement, dated March 10, 2021, by and between the Company and EarlyBirdCapital, Inc. (1)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7"/>
              </w:rPr>
              <w:t>3.1</w:t>
            </w:r>
          </w:p>
        </w:tc>
        <w:tc>
          <w:tcPr>
            <w:tcW w:w="220" w:type="dxa"/>
            <w:vAlign w:val="bottom"/>
            <w:tcBorders>
              <w:top w:val="single" w:sz="8" w:color="CCEEFF"/>
            </w:tcBorders>
          </w:tcPr>
          <w:p>
            <w:pPr>
              <w:spacing w:after="0"/>
              <w:rPr>
                <w:sz w:val="15"/>
                <w:szCs w:val="15"/>
                <w:color w:val="auto"/>
              </w:rPr>
            </w:pPr>
          </w:p>
        </w:tc>
        <w:tc>
          <w:tcPr>
            <w:tcW w:w="79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Amended and Restated Certificate of Incorporation. (1)</w:t>
              </w:r>
            </w:hyperlink>
          </w:p>
        </w:tc>
        <w:tc>
          <w:tcPr>
            <w:tcW w:w="1980" w:type="dxa"/>
            <w:vAlign w:val="bottom"/>
            <w:tcBorders>
              <w:top w:val="single" w:sz="8" w:color="CCEE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22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Warrant Agreement, dated March 10, 2021, by and between the Company and Continental Stock Transfer &amp; Trust Company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5"/>
                <w:szCs w:val="15"/>
                <w:color w:val="auto"/>
              </w:rPr>
            </w:pPr>
          </w:p>
        </w:tc>
        <w:tc>
          <w:tcPr>
            <w:tcW w:w="9880" w:type="dxa"/>
            <w:vAlign w:val="bottom"/>
            <w:gridSpan w:val="15"/>
          </w:tcPr>
          <w:p>
            <w:pPr>
              <w:spacing w:after="0" w:line="17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Letter Agreement, dated March 10, 2021, by and between the Company’s sponsor, initial stockholders, officers and directors.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Investment Management Trust Agreement, dated March 10, 2021, by and between Continental Stock Transfer &amp; Trust Company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Company.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5"/>
                <w:szCs w:val="15"/>
                <w:color w:val="auto"/>
              </w:rPr>
            </w:pPr>
          </w:p>
        </w:tc>
        <w:tc>
          <w:tcPr>
            <w:tcW w:w="9880" w:type="dxa"/>
            <w:vAlign w:val="bottom"/>
            <w:tcBorders>
              <w:bottom w:val="single" w:sz="8" w:color="0000EE"/>
            </w:tcBorders>
            <w:gridSpan w:val="15"/>
          </w:tcPr>
          <w:p>
            <w:pPr>
              <w:spacing w:after="0" w:line="17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Escrow Agreement, dated March 10, 2021, by and among the Company, Continental Stock Transfer &amp; Trust Company and each of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initial shareholders of the Company. (1)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Registration Rights Agreement, dated March 10, 2021, by and among the Company, the Company’s sponsor, EarlyBirdCapital, Inc.,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the initial shareholders of the Company.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5"/>
                <w:szCs w:val="15"/>
                <w:color w:val="auto"/>
              </w:rPr>
            </w:pPr>
          </w:p>
        </w:tc>
        <w:tc>
          <w:tcPr>
            <w:tcW w:w="9880" w:type="dxa"/>
            <w:vAlign w:val="bottom"/>
            <w:gridSpan w:val="15"/>
          </w:tcPr>
          <w:p>
            <w:pPr>
              <w:spacing w:after="0" w:line="176" w:lineRule="exact"/>
              <w:rPr>
                <w:rFonts w:ascii="Arial" w:cs="Arial" w:eastAsia="Arial" w:hAnsi="Arial"/>
                <w:sz w:val="18"/>
                <w:szCs w:val="18"/>
                <w:color w:val="0000EE"/>
                <w:w w:val="98"/>
              </w:rPr>
            </w:pPr>
            <w:hyperlink r:id="rId68">
              <w:r>
                <w:rPr>
                  <w:rFonts w:ascii="Arial" w:cs="Arial" w:eastAsia="Arial" w:hAnsi="Arial"/>
                  <w:sz w:val="18"/>
                  <w:szCs w:val="18"/>
                  <w:color w:val="0000EE"/>
                  <w:w w:val="98"/>
                </w:rPr>
                <w:t>Indemnity Agreements, dated March 10, 2021, by and among the Company and the directors and officers of the Company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97"/>
              </w:rPr>
            </w:pPr>
            <w:hyperlink r:id="rId69">
              <w:r>
                <w:rPr>
                  <w:rFonts w:ascii="Arial" w:cs="Arial" w:eastAsia="Arial" w:hAnsi="Arial"/>
                  <w:sz w:val="18"/>
                  <w:szCs w:val="18"/>
                  <w:color w:val="0000EE"/>
                  <w:w w:val="97"/>
                </w:rPr>
                <w:t>Subscription Agreement, dated March 10, 2021, by and between the Company and Archimedes Tech SPAC Sponsors LLC. (1)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22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Subscription Agreement, dated March 10, 2021, by and between the Company and EarlyBirdCapital, Inc (1)</w:t>
              </w:r>
            </w:hyperlink>
          </w:p>
        </w:tc>
        <w:tc>
          <w:tcPr>
            <w:tcW w:w="760" w:type="dxa"/>
            <w:vAlign w:val="bottom"/>
            <w:tcBorders>
              <w:top w:val="single" w:sz="8" w:color="CCEE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22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Administrative Services Agreement, dated March 10, 2021, between the Company and SPAC Partners LLC (1)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5"/>
                <w:szCs w:val="15"/>
                <w:color w:val="auto"/>
              </w:rPr>
            </w:pPr>
          </w:p>
        </w:tc>
        <w:tc>
          <w:tcPr>
            <w:tcW w:w="988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Executive Officer Pursuant to Securities Exchange Act Rules 13a-14(a) and 15(d)-14(a), as adopted Pursuant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to Section 302 of the Sarbanes-Oxley Act of 2002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of Principal Financial Officer Pursuant to Securities Exchange Act Rules 13a-14(a) and 15(d)-14(a), as adopted Pursuant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302 of the Sarbanes-Oxley Act of 2002</w:t>
              </w:r>
            </w:hyperlink>
          </w:p>
        </w:tc>
        <w:tc>
          <w:tcPr>
            <w:tcW w:w="6460" w:type="dxa"/>
            <w:vAlign w:val="bottom"/>
            <w:tcBorders>
              <w:bottom w:val="single" w:sz="8" w:color="CCEEFF"/>
              <w:right w:val="single" w:sz="8" w:color="CCEEFF"/>
            </w:tcBorders>
            <w:gridSpan w:val="10"/>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5"/>
                <w:szCs w:val="15"/>
                <w:color w:val="auto"/>
              </w:rPr>
            </w:pPr>
          </w:p>
        </w:tc>
        <w:tc>
          <w:tcPr>
            <w:tcW w:w="988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Certification of Principal Executive Officer Pursuant to 18 U.S.C. Section 1350, as adopted Pursuant to Section 906 of the Sarbanes-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Principal Financial Officer Pursuant to 18 U.S.C. Section 1350, as adopted Pursuant to Section 906 of the Sarbanes-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101.INS*</w:t>
            </w:r>
          </w:p>
        </w:tc>
        <w:tc>
          <w:tcPr>
            <w:tcW w:w="988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101.CAL*</w:t>
            </w:r>
          </w:p>
        </w:tc>
        <w:tc>
          <w:tcPr>
            <w:tcW w:w="988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101.SCH*</w:t>
            </w:r>
          </w:p>
        </w:tc>
        <w:tc>
          <w:tcPr>
            <w:tcW w:w="988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101.DEF*</w:t>
            </w:r>
          </w:p>
        </w:tc>
        <w:tc>
          <w:tcPr>
            <w:tcW w:w="988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101.LAB*</w:t>
            </w:r>
          </w:p>
        </w:tc>
        <w:tc>
          <w:tcPr>
            <w:tcW w:w="9880" w:type="dxa"/>
            <w:vAlign w:val="bottom"/>
            <w:gridSpan w:val="15"/>
          </w:tcPr>
          <w:p>
            <w:pPr>
              <w:spacing w:after="0"/>
              <w:rPr>
                <w:sz w:val="20"/>
                <w:szCs w:val="20"/>
                <w:color w:val="auto"/>
              </w:rPr>
            </w:pPr>
            <w:r>
              <w:rPr>
                <w:rFonts w:ascii="Arial" w:cs="Arial" w:eastAsia="Arial" w:hAnsi="Arial"/>
                <w:sz w:val="18"/>
                <w:szCs w:val="18"/>
                <w:color w:val="auto"/>
              </w:rPr>
              <w:t>XBRL Taxonomy Extension Labels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101.PRE*</w:t>
            </w:r>
          </w:p>
        </w:tc>
        <w:tc>
          <w:tcPr>
            <w:tcW w:w="988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800" w:firstLine="8"/>
        <w:spacing w:after="0" w:line="291" w:lineRule="auto"/>
        <w:tabs>
          <w:tab w:leader="none" w:pos="337"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rPr>
          <w:rFonts w:ascii="Arial" w:cs="Arial" w:eastAsia="Arial" w:hAnsi="Arial"/>
          <w:sz w:val="16"/>
          <w:szCs w:val="16"/>
          <w:color w:val="auto"/>
        </w:rPr>
      </w:pPr>
      <w:r>
        <w:rPr>
          <w:rFonts w:ascii="Arial" w:cs="Arial" w:eastAsia="Arial" w:hAnsi="Arial"/>
          <w:sz w:val="18"/>
          <w:szCs w:val="18"/>
          <w:color w:val="auto"/>
        </w:rPr>
        <w:t>(1)  Previously filed as an exhibit to our Current Report on Form 8-K filed on March 16, 2021 and incorporated by reference herein.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b w:val="1"/>
                <w:bCs w:val="1"/>
                <w:color w:val="auto"/>
              </w:rPr>
              <w:t>ARCHIMEDES TECH SPAC PARTNERS CO.</w:t>
            </w: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Date: July 26, 2021</w:t>
            </w: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3480" w:type="dxa"/>
            <w:vAlign w:val="bottom"/>
          </w:tcPr>
          <w:p>
            <w:pPr>
              <w:spacing w:after="0"/>
              <w:rPr>
                <w:sz w:val="17"/>
                <w:szCs w:val="17"/>
                <w:color w:val="auto"/>
              </w:rPr>
            </w:pPr>
          </w:p>
        </w:tc>
        <w:tc>
          <w:tcPr>
            <w:tcW w:w="2820" w:type="dxa"/>
            <w:vAlign w:val="bottom"/>
          </w:tcPr>
          <w:p>
            <w:pPr>
              <w:ind w:left="224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16"/>
        </w:trPr>
        <w:tc>
          <w:tcPr>
            <w:tcW w:w="34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Date: July 26, 2021</w:t>
            </w: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w:t>
            </w:r>
          </w:p>
        </w:tc>
      </w:tr>
      <w:tr>
        <w:trPr>
          <w:trHeight w:val="202"/>
        </w:trPr>
        <w:tc>
          <w:tcPr>
            <w:tcW w:w="3480" w:type="dxa"/>
            <w:vAlign w:val="bottom"/>
          </w:tcPr>
          <w:p>
            <w:pPr>
              <w:spacing w:after="0"/>
              <w:rPr>
                <w:sz w:val="17"/>
                <w:szCs w:val="17"/>
                <w:color w:val="auto"/>
              </w:rPr>
            </w:pPr>
          </w:p>
        </w:tc>
        <w:tc>
          <w:tcPr>
            <w:tcW w:w="2820" w:type="dxa"/>
            <w:vAlign w:val="bottom"/>
          </w:tcPr>
          <w:p>
            <w:pPr>
              <w:ind w:left="224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Long Long</w:t>
            </w:r>
          </w:p>
        </w:tc>
      </w:tr>
      <w:tr>
        <w:trPr>
          <w:trHeight w:val="216"/>
        </w:trPr>
        <w:tc>
          <w:tcPr>
            <w:tcW w:w="34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4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ind w:left="2020" w:right="2020" w:firstLine="10"/>
        <w:spacing w:after="0" w:line="290" w:lineRule="auto"/>
        <w:rPr>
          <w:sz w:val="20"/>
          <w:szCs w:val="20"/>
          <w:color w:val="auto"/>
        </w:rPr>
      </w:pPr>
      <w:r>
        <w:rPr>
          <w:rFonts w:ascii="Arial" w:cs="Arial" w:eastAsia="Arial" w:hAnsi="Arial"/>
          <w:sz w:val="17"/>
          <w:szCs w:val="17"/>
          <w:b w:val="1"/>
          <w:bCs w:val="1"/>
          <w:color w:val="auto"/>
        </w:rPr>
        <w:t>PURSUANT TO RULE 13A-14(A)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 Stephen N. Cannon, certify that:</w:t>
      </w:r>
    </w:p>
    <w:p>
      <w:pPr>
        <w:spacing w:after="0" w:line="225" w:lineRule="exact"/>
        <w:rPr>
          <w:sz w:val="20"/>
          <w:szCs w:val="20"/>
          <w:color w:val="auto"/>
        </w:rPr>
      </w:pPr>
    </w:p>
    <w:p>
      <w:pPr>
        <w:ind w:left="400" w:hanging="298"/>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400" w:right="380" w:hanging="298"/>
        <w:spacing w:after="0" w:line="26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400" w:right="340" w:hanging="298"/>
        <w:spacing w:after="0" w:line="308"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ind w:left="400" w:right="160" w:hanging="298"/>
        <w:spacing w:after="0" w:line="263"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right="260" w:hanging="341"/>
        <w:spacing w:after="0" w:line="263"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740" w:hanging="341"/>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jc w:val="both"/>
        <w:ind w:left="740" w:right="780" w:hanging="341"/>
        <w:spacing w:after="0" w:line="342" w:lineRule="auto"/>
        <w:tabs>
          <w:tab w:leader="none" w:pos="7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360" w:right="160" w:hanging="448"/>
        <w:spacing w:after="0" w:line="263"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800" w:right="120" w:hanging="333"/>
        <w:spacing w:after="0" w:line="342" w:lineRule="auto"/>
        <w:tabs>
          <w:tab w:leader="none" w:pos="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740" w:right="200" w:hanging="341"/>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920" w:right="540" w:hanging="453"/>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July 26, 2021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00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Long Long, certify that:</w:t>
      </w:r>
    </w:p>
    <w:p>
      <w:pPr>
        <w:spacing w:after="0" w:line="225" w:lineRule="exact"/>
        <w:rPr>
          <w:sz w:val="20"/>
          <w:szCs w:val="20"/>
          <w:color w:val="auto"/>
        </w:rPr>
      </w:pPr>
    </w:p>
    <w:p>
      <w:pPr>
        <w:ind w:left="300" w:hanging="298"/>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Archimedes Tech SPAC Partners Co.;</w:t>
      </w:r>
    </w:p>
    <w:p>
      <w:pPr>
        <w:spacing w:after="0" w:line="225" w:lineRule="exact"/>
        <w:rPr>
          <w:sz w:val="20"/>
          <w:szCs w:val="20"/>
          <w:color w:val="auto"/>
        </w:rPr>
      </w:pPr>
    </w:p>
    <w:p>
      <w:pPr>
        <w:jc w:val="both"/>
        <w:ind w:left="300" w:right="380" w:hanging="298"/>
        <w:spacing w:after="0" w:line="263"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00" w:right="340" w:hanging="298"/>
        <w:spacing w:after="0" w:line="308"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sz w:val="20"/>
          <w:szCs w:val="20"/>
          <w:color w:val="auto"/>
        </w:rPr>
      </w:pPr>
    </w:p>
    <w:p>
      <w:pPr>
        <w:ind w:left="300" w:right="160" w:hanging="298"/>
        <w:spacing w:after="0" w:line="263"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40" w:hanging="361"/>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61"/>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jc w:val="both"/>
        <w:ind w:left="660" w:right="760" w:hanging="361"/>
        <w:spacing w:after="0" w:line="34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hanging="361"/>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1040" w:right="300" w:hanging="336"/>
        <w:spacing w:after="0" w:line="263"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80" w:hanging="361"/>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40" w:hanging="361"/>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140"/>
          </w:cols>
          <w:pgMar w:left="420" w:top="121" w:right="339" w:bottom="1440" w:gutter="0" w:footer="0" w:header="0"/>
        </w:sectPr>
      </w:pPr>
    </w:p>
    <w:bookmarkStart w:id="26" w:name="page27"/>
    <w:bookmarkEnd w:id="26"/>
    <w:p>
      <w:pPr>
        <w:ind w:left="100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March 31, 2021, as filed with the Securities and Exchange Commission (the “Report”), I, Stephen N. Cannon, Chief Executive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60" w:hanging="33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40" w:firstLine="326"/>
        <w:spacing w:after="0" w:line="500"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26, 2021</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365760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sectPr>
      </w:pPr>
    </w:p>
    <w:bookmarkStart w:id="27" w:name="page28"/>
    <w:bookmarkEnd w:id="27"/>
    <w:p>
      <w:pPr>
        <w:ind w:left="100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Archimedes Tech SPAC Partners Co. (the “Company”) on Form 10-Q for the quarterly period ended March 31, 2021, as filed with the Securities and Exchange Commission (the “Report”), I, Long Long, Chief Financial Officer of the Company, certify, pursuant to 18 U.S.C. §1350, as adopted pursuant to §906 of the Sarbanes-Oxley Act of 2002, that, to the best of my knowledge:</w:t>
      </w:r>
    </w:p>
    <w:p>
      <w:pPr>
        <w:spacing w:after="0" w:line="165" w:lineRule="exact"/>
        <w:rPr>
          <w:sz w:val="20"/>
          <w:szCs w:val="20"/>
          <w:color w:val="auto"/>
        </w:rPr>
      </w:pPr>
    </w:p>
    <w:p>
      <w:pPr>
        <w:ind w:left="640" w:hanging="32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820" w:right="660" w:hanging="453"/>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5715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10340"/>
        <w:spacing w:after="0"/>
        <w:rPr>
          <w:sz w:val="20"/>
          <w:szCs w:val="20"/>
          <w:color w:val="auto"/>
        </w:rPr>
      </w:pPr>
      <w:r>
        <w:rPr>
          <w:rFonts w:ascii="Arial" w:cs="Arial" w:eastAsia="Arial" w:hAnsi="Arial"/>
          <w:sz w:val="16"/>
          <w:szCs w:val="16"/>
          <w:color w:val="auto"/>
        </w:rPr>
        <w:t>Long Long</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228600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4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4"/>
      <w:numFmt w:val="bullet"/>
      <w:start w:val="1"/>
    </w:lvl>
    <w:lvl w:ilvl="1">
      <w:lvlJc w:val="left"/>
      <w:lvlText w:val="%2)"/>
      <w:numFmt w:val="lowerLetter"/>
      <w:start w:val="1"/>
    </w:lvl>
  </w:abstractNum>
  <w:abstractNum w:abstractNumId="13">
    <w:nsid w:val="257130A3"/>
    <w:multiLevelType w:val="hybridMultilevel"/>
    <w:lvl w:ilvl="0">
      <w:lvlJc w:val="left"/>
      <w:lvlText w:val="%1)"/>
      <w:numFmt w:val="lowerLetter"/>
      <w:start w:val="4"/>
    </w:lvl>
  </w:abstractNum>
  <w:abstractNum w:abstractNumId="14">
    <w:nsid w:val="62BBD95A"/>
    <w:multiLevelType w:val="hybridMultilevel"/>
    <w:lvl w:ilvl="0">
      <w:lvlJc w:val="left"/>
      <w:lvlText w:val="%1)"/>
      <w:numFmt w:val="lowerLetter"/>
    </w:lvl>
    <w:lvl w:ilvl="1">
      <w:lvlJc w:val="left"/>
      <w:lvlText w:val="5"/>
      <w:numFmt w:val="bullet"/>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2"/>
      <w:numFmt w:val="bullet"/>
      <w:start w:val="1"/>
    </w:lvl>
  </w:abstractNum>
  <w:abstractNum w:abstractNumId="18">
    <w:nsid w:val="721DA317"/>
    <w:multiLevelType w:val="hybridMultilevel"/>
    <w:lvl w:ilvl="0">
      <w:lvlJc w:val="left"/>
      <w:lvlText w:val="3"/>
      <w:numFmt w:val="bullet"/>
      <w:start w:val="1"/>
    </w:lvl>
  </w:abstractNum>
  <w:abstractNum w:abstractNumId="19">
    <w:nsid w:val="2443A858"/>
    <w:multiLevelType w:val="hybridMultilevel"/>
    <w:lvl w:ilvl="0">
      <w:lvlJc w:val="left"/>
      <w:lvlText w:val="4"/>
      <w:numFmt w:val="bullet"/>
      <w:start w:val="1"/>
    </w:lvl>
    <w:lvl w:ilvl="1">
      <w:lvlJc w:val="left"/>
      <w:lvlText w:val="%2)"/>
      <w:numFmt w:val="lowerLetter"/>
      <w:start w:val="1"/>
    </w:lvl>
  </w:abstractNum>
  <w:abstractNum w:abstractNumId="20">
    <w:nsid w:val="2D1D5AE9"/>
    <w:multiLevelType w:val="hybridMultilevel"/>
    <w:lvl w:ilvl="0">
      <w:lvlJc w:val="left"/>
      <w:lvlText w:val="%1)"/>
      <w:numFmt w:val="lowerLetter"/>
    </w:lvl>
    <w:lvl w:ilvl="1">
      <w:lvlJc w:val="left"/>
      <w:lvlText w:val="5"/>
      <w:numFmt w:val="bullet"/>
      <w:start w:val="1"/>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2"/>
      <w:numFmt w:val="bullet"/>
      <w:start w:val="1"/>
    </w:lvl>
  </w:abstractNum>
  <w:abstractNum w:abstractNumId="23">
    <w:nsid w:val="8EDBDAB"/>
    <w:multiLevelType w:val="hybridMultilevel"/>
    <w:lvl w:ilvl="0">
      <w:lvlJc w:val="left"/>
      <w:lvlText w:val="1"/>
      <w:numFmt w:val="bullet"/>
      <w:start w:val="1"/>
    </w:lvl>
  </w:abstractNum>
  <w:abstractNum w:abstractNumId="24">
    <w:nsid w:val="79838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61" Type="http://schemas.openxmlformats.org/officeDocument/2006/relationships/hyperlink" Target="http://www.sec.gov/Archives/edgar/data/1840856/000121390021015672/ea137760ex1-1_archimedes.htm" TargetMode="External"/><Relationship Id="rId62" Type="http://schemas.openxmlformats.org/officeDocument/2006/relationships/hyperlink" Target="http://www.sec.gov/Archives/edgar/data/1840856/000121390021015672/ea137760ex3-1_archimedes.htm" TargetMode="External"/><Relationship Id="rId63" Type="http://schemas.openxmlformats.org/officeDocument/2006/relationships/hyperlink" Target="http://www.sec.gov/Archives/edgar/data/1840856/000121390021015672/ea137760ex4-1_archimedes.htm" TargetMode="External"/><Relationship Id="rId64" Type="http://schemas.openxmlformats.org/officeDocument/2006/relationships/hyperlink" Target="http://www.sec.gov/Archives/edgar/data/1840856/000121390021015672/ea137760ex10-1_archimedes.htm" TargetMode="External"/><Relationship Id="rId65" Type="http://schemas.openxmlformats.org/officeDocument/2006/relationships/hyperlink" Target="http://www.sec.gov/Archives/edgar/data/1840856/000121390021015672/ea137760ex10-2_archimedes.htm" TargetMode="External"/><Relationship Id="rId66" Type="http://schemas.openxmlformats.org/officeDocument/2006/relationships/hyperlink" Target="http://www.sec.gov/Archives/edgar/data/1840856/000121390021015672/ea137760ex10-3_archimedes.htm" TargetMode="External"/><Relationship Id="rId67" Type="http://schemas.openxmlformats.org/officeDocument/2006/relationships/hyperlink" Target="http://www.sec.gov/Archives/edgar/data/1840856/000121390021015672/ea137760ex10-4_archimedes.htm" TargetMode="External"/><Relationship Id="rId68" Type="http://schemas.openxmlformats.org/officeDocument/2006/relationships/hyperlink" Target="http://www.sec.gov/Archives/edgar/data/1840856/000121390021015672/ea137760ex10-5_archimedes.htm" TargetMode="External"/><Relationship Id="rId69" Type="http://schemas.openxmlformats.org/officeDocument/2006/relationships/hyperlink" Target="http://www.sec.gov/Archives/edgar/data/1840856/000121390021015672/ea137760ex10-6_archimedes.htm" TargetMode="External"/><Relationship Id="rId70" Type="http://schemas.openxmlformats.org/officeDocument/2006/relationships/hyperlink" Target="http://www.sec.gov/Archives/edgar/data/1840856/000121390021015672/ea137760ex10-7_archimedes.htm" TargetMode="External"/><Relationship Id="rId71" Type="http://schemas.openxmlformats.org/officeDocument/2006/relationships/hyperlink" Target="http://www.sec.gov/Archives/edgar/data/1840856/000121390021015672/ea137760ex10-8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2021-07-27T05:15:22Z</dcterms:created>
  <dcterms:modified xsi:type="dcterms:W3CDTF">2021-07-27T05:15:22Z</dcterms:modified>
</cp:coreProperties>
</file>