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212529"/>
          <w:sz w:val="22"/>
        </w:rPr>
      </w:pPr>
      <w:r>
        <w:rPr>
          <w:rFonts w:ascii="Times New Roman;sans-serif" w:hAnsi="Times New Roman;sans-serif"/>
          <w:b/>
          <w:color w:val="212529"/>
          <w:sz w:val="22"/>
        </w:rPr>
        <w:t>UNITED STATES</w:t>
      </w:r>
    </w:p>
    <w:p>
      <w:pPr>
        <w:pStyle w:val="TextBody"/>
        <w:bidi w:val="0"/>
        <w:spacing w:lineRule="auto" w:line="288" w:before="0" w:after="0"/>
        <w:jc w:val="center"/>
        <w:rPr>
          <w:rFonts w:ascii="Times New Roman;sans-serif" w:hAnsi="Times New Roman;sans-serif"/>
          <w:b/>
          <w:color w:val="212529"/>
          <w:sz w:val="22"/>
        </w:rPr>
      </w:pPr>
      <w:r>
        <w:rPr>
          <w:rFonts w:ascii="Times New Roman;sans-serif" w:hAnsi="Times New Roman;sans-serif"/>
          <w:b/>
          <w:color w:val="212529"/>
          <w:sz w:val="22"/>
        </w:rPr>
        <w:t>SECURITIES AND EXCHANGE COMMISSION</w:t>
      </w:r>
    </w:p>
    <w:p>
      <w:pPr>
        <w:pStyle w:val="TextBody"/>
        <w:bidi w:val="0"/>
        <w:spacing w:lineRule="auto" w:line="288" w:before="0" w:after="0"/>
        <w:jc w:val="center"/>
        <w:rPr>
          <w:rFonts w:ascii="Times New Roman;sans-serif" w:hAnsi="Times New Roman;sans-serif"/>
          <w:b/>
          <w:color w:val="212529"/>
          <w:sz w:val="20"/>
        </w:rPr>
      </w:pPr>
      <w:r>
        <w:rPr>
          <w:rFonts w:ascii="Times New Roman;sans-serif" w:hAnsi="Times New Roman;sans-serif"/>
          <w:b/>
          <w:color w:val="212529"/>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200" w:after="283"/>
        <w:jc w:val="center"/>
        <w:rPr>
          <w:rFonts w:ascii="Times New Roman;sans-serif" w:hAnsi="Times New Roman;sans-serif"/>
          <w:b/>
          <w:color w:val="212529"/>
          <w:sz w:val="24"/>
        </w:rPr>
      </w:pPr>
      <w:r>
        <w:rPr>
          <w:rFonts w:ascii="Times New Roman;sans-serif" w:hAnsi="Times New Roman;sans-serif"/>
          <w:b/>
          <w:color w:val="212529"/>
          <w:sz w:val="24"/>
        </w:rPr>
        <w:t>FORM 8-K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40" w:before="0" w:after="20"/>
        <w:jc w:val="left"/>
        <w:rPr>
          <w:color w:val="212529"/>
        </w:rPr>
      </w:pPr>
      <w:r>
        <w:rPr>
          <w:color w:val="212529"/>
        </w:rPr>
        <w:t> </w:t>
      </w:r>
    </w:p>
    <w:p>
      <w:pPr>
        <w:pStyle w:val="TextBody"/>
        <w:bidi w:val="0"/>
        <w:spacing w:lineRule="auto" w:line="288" w:before="120" w:after="283"/>
        <w:jc w:val="center"/>
        <w:rPr>
          <w:rFonts w:ascii="Times New Roman;sans-serif" w:hAnsi="Times New Roman;sans-serif"/>
          <w:b/>
          <w:color w:val="212529"/>
          <w:sz w:val="20"/>
        </w:rPr>
      </w:pPr>
      <w:r>
        <w:rPr>
          <w:rFonts w:ascii="Times New Roman;sans-serif" w:hAnsi="Times New Roman;sans-serif"/>
          <w:b/>
          <w:color w:val="212529"/>
          <w:sz w:val="20"/>
        </w:rPr>
        <w:t>CURRENT REPORT</w:t>
      </w:r>
    </w:p>
    <w:p>
      <w:pPr>
        <w:pStyle w:val="TextBody"/>
        <w:bidi w:val="0"/>
        <w:spacing w:lineRule="auto" w:line="288" w:before="120" w:after="283"/>
        <w:jc w:val="center"/>
        <w:rPr>
          <w:rFonts w:ascii="Times New Roman;sans-serif" w:hAnsi="Times New Roman;sans-serif"/>
          <w:b/>
          <w:color w:val="212529"/>
          <w:sz w:val="20"/>
        </w:rPr>
      </w:pPr>
      <w:r>
        <w:rPr>
          <w:rFonts w:ascii="Times New Roman;sans-serif" w:hAnsi="Times New Roman;sans-serif"/>
          <w:b/>
          <w:color w:val="212529"/>
          <w:sz w:val="20"/>
        </w:rPr>
        <w:t>Pursuant to Section 13 or 15(d)</w:t>
      </w:r>
    </w:p>
    <w:p>
      <w:pPr>
        <w:pStyle w:val="TextBody"/>
        <w:bidi w:val="0"/>
        <w:spacing w:lineRule="auto" w:line="288" w:before="0" w:after="0"/>
        <w:jc w:val="center"/>
        <w:rPr>
          <w:rFonts w:ascii="Times New Roman;sans-serif" w:hAnsi="Times New Roman;sans-serif"/>
          <w:b/>
          <w:color w:val="212529"/>
          <w:sz w:val="20"/>
        </w:rPr>
      </w:pPr>
      <w:r>
        <w:rPr>
          <w:rFonts w:ascii="Times New Roman;sans-serif" w:hAnsi="Times New Roman;sans-serif"/>
          <w:b/>
          <w:color w:val="212529"/>
          <w:sz w:val="20"/>
        </w:rPr>
        <w:t>of the Securities Exchange Act of 1934</w:t>
      </w:r>
    </w:p>
    <w:p>
      <w:pPr>
        <w:pStyle w:val="TextBody"/>
        <w:bidi w:val="0"/>
        <w:spacing w:lineRule="auto" w:line="288" w:before="120" w:after="283"/>
        <w:jc w:val="center"/>
        <w:rPr/>
      </w:pPr>
      <w:r>
        <w:rPr>
          <w:rFonts w:ascii="Times New Roman;sans-serif" w:hAnsi="Times New Roman;sans-serif"/>
          <w:b w:val="false"/>
          <w:color w:val="212529"/>
          <w:sz w:val="20"/>
        </w:rPr>
        <w:t>Date of Report (Date of earliest event reported): </w:t>
      </w:r>
      <w:r>
        <w:rPr>
          <w:rFonts w:ascii="Times New Roman;sans-serif" w:hAnsi="Times New Roman;sans-serif"/>
          <w:b/>
          <w:color w:val="212529"/>
          <w:sz w:val="20"/>
        </w:rPr>
        <w:t>November 12,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20" w:after="283"/>
        <w:jc w:val="center"/>
        <w:rPr>
          <w:rFonts w:ascii="Times New Roman;sans-serif" w:hAnsi="Times New Roman;sans-serif"/>
          <w:b/>
          <w:color w:val="212529"/>
          <w:sz w:val="22"/>
        </w:rPr>
      </w:pPr>
      <w:r>
        <w:rPr>
          <w:rFonts w:ascii="Times New Roman;sans-serif" w:hAnsi="Times New Roman;sans-serif"/>
          <w:b/>
          <w:color w:val="212529"/>
          <w:sz w:val="22"/>
        </w:rPr>
        <w:t>SOUNDHOUND AI, INC.</w:t>
      </w:r>
    </w:p>
    <w:p>
      <w:pPr>
        <w:pStyle w:val="TextBody"/>
        <w:bidi w:val="0"/>
        <w:spacing w:lineRule="auto" w:line="288" w:before="0" w:after="0"/>
        <w:jc w:val="center"/>
        <w:rPr>
          <w:rFonts w:ascii="Times New Roman;sans-serif" w:hAnsi="Times New Roman;sans-serif"/>
          <w:b w:val="false"/>
          <w:color w:val="212529"/>
          <w:sz w:val="20"/>
        </w:rPr>
      </w:pPr>
      <w:r>
        <w:rPr>
          <w:rFonts w:ascii="Times New Roman;sans-serif" w:hAnsi="Times New Roman;sans-serif"/>
          <w:b w:val="false"/>
          <w:color w:val="212529"/>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tbl>
      <w:tblPr>
        <w:tblW w:w="6096"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513"/>
        <w:gridCol w:w="513"/>
        <w:gridCol w:w="518"/>
        <w:gridCol w:w="109"/>
        <w:gridCol w:w="109"/>
        <w:gridCol w:w="109"/>
        <w:gridCol w:w="481"/>
        <w:gridCol w:w="481"/>
        <w:gridCol w:w="687"/>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85-1286799</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5400 Betsy Ross Drive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Santa Clara,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95054</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val="false"/>
          <w:color w:val="212529"/>
          <w:sz w:val="20"/>
        </w:rPr>
      </w:pPr>
      <w:r>
        <w:rPr>
          <w:rFonts w:ascii="Times New Roman;sans-serif" w:hAnsi="Times New Roman;sans-serif"/>
          <w:b w:val="false"/>
          <w:color w:val="212529"/>
          <w:sz w:val="20"/>
        </w:rPr>
        <w:t>Registrant’s telephone number, including area code: (408) 441-3200</w:t>
      </w:r>
    </w:p>
    <w:p>
      <w:pPr>
        <w:pStyle w:val="TextBody"/>
        <w:bidi w:val="0"/>
        <w:spacing w:lineRule="auto" w:line="288" w:before="120" w:after="283"/>
        <w:jc w:val="center"/>
        <w:rPr>
          <w:rFonts w:ascii="Times New Roman;sans-serif" w:hAnsi="Times New Roman;sans-serif"/>
          <w:b w:val="false"/>
          <w:color w:val="212529"/>
          <w:sz w:val="20"/>
        </w:rPr>
      </w:pPr>
      <w:r>
        <w:rPr>
          <w:rFonts w:ascii="Times New Roman;sans-serif" w:hAnsi="Times New Roman;sans-serif"/>
          <w:b w:val="false"/>
          <w:color w:val="212529"/>
          <w:sz w:val="20"/>
        </w:rPr>
        <w:t>(Former name or former address,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20" w:after="283"/>
        <w:jc w:val="left"/>
        <w:rPr>
          <w:rFonts w:ascii="Times New Roman;sans-serif" w:hAnsi="Times New Roman;sans-serif"/>
          <w:b w:val="false"/>
          <w:color w:val="212529"/>
          <w:sz w:val="20"/>
        </w:rPr>
      </w:pPr>
      <w:r>
        <w:rPr>
          <w:rFonts w:ascii="Times New Roman;sans-serif" w:hAnsi="Times New Roman;sans-serif"/>
          <w:b w:val="false"/>
          <w:color w:val="212529"/>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2299"/>
        <w:gridCol w:w="1803"/>
        <w:gridCol w:w="1824"/>
        <w:gridCol w:w="109"/>
        <w:gridCol w:w="109"/>
        <w:gridCol w:w="109"/>
        <w:gridCol w:w="387"/>
        <w:gridCol w:w="387"/>
        <w:gridCol w:w="389"/>
        <w:gridCol w:w="109"/>
        <w:gridCol w:w="109"/>
        <w:gridCol w:w="109"/>
        <w:gridCol w:w="718"/>
        <w:gridCol w:w="718"/>
        <w:gridCol w:w="1026"/>
      </w:tblGrid>
      <w:tr>
        <w:trPr/>
        <w:tc>
          <w:tcPr>
            <w:tcW w:w="229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each exercisable for one share of Class A Common Stock at an exercise price of $11.50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283"/>
        <w:jc w:val="left"/>
        <w:rPr>
          <w:rFonts w:ascii="Times New Roman;sans-serif" w:hAnsi="Times New Roman;sans-serif"/>
          <w:b w:val="false"/>
          <w:color w:val="212529"/>
          <w:sz w:val="20"/>
        </w:rPr>
      </w:pPr>
      <w:r>
        <w:rPr>
          <w:rFonts w:ascii="Times New Roman;sans-serif" w:hAnsi="Times New Roman;sans-serif"/>
          <w:b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ans-serif" w:hAnsi="Times New Roman;sans-serif"/>
          <w:b w:val="false"/>
          <w:color w:val="212529"/>
          <w:sz w:val="20"/>
        </w:rPr>
        <w:t>Emerging growth company </w:t>
      </w:r>
      <w:r>
        <w:rPr>
          <w:color w:val="212529"/>
        </w:rPr>
        <w:t>☐</w:t>
      </w:r>
    </w:p>
    <w:p>
      <w:pPr>
        <w:pStyle w:val="TextBody"/>
        <w:bidi w:val="0"/>
        <w:spacing w:lineRule="auto" w:line="288" w:before="120" w:after="283"/>
        <w:jc w:val="both"/>
        <w:rPr/>
      </w:pPr>
      <w:r>
        <w:rPr>
          <w:rFonts w:ascii="Times New Roman;sans-serif" w:hAnsi="Times New Roman;sans-serif"/>
          <w:b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17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200" w:after="283"/>
        <w:jc w:val="both"/>
        <w:rPr/>
      </w:pPr>
      <w:r>
        <w:rPr>
          <w:rFonts w:ascii="Times New Roman;sans-serif" w:hAnsi="Times New Roman;sans-serif"/>
          <w:b w:val="false"/>
          <w:color w:val="212529"/>
          <w:sz w:val="20"/>
        </w:rPr>
        <w:t xml:space="preserve">On November 12, 2024, SoundHound AI, Inc. (the “Company”) issued a press release announcing financial results and operational highlights for the third quarter ended </w:t>
      </w:r>
      <w:r>
        <w:rPr>
          <w:rFonts w:ascii="Times New Roman;sans-serif" w:hAnsi="Times New Roman;sans-serif"/>
          <w:b w:val="false"/>
          <w:color w:val="000000"/>
          <w:sz w:val="20"/>
        </w:rPr>
        <w:t>September 30, 2024</w:t>
      </w:r>
      <w:r>
        <w:rPr>
          <w:rFonts w:ascii="Times New Roman;sans-serif" w:hAnsi="Times New Roman;sans-serif"/>
          <w:b w:val="false"/>
          <w:color w:val="212529"/>
          <w:sz w:val="20"/>
        </w:rPr>
        <w:t xml:space="preserve">. A copy of the press release is furnished as Exhibit 99.1 to this current report on Form 8-K. The Company is also furnishing as Exhibit 99.2 to this current report on Form 8-K the condensed consolidated balance sheets of the Company as of </w:t>
      </w:r>
      <w:r>
        <w:rPr>
          <w:rFonts w:ascii="Times New Roman;sans-serif" w:hAnsi="Times New Roman;sans-serif"/>
          <w:b w:val="false"/>
          <w:color w:val="000000"/>
          <w:sz w:val="20"/>
        </w:rPr>
        <w:t>September 30, 2024</w:t>
      </w:r>
      <w:r>
        <w:rPr>
          <w:rFonts w:ascii="Times New Roman;sans-serif" w:hAnsi="Times New Roman;sans-serif"/>
          <w:b w:val="false"/>
          <w:color w:val="212529"/>
          <w:sz w:val="20"/>
        </w:rPr>
        <w:t xml:space="preserve">, and the related condensed consolidated statements of operations and comprehensive loss and condensed consolidated statements of cash flows for the period ended </w:t>
      </w:r>
      <w:r>
        <w:rPr>
          <w:rFonts w:ascii="Times New Roman;sans-serif" w:hAnsi="Times New Roman;sans-serif"/>
          <w:b w:val="false"/>
          <w:color w:val="000000"/>
          <w:sz w:val="20"/>
        </w:rPr>
        <w:t>September 30, 2024</w:t>
      </w:r>
      <w:r>
        <w:rPr>
          <w:rFonts w:ascii="Times New Roman;sans-serif" w:hAnsi="Times New Roman;sans-serif"/>
          <w:b w:val="false"/>
          <w:color w:val="212529"/>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 and Exhibits.</w:t>
      </w:r>
    </w:p>
    <w:tbl>
      <w:tblPr>
        <w:tblW w:w="6970"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507"/>
        <w:gridCol w:w="1507"/>
        <w:gridCol w:w="214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soun-20241112ex991earnings.htm">
              <w:r>
                <w:rPr>
                  <w:rStyle w:val="InternetLink"/>
                  <w:rFonts w:ascii="Times New Roman;sans-serif" w:hAnsi="Times New Roman;sans-serif"/>
                  <w:b w:val="false"/>
                  <w:color w:val="000080"/>
                  <w:sz w:val="20"/>
                  <w:u w:val="single"/>
                </w:rPr>
                <w:t>Press Release, dated</w:t>
              </w:r>
            </w:hyperlink>
            <w:hyperlink w:anchor="soun-20241112ex991earnings.htm">
              <w:r>
                <w:rPr>
                  <w:rStyle w:val="InternetLink"/>
                  <w:rFonts w:ascii="Times New Roman;sans-serif" w:hAnsi="Times New Roman;sans-serif"/>
                  <w:b w:val="false"/>
                  <w:color w:val="000080"/>
                  <w:sz w:val="20"/>
                  <w:u w:val="single"/>
                </w:rPr>
                <w:t xml:space="preserve"> November 1</w:t>
              </w:r>
            </w:hyperlink>
            <w:hyperlink w:anchor="soun-20241112ex991earnings.htm">
              <w:r>
                <w:rPr>
                  <w:rStyle w:val="InternetLink"/>
                  <w:rFonts w:ascii="Times New Roman;sans-serif" w:hAnsi="Times New Roman;sans-serif"/>
                  <w:b w:val="false"/>
                  <w:color w:val="000080"/>
                  <w:sz w:val="20"/>
                  <w:u w:val="single"/>
                </w:rPr>
                <w:t>2</w:t>
              </w:r>
            </w:hyperlink>
            <w:hyperlink w:anchor="soun-20241112ex991earnings.htm">
              <w:r>
                <w:rPr>
                  <w:rStyle w:val="InternetLink"/>
                  <w:rFonts w:ascii="Times New Roman;sans-serif" w:hAnsi="Times New Roman;sans-serif"/>
                  <w:b w:val="false"/>
                  <w:color w:val="000080"/>
                  <w:sz w:val="20"/>
                  <w:u w:val="single"/>
                </w:rPr>
                <w:t>, 2024</w:t>
              </w:r>
            </w:hyperlink>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oun-20241112ex992financia.htm">
              <w:r>
                <w:rPr>
                  <w:rStyle w:val="InternetLink"/>
                  <w:rFonts w:ascii="Times New Roman;sans-serif" w:hAnsi="Times New Roman;sans-serif"/>
                  <w:b w:val="false"/>
                  <w:color w:val="0000FF"/>
                  <w:sz w:val="20"/>
                  <w:u w:val="single"/>
                </w:rPr>
                <w:t>Financial statements for the period ended September 30, 2024</w:t>
              </w:r>
            </w:hyperlink>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212529"/>
          <w:sz w:val="20"/>
        </w:rPr>
      </w:pPr>
      <w:r>
        <w:rPr>
          <w:rFonts w:ascii="Times New Roman;sans-serif" w:hAnsi="Times New Roman;sans-serif"/>
          <w:b/>
          <w:color w:val="212529"/>
          <w:sz w:val="20"/>
        </w:rPr>
        <w:t>SIGNATURE</w:t>
      </w:r>
    </w:p>
    <w:p>
      <w:pPr>
        <w:pStyle w:val="TextBody"/>
        <w:bidi w:val="0"/>
        <w:spacing w:lineRule="auto" w:line="288" w:before="200" w:after="283"/>
        <w:jc w:val="both"/>
        <w:rPr>
          <w:rFonts w:ascii="Times New Roman;sans-serif" w:hAnsi="Times New Roman;sans-serif"/>
          <w:b w:val="false"/>
          <w:color w:val="212529"/>
          <w:sz w:val="20"/>
        </w:rPr>
      </w:pPr>
      <w:r>
        <w:rPr>
          <w:rFonts w:ascii="Times New Roman;sans-serif" w:hAnsi="Times New Roman;sans-serif"/>
          <w:b w:val="false"/>
          <w:color w:val="212529"/>
          <w:sz w:val="20"/>
        </w:rPr>
        <w:t>Pursuant to the requirements of the Securities Exchange Act of 1934, the registrant has duly caused this Current Report on Form 8-K to be signed on its behalf by the undersigned hereunto duly authorized.</w:t>
      </w:r>
    </w:p>
    <w:tbl>
      <w:tblPr>
        <w:tblW w:w="5196" w:type="dxa"/>
        <w:jc w:val="left"/>
        <w:tblInd w:w="0" w:type="dxa"/>
        <w:tblLayout w:type="fixed"/>
        <w:tblCellMar>
          <w:top w:w="28" w:type="dxa"/>
          <w:left w:w="28" w:type="dxa"/>
          <w:bottom w:w="28" w:type="dxa"/>
          <w:right w:w="28" w:type="dxa"/>
        </w:tblCellMar>
      </w:tblPr>
      <w:tblGrid>
        <w:gridCol w:w="625"/>
        <w:gridCol w:w="549"/>
        <w:gridCol w:w="551"/>
        <w:gridCol w:w="196"/>
        <w:gridCol w:w="196"/>
        <w:gridCol w:w="196"/>
        <w:gridCol w:w="271"/>
        <w:gridCol w:w="271"/>
        <w:gridCol w:w="271"/>
        <w:gridCol w:w="597"/>
        <w:gridCol w:w="597"/>
        <w:gridCol w:w="876"/>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3471"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SoundHound AI, Inc.</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Keyvan Mohajer</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Keyvan Mohajer</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00" w:after="160"/>
        <w:jc w:val="both"/>
        <w:rPr/>
      </w:pPr>
      <w:r>
        <w:rPr>
          <w:rFonts w:ascii="Times New Roman;sans-serif" w:hAnsi="Times New Roman;sans-serif"/>
          <w:b/>
          <w:color w:val="000000"/>
          <w:sz w:val="24"/>
          <w:shd w:fill="FEFEFE" w:val="clear"/>
        </w:rPr>
        <w:t xml:space="preserve">SoundHound AI Reports Record Third Quarter Revenue, Up </w:t>
      </w:r>
      <w:r>
        <w:rPr>
          <w:rFonts w:ascii="Times New Roman;sans-serif" w:hAnsi="Times New Roman;sans-serif"/>
          <w:b/>
          <w:color w:val="000000"/>
          <w:sz w:val="24"/>
        </w:rPr>
        <w:t>89%,</w:t>
      </w:r>
      <w:r>
        <w:rPr>
          <w:color w:val="000000"/>
          <w:shd w:fill="FEFEFE" w:val="clear"/>
        </w:rPr>
        <w:t xml:space="preserve"> </w:t>
      </w:r>
      <w:r>
        <w:rPr>
          <w:rFonts w:ascii="Times New Roman;sans-serif" w:hAnsi="Times New Roman;sans-serif"/>
          <w:b/>
          <w:color w:val="000000"/>
          <w:sz w:val="24"/>
          <w:shd w:fill="FEFEFE" w:val="clear"/>
        </w:rPr>
        <w:t xml:space="preserve">Exceeding </w:t>
      </w:r>
      <w:r>
        <w:rPr>
          <w:rFonts w:ascii="Times New Roman;sans-serif" w:hAnsi="Times New Roman;sans-serif"/>
          <w:b/>
          <w:color w:val="000000"/>
          <w:sz w:val="24"/>
        </w:rPr>
        <w:t>$25 Million</w:t>
      </w:r>
      <w:r>
        <w:rPr>
          <w:rFonts w:ascii="Times New Roman;sans-serif" w:hAnsi="Times New Roman;sans-serif"/>
          <w:b/>
          <w:color w:val="000000"/>
          <w:sz w:val="24"/>
          <w:shd w:fill="FEFEFE" w:val="clear"/>
        </w:rPr>
        <w:t>; Raises Outlook</w:t>
      </w:r>
    </w:p>
    <w:p>
      <w:pPr>
        <w:pStyle w:val="TextBody"/>
        <w:bidi w:val="0"/>
        <w:spacing w:lineRule="auto" w:line="288" w:before="100" w:after="360"/>
        <w:jc w:val="both"/>
        <w:rPr>
          <w:rFonts w:ascii="Times New Roman;sans-serif" w:hAnsi="Times New Roman;sans-serif"/>
          <w:b w:val="false"/>
          <w:i/>
          <w:color w:val="000000"/>
          <w:sz w:val="24"/>
        </w:rPr>
      </w:pPr>
      <w:r>
        <w:rPr>
          <w:rFonts w:ascii="Times New Roman;sans-serif" w:hAnsi="Times New Roman;sans-serif"/>
          <w:b w:val="false"/>
          <w:i/>
          <w:color w:val="000000"/>
          <w:sz w:val="24"/>
        </w:rPr>
        <w:t xml:space="preserve">SoundHound scales as a leader in conversational AI with more than 200 enterprise brands leveraging its AI agents across a growing number of verticals </w:t>
      </w:r>
    </w:p>
    <w:p>
      <w:pPr>
        <w:pStyle w:val="TextBody"/>
        <w:bidi w:val="0"/>
        <w:spacing w:lineRule="auto" w:line="288" w:before="100" w:after="360"/>
        <w:jc w:val="both"/>
        <w:rPr/>
      </w:pPr>
      <w:r>
        <w:rPr>
          <w:rFonts w:ascii="Times New Roman;sans-serif" w:hAnsi="Times New Roman;sans-serif"/>
          <w:b w:val="false"/>
          <w:color w:val="000000"/>
          <w:sz w:val="24"/>
          <w:shd w:fill="FEFEFE" w:val="clear"/>
        </w:rPr>
        <w:t>SANTA CLARA, Calif.--</w:t>
      </w:r>
      <w:r>
        <w:rPr>
          <w:rFonts w:ascii="Times New Roman;sans-serif" w:hAnsi="Times New Roman;sans-serif"/>
          <w:b w:val="false"/>
          <w:color w:val="444444"/>
          <w:sz w:val="24"/>
          <w:shd w:fill="FEFEFE" w:val="clear"/>
        </w:rPr>
        <w:t>(</w:t>
      </w:r>
      <w:r>
        <w:rPr>
          <w:rFonts w:ascii="Times New Roman;sans-serif" w:hAnsi="Times New Roman;sans-serif"/>
          <w:b w:val="false"/>
          <w:color w:val="000000"/>
          <w:sz w:val="24"/>
          <w:u w:val="single"/>
          <w:shd w:fill="FFFFFF" w:val="clear"/>
        </w:rPr>
        <w:t>BUSINESS WIRE</w:t>
      </w:r>
      <w:r>
        <w:rPr>
          <w:rFonts w:ascii="Times New Roman;sans-serif" w:hAnsi="Times New Roman;sans-serif"/>
          <w:b w:val="false"/>
          <w:color w:val="444444"/>
          <w:sz w:val="24"/>
          <w:shd w:fill="FEFEFE" w:val="clear"/>
        </w:rPr>
        <w:t>)</w:t>
      </w:r>
      <w:r>
        <w:rPr>
          <w:rFonts w:ascii="Times New Roman;sans-serif" w:hAnsi="Times New Roman;sans-serif"/>
          <w:b w:val="false"/>
          <w:color w:val="000000"/>
          <w:sz w:val="24"/>
          <w:shd w:fill="FEFEFE" w:val="clear"/>
        </w:rPr>
        <w:t xml:space="preserve">--SoundHound AI, Inc. (Nasdaq: SOUN), a global leader in voice artificial intelligence, today reported its financial results for the </w:t>
      </w:r>
      <w:r>
        <w:rPr>
          <w:rFonts w:ascii="Times New Roman;sans-serif" w:hAnsi="Times New Roman;sans-serif"/>
          <w:b w:val="false"/>
          <w:color w:val="000000"/>
          <w:sz w:val="24"/>
        </w:rPr>
        <w:t>third</w:t>
      </w:r>
      <w:r>
        <w:rPr>
          <w:color w:val="000000"/>
          <w:shd w:fill="FEFEFE" w:val="clear"/>
        </w:rPr>
        <w:t xml:space="preserve"> </w:t>
      </w:r>
      <w:r>
        <w:rPr>
          <w:rFonts w:ascii="Times New Roman;sans-serif" w:hAnsi="Times New Roman;sans-serif"/>
          <w:b w:val="false"/>
          <w:color w:val="000000"/>
          <w:sz w:val="24"/>
          <w:shd w:fill="FEFEFE" w:val="clear"/>
        </w:rPr>
        <w:t xml:space="preserve">quarter 2024. </w:t>
      </w:r>
    </w:p>
    <w:p>
      <w:pPr>
        <w:pStyle w:val="TextBody"/>
        <w:bidi w:val="0"/>
        <w:spacing w:lineRule="auto" w:line="288" w:before="100" w:after="360"/>
        <w:jc w:val="both"/>
        <w:rPr/>
      </w:pPr>
      <w:r>
        <w:rPr>
          <w:color w:val="000000"/>
        </w:rPr>
        <w:t>“</w:t>
      </w:r>
      <w:r>
        <w:rPr>
          <w:rFonts w:ascii="Times New Roman;sans-serif" w:hAnsi="Times New Roman;sans-serif"/>
          <w:b w:val="false"/>
          <w:i/>
          <w:color w:val="000000"/>
          <w:sz w:val="24"/>
        </w:rPr>
        <w:t xml:space="preserve">This is SoundHound’s largest quarter on record as the company takes its first steps into important new verticals. Our increased scale, combined with incredible market enthusiasm for conversational AI, is allowing us to execute on the company’s vision,” </w:t>
      </w:r>
      <w:r>
        <w:rPr>
          <w:rFonts w:ascii="Times New Roman;sans-serif" w:hAnsi="Times New Roman;sans-serif"/>
          <w:b w:val="false"/>
          <w:color w:val="000000"/>
          <w:sz w:val="24"/>
        </w:rPr>
        <w:t>said Keyvan Mohajer, CEO and Co-Founder of SoundHound AI. “</w:t>
      </w:r>
      <w:r>
        <w:rPr>
          <w:rFonts w:ascii="Times New Roman;sans-serif" w:hAnsi="Times New Roman;sans-serif"/>
          <w:b w:val="false"/>
          <w:i/>
          <w:color w:val="000000"/>
          <w:sz w:val="24"/>
        </w:rPr>
        <w:t xml:space="preserve">We believe that voice is the ‘killer app’ for applied generative AI. Thanks to our best-in-class technology, mastery of complex vertical integrations, and proprietary AI software, SoundHound is ideally positioned to capitalize on this huge and growing opportunity.” </w:t>
      </w:r>
    </w:p>
    <w:p>
      <w:pPr>
        <w:pStyle w:val="TextBody"/>
        <w:bidi w:val="0"/>
        <w:spacing w:lineRule="auto" w:line="288" w:before="100" w:after="160"/>
        <w:jc w:val="both"/>
        <w:rPr>
          <w:rFonts w:ascii="Times New Roman;sans-serif" w:hAnsi="Times New Roman;sans-serif"/>
          <w:b/>
          <w:color w:val="1D2228"/>
          <w:sz w:val="24"/>
          <w:shd w:fill="FEFEFE" w:val="clear"/>
        </w:rPr>
      </w:pPr>
      <w:r>
        <w:rPr>
          <w:rFonts w:ascii="Times New Roman;sans-serif" w:hAnsi="Times New Roman;sans-serif"/>
          <w:b/>
          <w:color w:val="1D2228"/>
          <w:sz w:val="24"/>
          <w:shd w:fill="FEFEFE" w:val="clear"/>
        </w:rPr>
        <w:t>Third Quarter Financial Highlights</w:t>
      </w:r>
    </w:p>
    <w:p>
      <w:pPr>
        <w:pStyle w:val="TextBody"/>
        <w:bidi w:val="0"/>
        <w:spacing w:lineRule="auto" w:line="288" w:before="0" w:after="0"/>
        <w:ind w:left="0" w:right="0" w:hanging="360"/>
        <w:jc w:val="both"/>
        <w:rPr/>
      </w:pPr>
      <w:r>
        <w:rPr>
          <w:color w:val="1D2228"/>
        </w:rPr>
        <w:t>•</w:t>
      </w:r>
      <w:r>
        <w:rPr>
          <w:rFonts w:ascii="Times New Roman;sans-serif" w:hAnsi="Times New Roman;sans-serif"/>
          <w:b w:val="false"/>
          <w:color w:val="1D2228"/>
          <w:sz w:val="24"/>
          <w:shd w:fill="FEFEFE" w:val="clear"/>
        </w:rPr>
        <w:t>R</w:t>
      </w:r>
      <w:r>
        <w:rPr>
          <w:rFonts w:ascii="Times New Roman;sans-serif" w:hAnsi="Times New Roman;sans-serif"/>
          <w:b w:val="false"/>
          <w:color w:val="000000"/>
          <w:sz w:val="24"/>
        </w:rPr>
        <w:t>eported revenue was $25.1 million, an increase of 89% year-over-year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1D2228"/>
          <w:sz w:val="24"/>
        </w:rPr>
        <w:t xml:space="preserve">Significantly improved customer concentration, where only </w:t>
      </w:r>
      <w:r>
        <w:rPr>
          <w:rFonts w:ascii="Times New Roman;sans-serif" w:hAnsi="Times New Roman;sans-serif"/>
          <w:b w:val="false"/>
          <w:color w:val="000000"/>
          <w:sz w:val="24"/>
        </w:rPr>
        <w:t>12%</w:t>
      </w:r>
      <w:r>
        <w:rPr>
          <w:color w:val="1D2228"/>
        </w:rPr>
        <w:t xml:space="preserve"> </w:t>
      </w:r>
      <w:r>
        <w:rPr>
          <w:rFonts w:ascii="Times New Roman;sans-serif" w:hAnsi="Times New Roman;sans-serif"/>
          <w:b w:val="false"/>
          <w:color w:val="1D2228"/>
          <w:sz w:val="24"/>
        </w:rPr>
        <w:t xml:space="preserve">of revenue is attributed to the company’s largest customer, compared to </w:t>
      </w:r>
      <w:r>
        <w:rPr>
          <w:rFonts w:ascii="Times New Roman;sans-serif" w:hAnsi="Times New Roman;sans-serif"/>
          <w:b w:val="false"/>
          <w:color w:val="000000"/>
          <w:sz w:val="24"/>
        </w:rPr>
        <w:t>72%</w:t>
      </w:r>
      <w:r>
        <w:rPr>
          <w:color w:val="1D2228"/>
        </w:rPr>
        <w:t xml:space="preserve"> </w:t>
      </w:r>
      <w:r>
        <w:rPr>
          <w:rFonts w:ascii="Times New Roman;sans-serif" w:hAnsi="Times New Roman;sans-serif"/>
          <w:b w:val="false"/>
          <w:color w:val="1D2228"/>
          <w:sz w:val="24"/>
        </w:rPr>
        <w:t>in the prior year, reflecting a broader mix of customers</w:t>
      </w:r>
    </w:p>
    <w:p>
      <w:pPr>
        <w:pStyle w:val="TextBody"/>
        <w:bidi w:val="0"/>
        <w:spacing w:lineRule="auto" w:line="288" w:before="0" w:after="0"/>
        <w:ind w:left="0" w:right="0" w:hanging="360"/>
        <w:jc w:val="both"/>
        <w:rPr/>
      </w:pPr>
      <w:r>
        <w:rPr>
          <w:color w:val="1D2228"/>
        </w:rPr>
        <w:t>•</w:t>
      </w:r>
      <w:r>
        <w:rPr>
          <w:rFonts w:ascii="Times New Roman;sans-serif" w:hAnsi="Times New Roman;sans-serif"/>
          <w:b w:val="false"/>
          <w:color w:val="1D2228"/>
          <w:sz w:val="24"/>
        </w:rPr>
        <w:t xml:space="preserve">Significantly increased industry diversification with well-balanced contributions across automotive, restaurants, financial services, healthcare and insurance sectors, each contributing 5%-25% of revenue, compared to over 90% automotive only in the prior year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GAAP gross margin was 49%; non-GAAP gross margin was 60%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GAAP earnings per share was a loss of ($0.06); non-GAAP earnings per share was a loss of ($0.04)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GAAP net loss was $(21.8) million; non-GAAP net loss was $(15.0) million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Adjusted EBITDA was $(15.9) million</w:t>
      </w:r>
    </w:p>
    <w:p>
      <w:pPr>
        <w:pStyle w:val="TextBody"/>
        <w:bidi w:val="0"/>
        <w:spacing w:lineRule="auto" w:line="288" w:before="0" w:after="360"/>
        <w:ind w:left="0" w:right="0" w:hanging="360"/>
        <w:jc w:val="both"/>
        <w:rPr/>
      </w:pPr>
      <w:r>
        <w:rPr>
          <w:color w:val="000000"/>
        </w:rPr>
        <w:t>•</w:t>
      </w:r>
      <w:r>
        <w:rPr>
          <w:rFonts w:ascii="Times New Roman;sans-serif" w:hAnsi="Times New Roman;sans-serif"/>
          <w:b w:val="false"/>
          <w:color w:val="1D2228"/>
          <w:sz w:val="24"/>
        </w:rPr>
        <w:t>Completed acquisition of Amelia, an enterprise conversational AI leader, to significantly expand to new verticals such as finance, insurance, and healthcare</w:t>
      </w:r>
    </w:p>
    <w:p>
      <w:pPr>
        <w:pStyle w:val="TextBody"/>
        <w:bidi w:val="0"/>
        <w:spacing w:lineRule="auto" w:line="288" w:before="0" w:after="0"/>
        <w:jc w:val="both"/>
        <w:rPr/>
      </w:pPr>
      <w:r>
        <w:rPr>
          <w:color w:val="000000"/>
        </w:rPr>
        <w:t>“</w:t>
      </w:r>
      <w:r>
        <w:rPr>
          <w:rFonts w:ascii="Times New Roman;sans-serif" w:hAnsi="Times New Roman;sans-serif"/>
          <w:b w:val="false"/>
          <w:i/>
          <w:color w:val="000000"/>
          <w:sz w:val="24"/>
        </w:rPr>
        <w:t xml:space="preserve">This quarter we transformed the company and continued to diversify our customer base, adding more products and expanding into new verticals," </w:t>
      </w:r>
      <w:r>
        <w:rPr>
          <w:rFonts w:ascii="Times New Roman;sans-serif" w:hAnsi="Times New Roman;sans-serif"/>
          <w:b w:val="false"/>
          <w:color w:val="000000"/>
          <w:sz w:val="24"/>
        </w:rPr>
        <w:t>said Nitesh Sharan, CFO of SoundHound AI.</w:t>
      </w:r>
      <w:r>
        <w:rPr>
          <w:color w:val="FF0000"/>
        </w:rPr>
        <w:t xml:space="preserve"> </w:t>
      </w:r>
      <w:r>
        <w:rPr>
          <w:rFonts w:ascii="Times New Roman;sans-serif" w:hAnsi="Times New Roman;sans-serif"/>
          <w:b w:val="false"/>
          <w:i/>
          <w:color w:val="000000"/>
          <w:sz w:val="24"/>
        </w:rPr>
        <w:t>"We are broadening our target markets and are confident about the medium to long-term opportunity in front of us. This greater potential is reflected in the increased revenue outlook we are providing.”</w:t>
      </w:r>
    </w:p>
    <w:p>
      <w:pPr>
        <w:pStyle w:val="TextBody"/>
        <w:bidi w:val="0"/>
        <w:spacing w:before="100" w:after="1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Business Highlights</w:t>
      </w:r>
    </w:p>
    <w:p>
      <w:pPr>
        <w:pStyle w:val="TextBody"/>
        <w:bidi w:val="0"/>
        <w:spacing w:lineRule="auto" w:line="288" w:before="100" w:after="100"/>
        <w:jc w:val="both"/>
        <w:rPr>
          <w:rFonts w:ascii="Times New Roman;sans-serif" w:hAnsi="Times New Roman;sans-serif"/>
          <w:b w:val="false"/>
          <w:i/>
          <w:color w:val="000000"/>
          <w:sz w:val="24"/>
        </w:rPr>
      </w:pPr>
      <w:r>
        <w:rPr>
          <w:rFonts w:ascii="Times New Roman;sans-serif" w:hAnsi="Times New Roman;sans-serif"/>
          <w:b w:val="false"/>
          <w:i/>
          <w:color w:val="000000"/>
          <w:sz w:val="24"/>
        </w:rPr>
        <w:t>AI Agents &amp; Customer Service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Expanding into major financial, healthcare, insurance, retail, telecom, hospitality and travel institutions globally.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Customers include premier global brands such as AeroMexico, American Heritage Credit Union, Aveanna Healthcare, BNP Paribas, Hoffman Financial Group, Nordic Bank, Resorts World Las Vegas, and Sterling National Bank, among hundreds of others.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Signed with seven of the top 20 QSR brands globally, and several are already live with the company’s phone and drive-thru AI solutions.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Recently signed another top 10 global QSR brand in pizza while expanding with two existing well known pizza chains and several other growing brands such as Chipotle and Casey’s General Stores.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Rapid expansion with Smart Answering, with dozens of multi-location brands already live as the low-touch subscription product continues to move up market.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4"/>
        </w:rPr>
        <w:t xml:space="preserve">Showcasing AI restaurant solutions at NRF 2025 in January. </w:t>
      </w:r>
    </w:p>
    <w:p>
      <w:pPr>
        <w:pStyle w:val="TextBody"/>
        <w:bidi w:val="0"/>
        <w:spacing w:lineRule="auto" w:line="288" w:before="100" w:after="100"/>
        <w:jc w:val="both"/>
        <w:rPr>
          <w:rFonts w:ascii="Times New Roman;sans-serif" w:hAnsi="Times New Roman;sans-serif"/>
          <w:b w:val="false"/>
          <w:i/>
          <w:color w:val="000000"/>
          <w:sz w:val="24"/>
        </w:rPr>
      </w:pPr>
      <w:r>
        <w:rPr>
          <w:rFonts w:ascii="Times New Roman;sans-serif" w:hAnsi="Times New Roman;sans-serif"/>
          <w:b w:val="false"/>
          <w:i/>
          <w:color w:val="000000"/>
          <w:sz w:val="24"/>
        </w:rPr>
        <w:t>Automotive &amp; Smart Devices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SoundHound Chat AI now live in Lancia vehicles in Europe, in addition to Stellantis brands: DS Automobiles, Peugeot, Vauxhall, Opel, Citröen, and Alfa Romeo.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New win with new electric vehicle manufacturer in the Middle East.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Now working with four electric vehicle manufacturers and already live in two.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New commercial deal to provide AI voice assistants for VE Commercial trucks in India – a joint venture between the Volvo Group and Eicher Motors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Expansion in India with Kia, adding Hindi language capabilities to several models now followed by 10 additional regional languages.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Multi-year deal with DayinTec, one of the world's leading Tier 1 and OEM car manufacturers, and were chosen to integrate our technology in major automotive manufacturers in China.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Working with Connex2X, an innovative aftermarket connected vehicle company, to bring leading voice AI technology Into Connex2X’s vehicle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Continued relationship with VIZIO and Telly to expand into millions of TVs, with strong usage growth year over year.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Prominent presence planned for CES 2025, showcasing several automotive technologies and AI solutions, some for the very first time.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4"/>
        </w:rPr>
        <w:t>Leveraging our work with NVIDIA to bring voice generative AI to the edge without cloud connectivity, which will be showcased as a live demo at CES 2025.</w:t>
      </w:r>
    </w:p>
    <w:p>
      <w:pPr>
        <w:pStyle w:val="TextBody"/>
        <w:bidi w:val="0"/>
        <w:spacing w:lineRule="auto" w:line="288" w:before="100" w:after="100"/>
        <w:jc w:val="both"/>
        <w:rPr>
          <w:rFonts w:ascii="Times New Roman;sans-serif" w:hAnsi="Times New Roman;sans-serif"/>
          <w:b w:val="false"/>
          <w:i/>
          <w:color w:val="000000"/>
          <w:sz w:val="24"/>
        </w:rPr>
      </w:pPr>
      <w:r>
        <w:rPr>
          <w:rFonts w:ascii="Times New Roman;sans-serif" w:hAnsi="Times New Roman;sans-serif"/>
          <w:b w:val="false"/>
          <w:i/>
          <w:color w:val="000000"/>
          <w:sz w:val="24"/>
        </w:rPr>
        <w:t>Partnerships and awards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Channel and broader technology partnerships with premier companies like Deloitte, Epic, EXL, Fujitsu, General Dynamics Information Technology, Jack Henry, Kyndryl, NICE, Oracle Cerner and ServiceNow, among others.</w:t>
      </w:r>
    </w:p>
    <w:p>
      <w:pPr>
        <w:pStyle w:val="TextBody"/>
        <w:bidi w:val="0"/>
        <w:spacing w:lineRule="auto" w:line="288"/>
        <w:ind w:left="0" w:right="0" w:hanging="360"/>
        <w:jc w:val="both"/>
        <w:rPr/>
      </w:pPr>
      <w:r>
        <w:rPr>
          <w:color w:val="000000"/>
        </w:rPr>
        <w:t>•</w:t>
      </w:r>
      <w:r>
        <w:rPr>
          <w:rFonts w:ascii="Times New Roman;sans-serif" w:hAnsi="Times New Roman;sans-serif"/>
          <w:b w:val="false"/>
          <w:color w:val="000000"/>
          <w:sz w:val="24"/>
        </w:rPr>
        <w:t>Deepening relationships with hardware and platform partners like HME, Olo, Oracle Micros, Samsung, Sapient, Square, Toast, among others.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Won “Overall Connected Solution of the Year” at the AutoTech Breakthrough Awards for SoundHound Chat AI.</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SoundHound Chat AI also Shortlisted for Reuters 2024 Automotive D.R.I.V.E Honours for Innovation.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SoundHound is currently a finalist for the 2025 Automotive News PACE Awards.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SoundHound’s Amelia won the XCelent Advanced Technology 2024 Award for retail banking solutions and achieved “Luminary” status from research and advisory firm Celent.</w:t>
      </w:r>
    </w:p>
    <w:p>
      <w:pPr>
        <w:pStyle w:val="TextBody"/>
        <w:bidi w:val="0"/>
        <w:spacing w:lineRule="auto" w:line="288" w:before="0" w:after="360"/>
        <w:ind w:left="0" w:right="0" w:hanging="360"/>
        <w:jc w:val="both"/>
        <w:rPr/>
      </w:pPr>
      <w:r>
        <w:rPr>
          <w:color w:val="000000"/>
        </w:rPr>
        <w:t>•</w:t>
      </w:r>
      <w:r>
        <w:rPr>
          <w:rFonts w:ascii="Times New Roman;sans-serif" w:hAnsi="Times New Roman;sans-serif"/>
          <w:b w:val="false"/>
          <w:color w:val="000000"/>
          <w:sz w:val="24"/>
        </w:rPr>
        <w:t>SoundHound’s Employee Assist technology is a Finalist for the Best Use of AI in the Automation &amp; Self-Service Awards 2024.</w:t>
      </w:r>
    </w:p>
    <w:p>
      <w:pPr>
        <w:pStyle w:val="TextBody"/>
        <w:bidi w:val="0"/>
        <w:spacing w:lineRule="auto" w:line="288" w:before="100" w:after="160"/>
        <w:jc w:val="both"/>
        <w:rPr/>
      </w:pPr>
      <w:r>
        <w:rPr>
          <w:rFonts w:ascii="Times New Roman;sans-serif" w:hAnsi="Times New Roman;sans-serif"/>
          <w:b/>
          <w:color w:val="000000"/>
          <w:sz w:val="24"/>
          <w:shd w:fill="FEFEFE" w:val="clear"/>
        </w:rPr>
        <w:t>Third Quarter 2024 Financial Measures</w:t>
      </w:r>
      <w:r>
        <w:rPr>
          <w:rFonts w:ascii="Times New Roman;sans-serif" w:hAnsi="Times New Roman;sans-serif"/>
          <w:b w:val="false"/>
          <w:color w:val="000000"/>
          <w:sz w:val="16"/>
        </w:rPr>
        <w:t>1</w:t>
      </w:r>
    </w:p>
    <w:tbl>
      <w:tblPr>
        <w:tblW w:w="10205" w:type="dxa"/>
        <w:jc w:val="left"/>
        <w:tblInd w:w="0" w:type="dxa"/>
        <w:tblLayout w:type="fixed"/>
        <w:tblCellMar>
          <w:top w:w="28" w:type="dxa"/>
          <w:left w:w="28" w:type="dxa"/>
          <w:bottom w:w="28" w:type="dxa"/>
          <w:right w:w="28" w:type="dxa"/>
        </w:tblCellMar>
      </w:tblPr>
      <w:tblGrid>
        <w:gridCol w:w="1221"/>
        <w:gridCol w:w="1069"/>
        <w:gridCol w:w="1073"/>
        <w:gridCol w:w="109"/>
        <w:gridCol w:w="109"/>
        <w:gridCol w:w="109"/>
        <w:gridCol w:w="601"/>
        <w:gridCol w:w="295"/>
        <w:gridCol w:w="289"/>
        <w:gridCol w:w="289"/>
        <w:gridCol w:w="288"/>
        <w:gridCol w:w="295"/>
        <w:gridCol w:w="109"/>
        <w:gridCol w:w="109"/>
        <w:gridCol w:w="109"/>
        <w:gridCol w:w="601"/>
        <w:gridCol w:w="295"/>
        <w:gridCol w:w="289"/>
        <w:gridCol w:w="289"/>
        <w:gridCol w:w="288"/>
        <w:gridCol w:w="295"/>
        <w:gridCol w:w="109"/>
        <w:gridCol w:w="109"/>
        <w:gridCol w:w="109"/>
        <w:gridCol w:w="270"/>
        <w:gridCol w:w="130"/>
        <w:gridCol w:w="130"/>
        <w:gridCol w:w="335"/>
        <w:gridCol w:w="336"/>
        <w:gridCol w:w="546"/>
      </w:tblGrid>
      <w:tr>
        <w:trPr/>
        <w:tc>
          <w:tcPr>
            <w:tcW w:w="122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3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Three Months Ended</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6"/>
            <w:tcBorders/>
            <w:tcMar>
              <w:top w:w="0" w:type="dxa"/>
              <w:left w:w="0" w:type="dxa"/>
              <w:bottom w:w="0" w:type="dxa"/>
              <w:right w:w="0" w:type="dxa"/>
            </w:tcMar>
            <w:vAlign w:val="center"/>
          </w:tcPr>
          <w:p>
            <w:pPr>
              <w:pStyle w:val="TableContents"/>
              <w:bidi w:val="0"/>
              <w:spacing w:lineRule="auto" w:line="333" w:before="0" w:after="0"/>
              <w:jc w:val="right"/>
              <w:rPr>
                <w:color w:val="000000"/>
              </w:rPr>
            </w:pPr>
            <w:r>
              <w:rPr>
                <w:color w:val="000000"/>
              </w:rPr>
              <w:t>                    </w:t>
            </w:r>
          </w:p>
          <w:p>
            <w:pPr>
              <w:pStyle w:val="TableContents"/>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Change</w:t>
            </w:r>
          </w:p>
        </w:tc>
      </w:tr>
      <w:tr>
        <w:trPr/>
        <w:tc>
          <w:tcPr>
            <w:tcW w:w="3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456"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25,094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456"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89 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456"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456"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26 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(24.3)</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4"/>
              </w:rPr>
              <w:t>pp</w:t>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456"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456"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53 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(14.0)</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pp</w:t>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GAAP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6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(33,767)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6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(14,530)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132 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6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(15,869)</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6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(7,308)</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117 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6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(21,751)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6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(20,197)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6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(14,958)</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6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(13,622)</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GAAP 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6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6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3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0.03 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Non-GAAP 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6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(0.04)</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6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(0.06)</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3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0.02 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360"/>
        <w:ind w:left="0" w:right="0" w:hanging="360"/>
        <w:jc w:val="both"/>
        <w:rPr/>
      </w:pPr>
      <w:r>
        <w:rPr>
          <w:rFonts w:ascii="Times New Roman;sans-serif" w:hAnsi="Times New Roman;sans-serif"/>
          <w:b w:val="false"/>
          <w:color w:val="000000"/>
          <w:sz w:val="14"/>
        </w:rPr>
        <w:t>1)</w:t>
      </w:r>
      <w:r>
        <w:rPr>
          <w:rFonts w:ascii="Times New Roman;sans-serif" w:hAnsi="Times New Roman;sans-serif"/>
          <w:b w:val="false"/>
          <w:color w:val="000000"/>
          <w:sz w:val="14"/>
          <w:shd w:fill="FFFFFF" w:val="clear"/>
        </w:rPr>
        <w:t xml:space="preserve">Please see tables below for a reconciliation from GAAP to non-GAAP. </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Liquidity and Cash Flows</w:t>
      </w:r>
    </w:p>
    <w:p>
      <w:pPr>
        <w:pStyle w:val="TextBody"/>
        <w:bidi w:val="0"/>
        <w:spacing w:lineRule="auto" w:line="288" w:before="100" w:after="360"/>
        <w:jc w:val="both"/>
        <w:rPr/>
      </w:pPr>
      <w:r>
        <w:rPr>
          <w:rFonts w:ascii="Times New Roman;sans-serif" w:hAnsi="Times New Roman;sans-serif"/>
          <w:b w:val="false"/>
          <w:color w:val="000000"/>
          <w:sz w:val="24"/>
          <w:shd w:fill="FEFEFE" w:val="clear"/>
        </w:rPr>
        <w:t xml:space="preserve">The company’s total cash and cash equivalents was </w:t>
      </w:r>
      <w:r>
        <w:rPr>
          <w:rFonts w:ascii="Times New Roman;sans-serif" w:hAnsi="Times New Roman;sans-serif"/>
          <w:b w:val="false"/>
          <w:color w:val="000000"/>
          <w:sz w:val="24"/>
        </w:rPr>
        <w:t>$136 million</w:t>
      </w:r>
      <w:r>
        <w:rPr>
          <w:color w:val="000000"/>
          <w:shd w:fill="FEFEFE" w:val="clear"/>
        </w:rPr>
        <w:t xml:space="preserve"> </w:t>
      </w:r>
      <w:r>
        <w:rPr>
          <w:rFonts w:ascii="Times New Roman;sans-serif" w:hAnsi="Times New Roman;sans-serif"/>
          <w:b w:val="false"/>
          <w:color w:val="000000"/>
          <w:sz w:val="24"/>
          <w:shd w:fill="FEFEFE" w:val="clear"/>
        </w:rPr>
        <w:t xml:space="preserve">at </w:t>
      </w:r>
      <w:r>
        <w:rPr>
          <w:rFonts w:ascii="Times New Roman;sans-serif" w:hAnsi="Times New Roman;sans-serif"/>
          <w:b w:val="false"/>
          <w:color w:val="000000"/>
          <w:sz w:val="24"/>
        </w:rPr>
        <w:t>September 30, 2024</w:t>
      </w:r>
      <w:r>
        <w:rPr>
          <w:rFonts w:ascii="Times New Roman;sans-serif" w:hAnsi="Times New Roman;sans-serif"/>
          <w:b w:val="false"/>
          <w:color w:val="000000"/>
          <w:sz w:val="24"/>
          <w:shd w:fill="FEFEFE" w:val="clear"/>
        </w:rPr>
        <w:t xml:space="preserve">. </w:t>
      </w:r>
    </w:p>
    <w:p>
      <w:pPr>
        <w:pStyle w:val="TextBody"/>
        <w:bidi w:val="0"/>
        <w:spacing w:lineRule="auto" w:line="288" w:before="100" w:after="160"/>
        <w:jc w:val="both"/>
        <w:rPr>
          <w:rFonts w:ascii="Times New Roman;sans-serif" w:hAnsi="Times New Roman;sans-serif"/>
          <w:b/>
          <w:color w:val="1D2228"/>
          <w:sz w:val="24"/>
          <w:shd w:fill="FEFEFE" w:val="clear"/>
        </w:rPr>
      </w:pPr>
      <w:r>
        <w:rPr>
          <w:rFonts w:ascii="Times New Roman;sans-serif" w:hAnsi="Times New Roman;sans-serif"/>
          <w:b/>
          <w:color w:val="1D2228"/>
          <w:sz w:val="24"/>
          <w:shd w:fill="FEFEFE" w:val="clear"/>
        </w:rPr>
        <w:t>Condensed Cash Flow Statement</w:t>
      </w:r>
    </w:p>
    <w:tbl>
      <w:tblPr>
        <w:tblW w:w="9719" w:type="dxa"/>
        <w:jc w:val="left"/>
        <w:tblInd w:w="0" w:type="dxa"/>
        <w:tblLayout w:type="fixed"/>
        <w:tblCellMar>
          <w:top w:w="28" w:type="dxa"/>
          <w:left w:w="28" w:type="dxa"/>
          <w:bottom w:w="28" w:type="dxa"/>
          <w:right w:w="28" w:type="dxa"/>
        </w:tblCellMar>
      </w:tblPr>
      <w:tblGrid>
        <w:gridCol w:w="1481"/>
        <w:gridCol w:w="1303"/>
        <w:gridCol w:w="1310"/>
        <w:gridCol w:w="109"/>
        <w:gridCol w:w="109"/>
        <w:gridCol w:w="109"/>
        <w:gridCol w:w="615"/>
        <w:gridCol w:w="295"/>
        <w:gridCol w:w="295"/>
        <w:gridCol w:w="472"/>
        <w:gridCol w:w="474"/>
        <w:gridCol w:w="302"/>
        <w:gridCol w:w="109"/>
        <w:gridCol w:w="109"/>
        <w:gridCol w:w="109"/>
        <w:gridCol w:w="594"/>
        <w:gridCol w:w="285"/>
        <w:gridCol w:w="285"/>
        <w:gridCol w:w="498"/>
        <w:gridCol w:w="448"/>
        <w:gridCol w:w="408"/>
      </w:tblGrid>
      <w:tr>
        <w:trPr/>
        <w:tc>
          <w:tcPr>
            <w:tcW w:w="148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Nine Months Ended</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September 30, 2023</w:t>
            </w:r>
          </w:p>
        </w:tc>
      </w:tr>
      <w:tr>
        <w:trPr/>
        <w:tc>
          <w:tcPr>
            <w:tcW w:w="4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536"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(75,755)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516"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(54,395)</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(12,292)</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(334)</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115,445 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155,175 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26" w:type="dxa"/>
        <w:jc w:val="left"/>
        <w:tblInd w:w="0" w:type="dxa"/>
        <w:tblLayout w:type="fixed"/>
        <w:tblCellMar>
          <w:top w:w="28" w:type="dxa"/>
          <w:left w:w="28" w:type="dxa"/>
          <w:bottom w:w="28" w:type="dxa"/>
          <w:right w:w="28" w:type="dxa"/>
        </w:tblCellMar>
      </w:tblPr>
      <w:tblGrid>
        <w:gridCol w:w="1517"/>
        <w:gridCol w:w="1332"/>
        <w:gridCol w:w="1336"/>
        <w:gridCol w:w="109"/>
        <w:gridCol w:w="109"/>
        <w:gridCol w:w="109"/>
        <w:gridCol w:w="226"/>
        <w:gridCol w:w="140"/>
        <w:gridCol w:w="140"/>
        <w:gridCol w:w="271"/>
        <w:gridCol w:w="275"/>
        <w:gridCol w:w="109"/>
        <w:gridCol w:w="109"/>
        <w:gridCol w:w="109"/>
        <w:gridCol w:w="109"/>
        <w:gridCol w:w="226"/>
        <w:gridCol w:w="165"/>
        <w:gridCol w:w="165"/>
        <w:gridCol w:w="307"/>
        <w:gridCol w:w="309"/>
        <w:gridCol w:w="154"/>
      </w:tblGrid>
      <w:tr>
        <w:trPr/>
        <w:tc>
          <w:tcPr>
            <w:tcW w:w="151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Effects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826"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4"/>
              </w:rPr>
              <w:t>27,382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946"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4"/>
              </w:rPr>
              <w:t>100,446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Business Outlook</w:t>
      </w:r>
    </w:p>
    <w:p>
      <w:pPr>
        <w:pStyle w:val="TextBody"/>
        <w:bidi w:val="0"/>
        <w:spacing w:lineRule="auto" w:line="288" w:before="100" w:after="360"/>
        <w:jc w:val="both"/>
        <w:rPr>
          <w:rFonts w:ascii="Times New Roman;sans-serif" w:hAnsi="Times New Roman;sans-serif"/>
          <w:b w:val="false"/>
          <w:color w:val="000000"/>
          <w:sz w:val="24"/>
        </w:rPr>
      </w:pPr>
      <w:r>
        <w:rPr>
          <w:rFonts w:ascii="Times New Roman;sans-serif" w:hAnsi="Times New Roman;sans-serif"/>
          <w:b w:val="false"/>
          <w:color w:val="000000"/>
          <w:sz w:val="24"/>
        </w:rPr>
        <w:t>SoundHound is updating its revenue outlook for 2024 and 2025. SoundHound expects its full year 2024 revenue to be in a range of $82 - $85 million and its full year 2025 revenue outlook to be in a range of $155 - $175 million.</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Additional Information</w:t>
      </w:r>
    </w:p>
    <w:p>
      <w:pPr>
        <w:pStyle w:val="TextBody"/>
        <w:bidi w:val="0"/>
        <w:spacing w:lineRule="auto" w:line="288" w:before="100" w:after="360"/>
        <w:jc w:val="both"/>
        <w:rPr/>
      </w:pPr>
      <w:r>
        <w:rPr>
          <w:rFonts w:ascii="Times New Roman;sans-serif" w:hAnsi="Times New Roman;sans-serif"/>
          <w:b w:val="false"/>
          <w:color w:val="000000"/>
          <w:sz w:val="24"/>
          <w:shd w:fill="FEFEFE" w:val="clear"/>
        </w:rPr>
        <w:t xml:space="preserve">For more information please see the company’s SEC filings which can be obtained on the company’s website at </w:t>
      </w:r>
      <w:r>
        <w:rPr>
          <w:rFonts w:ascii="Times New Roman;sans-serif" w:hAnsi="Times New Roman;sans-serif"/>
          <w:b w:val="false"/>
          <w:color w:val="000000"/>
          <w:sz w:val="24"/>
          <w:u w:val="single"/>
          <w:shd w:fill="FFFFFF" w:val="clear"/>
        </w:rPr>
        <w:t>investors.soundhound.com</w:t>
      </w:r>
      <w:r>
        <w:rPr>
          <w:rFonts w:ascii="Times New Roman;sans-serif" w:hAnsi="Times New Roman;sans-serif"/>
          <w:b w:val="false"/>
          <w:color w:val="000000"/>
          <w:sz w:val="24"/>
          <w:shd w:fill="FEFEFE" w:val="clear"/>
        </w:rPr>
        <w:t>. The financial statements will be posted on the website, and will be included when the company files its 8-K. The financial data presented in this press release should be considered preliminary until the company files its 10-Q.</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Conference Call and Webcast</w:t>
      </w:r>
    </w:p>
    <w:p>
      <w:pPr>
        <w:pStyle w:val="TextBody"/>
        <w:bidi w:val="0"/>
        <w:spacing w:lineRule="auto" w:line="288" w:before="100" w:after="360"/>
        <w:jc w:val="both"/>
        <w:rPr/>
      </w:pPr>
      <w:r>
        <w:rPr>
          <w:rFonts w:ascii="Times New Roman;sans-serif" w:hAnsi="Times New Roman;sans-serif"/>
          <w:b w:val="false"/>
          <w:color w:val="000000"/>
          <w:sz w:val="24"/>
        </w:rPr>
        <w:t xml:space="preserve">Keyvan Mohajer, Co-Founder and CEO, and Nitesh Sharan, CFO will host a live audio conference call and webcast today at 2:00 p.m. Pacific Time/5:00 p.m. Eastern Time. A live webcast and replay will also be accessible </w:t>
      </w:r>
      <w:r>
        <w:rPr>
          <w:rFonts w:ascii="Times New Roman;sans-serif" w:hAnsi="Times New Roman;sans-serif"/>
          <w:b w:val="false"/>
          <w:color w:val="000000"/>
          <w:sz w:val="24"/>
          <w:shd w:fill="FFFFFF" w:val="clear"/>
        </w:rPr>
        <w:t xml:space="preserve">at </w:t>
      </w:r>
      <w:r>
        <w:rPr>
          <w:rFonts w:ascii="Times New Roman;sans-serif" w:hAnsi="Times New Roman;sans-serif"/>
          <w:b w:val="false"/>
          <w:color w:val="000000"/>
          <w:sz w:val="24"/>
          <w:u w:val="single"/>
          <w:shd w:fill="FFFFFF" w:val="clear"/>
        </w:rPr>
        <w:t>investors.soundhound.com</w:t>
      </w:r>
      <w:r>
        <w:rPr>
          <w:rFonts w:ascii="Times New Roman;sans-serif" w:hAnsi="Times New Roman;sans-serif"/>
          <w:b w:val="false"/>
          <w:color w:val="000000"/>
          <w:sz w:val="24"/>
          <w:shd w:fill="FFFFFF" w:val="clear"/>
        </w:rPr>
        <w:t>.</w:t>
      </w:r>
      <w:r>
        <w:rPr>
          <w:color w:val="000000"/>
        </w:rPr>
        <w:t xml:space="preserve"> </w:t>
      </w:r>
    </w:p>
    <w:p>
      <w:pPr>
        <w:pStyle w:val="TextBody"/>
        <w:bidi w:val="0"/>
        <w:spacing w:lineRule="auto" w:line="288" w:before="100" w:after="160"/>
        <w:jc w:val="both"/>
        <w:rPr>
          <w:rFonts w:ascii="Times New Roman;sans-serif" w:hAnsi="Times New Roman;sans-serif"/>
          <w:b/>
          <w:color w:val="000000"/>
          <w:sz w:val="24"/>
        </w:rPr>
      </w:pPr>
      <w:r>
        <w:rPr>
          <w:rFonts w:ascii="Times New Roman;sans-serif" w:hAnsi="Times New Roman;sans-serif"/>
          <w:b/>
          <w:color w:val="000000"/>
          <w:sz w:val="24"/>
        </w:rPr>
        <w:t xml:space="preserve">About SoundHound AI </w:t>
      </w:r>
    </w:p>
    <w:p>
      <w:pPr>
        <w:pStyle w:val="TextBody"/>
        <w:bidi w:val="0"/>
        <w:spacing w:lineRule="auto" w:line="288" w:before="100" w:after="360"/>
        <w:jc w:val="both"/>
        <w:rPr/>
      </w:pPr>
      <w:r>
        <w:rPr>
          <w:rFonts w:ascii="Times New Roman;sans-serif" w:hAnsi="Times New Roman;sans-serif"/>
          <w:b w:val="false"/>
          <w:color w:val="000000"/>
          <w:sz w:val="24"/>
        </w:rPr>
        <w:t xml:space="preserve">SoundHound (Nasdaq: SOUN), a global leader in conversational intelligence, offers voice and conversational AI solutions that let businesses offer incredible experiences to their customers. Built on proprietary technology, SoundHound’s voice AI delivers best-in-class speed and accuracy in numerous languages to product creators and service providers across retail, financial services, healthcare, automotive, smart devices, and restaurants via groundbreaking AI-driven products like Smart Answering, Smart Ordering, Dynamic Drive Thru, and Amelia AI Agents. Along with SoundHound Chat AI, a powerful voice assistant with integrated Generative AI, SoundHound powers millions of products and services, and processes billions of interactions each year for world class businesses. </w:t>
      </w:r>
      <w:r>
        <w:rPr>
          <w:rFonts w:ascii="Times New Roman;sans-serif" w:hAnsi="Times New Roman;sans-serif"/>
          <w:b w:val="false"/>
          <w:color w:val="000000"/>
          <w:sz w:val="24"/>
          <w:u w:val="single"/>
        </w:rPr>
        <w:t>www.soundhound.com</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Forward Looking Statements and Other Disclosures</w:t>
      </w:r>
    </w:p>
    <w:p>
      <w:pPr>
        <w:pStyle w:val="TextBody"/>
        <w:bidi w:val="0"/>
        <w:spacing w:lineRule="auto" w:line="288" w:before="100" w:after="360"/>
        <w:jc w:val="both"/>
        <w:rPr>
          <w:rFonts w:ascii="Times New Roman;sans-serif" w:hAnsi="Times New Roman;sans-serif"/>
          <w:b w:val="false"/>
          <w:color w:val="000000"/>
          <w:sz w:val="24"/>
          <w:shd w:fill="FEFEFE" w:val="clear"/>
        </w:rPr>
      </w:pPr>
      <w:r>
        <w:rPr>
          <w:rFonts w:ascii="Times New Roman;sans-serif" w:hAnsi="Times New Roman;sans-serif"/>
          <w:b w:val="false"/>
          <w:color w:val="000000"/>
          <w:sz w:val="24"/>
          <w:shd w:fill="FEFEFE" w:val="clear"/>
        </w:rPr>
        <w:t xml:space="preserve">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our expected financial performance, our ability to implement our business strategy and anticipated business and operations, and guidance for financial results for 2024 and 2025.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360"/>
        <w:jc w:val="both"/>
        <w:rPr>
          <w:rFonts w:ascii="Times New Roman;sans-serif" w:hAnsi="Times New Roman;sans-serif"/>
          <w:b w:val="false"/>
          <w:color w:val="000000"/>
          <w:sz w:val="24"/>
          <w:shd w:fill="FEFEFE" w:val="clear"/>
        </w:rPr>
      </w:pPr>
      <w:r>
        <w:rPr>
          <w:rFonts w:ascii="Times New Roman;sans-serif" w:hAnsi="Times New Roman;sans-serif"/>
          <w:b w:val="false"/>
          <w:color w:val="000000"/>
          <w:sz w:val="24"/>
          <w:shd w:fill="FEFEFE" w:val="clear"/>
        </w:rPr>
        <w:t>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may differ materially from those expressed or implied by these forward-looking statements as a result of risks and uncertainties impacting SoundHound’s business including, our ability to successfully launch and commercialize new products and services and derive significant revenue, our market opportunity and our ability to acquire new customers and retain existing customers, unexpected costs, charges or expenses resulting from our 2024 acquisitions, the ability of our 2024 acquisitions to be accretive on the company's financial results, and those other factors described in our risk factors set forth in our filings with the Securities and Exchange Commission from time to time, including our Annual Report on Form 10-K, Quarterly Reports on Form 10-Q and Current Reports on Form 8-K. We do not intend to update or alter our forward-looking statements, whether as a result of new information, future events or otherwise, except as required by applicable law.</w:t>
      </w:r>
    </w:p>
    <w:p>
      <w:pPr>
        <w:pStyle w:val="TextBody"/>
        <w:bidi w:val="0"/>
        <w:spacing w:lineRule="auto" w:line="288" w:before="100" w:after="16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Non-GAAP Measures of Financial Performance</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To supplement the company’s financial statements, which are presented on the basis of U.S. generally accepted accounting principles (GAAP), the following non-GAAP measures of financial performance are included in this release: non-GAAP gross profit, non-GAAP gross margin, adjusted EBITDA, non-GAAP net loss and non-GAAP earnings per share. </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The company believes that providing this non-GAAP information in addition to the GAAP financial information allows investors to view the financial results in the way the company views its operating results. The company also believes that providing this information allows investors to not only better understand the company's financial performance, but also, better evaluate the information used by management to evaluate and measure such performance. </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As such, the company believes that disclosing non-GAAP financial measures to the readers of its financial statements provides the reader with useful supplemental information that allows for greater transparency in the review of the company’s financial and operational performance. </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company defines its non-GAAP measures by excluding certain items:</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The company arrives at non-GAAP gross profit and non-GAAP gross margin by excluding (i) amortization of intangibles (including acquired intangible assets) and (ii) stock-based compensation. </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company arrives at adjusted EBITDA by excluding (i) total interest and other income/(expense), net, (ii) income taxes (benefits), (iii) depreciation and amortization expense (including acquired intangible assets), (iv) stock-based compensation, (v) change in fair value of contingent consideration for business acquisition, and (vi) acquisition-related costs.</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company arrives at non-GAAP net loss and non-GAAP net loss per share by excluding (i) depreciation and amortization expense (including acquired intangible assets), (ii) stock-based compensation, (iii) change in fair value of contingent consideration for business acquisition, (iv) acquisition-related costs, and (v) income tax effects related to acquisitions.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Reconciliations of GAAP to these adjusted non-GAAP financial measures are included in the tables below. When analyzing the company's operating results, investors should not consider non-GAAP measures as substitutes for the comparable financial measures prepared in accordance with GAAP.</w:t>
      </w:r>
    </w:p>
    <w:p>
      <w:pPr>
        <w:pStyle w:val="TextBody"/>
        <w:bidi w:val="0"/>
        <w:spacing w:lineRule="auto" w:line="288" w:before="100" w:after="3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To the extent that the company presents any forward-looking non-GAAP financial measures, the company does not present a quantitative reconciliation of such measures to the most directly comparable GAAP financial measure (or otherwise present such forward-looking GAAP measures) because it is impractical to do so.</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Third Quarter Reconciliation of GAAP Gross Profit to Non-GAAP Gross Profit and GAAP Gross Margin to Non-GAAP Gross Margin</w:t>
      </w:r>
    </w:p>
    <w:tbl>
      <w:tblPr>
        <w:tblW w:w="7607" w:type="dxa"/>
        <w:jc w:val="left"/>
        <w:tblInd w:w="0" w:type="dxa"/>
        <w:tblLayout w:type="fixed"/>
        <w:tblCellMar>
          <w:top w:w="28" w:type="dxa"/>
          <w:left w:w="28" w:type="dxa"/>
          <w:bottom w:w="28" w:type="dxa"/>
          <w:right w:w="28" w:type="dxa"/>
        </w:tblCellMar>
      </w:tblPr>
      <w:tblGrid>
        <w:gridCol w:w="982"/>
        <w:gridCol w:w="864"/>
        <w:gridCol w:w="868"/>
        <w:gridCol w:w="109"/>
        <w:gridCol w:w="109"/>
        <w:gridCol w:w="109"/>
        <w:gridCol w:w="615"/>
        <w:gridCol w:w="295"/>
        <w:gridCol w:w="295"/>
        <w:gridCol w:w="295"/>
        <w:gridCol w:w="295"/>
        <w:gridCol w:w="302"/>
        <w:gridCol w:w="109"/>
        <w:gridCol w:w="109"/>
        <w:gridCol w:w="109"/>
        <w:gridCol w:w="594"/>
        <w:gridCol w:w="285"/>
        <w:gridCol w:w="285"/>
        <w:gridCol w:w="285"/>
        <w:gridCol w:w="285"/>
        <w:gridCol w:w="408"/>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Three Months Ended</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September 30, 2023</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4"/>
              </w:rPr>
              <w:t>GAAP gross profit</w:t>
            </w:r>
            <w:r>
              <w:rPr>
                <w:rFonts w:ascii="Times New Roman;sans-serif" w:hAnsi="Times New Roman;sans-serif"/>
                <w:b/>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482"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12,193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548"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9,678</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Amortization of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98 </w:t>
            </w:r>
          </w:p>
        </w:tc>
        <w:tc>
          <w:tcPr>
            <w:tcW w:w="40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482"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14,983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548"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9,776</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72.9%</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73.7%</w:t>
            </w:r>
          </w:p>
        </w:tc>
      </w:tr>
    </w:tbl>
    <w:p>
      <w:pPr>
        <w:pStyle w:val="TextBody"/>
        <w:bidi w:val="0"/>
        <w:spacing w:lineRule="auto" w:line="288" w:before="100" w:after="360"/>
        <w:ind w:left="0" w:right="0" w:hanging="360"/>
        <w:jc w:val="both"/>
        <w:rPr/>
      </w:pPr>
      <w:r>
        <w:rPr>
          <w:rFonts w:ascii="Times New Roman;sans-serif" w:hAnsi="Times New Roman;sans-serif"/>
          <w:b w:val="false"/>
          <w:color w:val="000000"/>
          <w:sz w:val="16"/>
        </w:rPr>
        <w:t>1)</w:t>
      </w:r>
      <w:r>
        <w:rPr>
          <w:rFonts w:ascii="Times New Roman;sans-serif" w:hAnsi="Times New Roman;sans-serif"/>
          <w:b w:val="false"/>
          <w:color w:val="000000"/>
          <w:sz w:val="16"/>
          <w:shd w:fill="FEFEFE" w:val="clear"/>
        </w:rPr>
        <w:t>GAAP gross profit is calculated by subtracting the cost of revenues from revenues.</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Third Quarter Reconciliation of GAAP Net Loss to Non-GAAP Adjusted EBITDA</w:t>
      </w:r>
    </w:p>
    <w:tbl>
      <w:tblPr>
        <w:tblW w:w="10205" w:type="dxa"/>
        <w:jc w:val="left"/>
        <w:tblInd w:w="0" w:type="dxa"/>
        <w:tblLayout w:type="fixed"/>
        <w:tblCellMar>
          <w:top w:w="28" w:type="dxa"/>
          <w:left w:w="28" w:type="dxa"/>
          <w:bottom w:w="28" w:type="dxa"/>
          <w:right w:w="28" w:type="dxa"/>
        </w:tblCellMar>
      </w:tblPr>
      <w:tblGrid>
        <w:gridCol w:w="1847"/>
        <w:gridCol w:w="1552"/>
        <w:gridCol w:w="1560"/>
        <w:gridCol w:w="109"/>
        <w:gridCol w:w="109"/>
        <w:gridCol w:w="109"/>
        <w:gridCol w:w="586"/>
        <w:gridCol w:w="295"/>
        <w:gridCol w:w="285"/>
        <w:gridCol w:w="452"/>
        <w:gridCol w:w="455"/>
        <w:gridCol w:w="288"/>
        <w:gridCol w:w="109"/>
        <w:gridCol w:w="109"/>
        <w:gridCol w:w="109"/>
        <w:gridCol w:w="567"/>
        <w:gridCol w:w="285"/>
        <w:gridCol w:w="278"/>
        <w:gridCol w:w="353"/>
        <w:gridCol w:w="353"/>
        <w:gridCol w:w="395"/>
      </w:tblGrid>
      <w:tr>
        <w:trPr/>
        <w:tc>
          <w:tcPr>
            <w:tcW w:w="18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Three Months Ended</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September 30, 2023</w:t>
            </w:r>
          </w:p>
        </w:tc>
      </w:tr>
      <w:tr>
        <w:trPr/>
        <w:tc>
          <w:tcPr>
            <w:tcW w:w="4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487"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(21,751)</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269"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(20,197)</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Total other expense, net</w:t>
            </w: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(1,525)</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4,106 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Income taxes/(benefits)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(10,491)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1,561 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5,365 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530 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9,060 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6,692 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Change in fair value of contingent acquisition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(1,356)</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4,829 </w:t>
            </w:r>
          </w:p>
        </w:tc>
        <w:tc>
          <w:tcPr>
            <w:tcW w:w="28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487"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(15,869)</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269"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(7,308)</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360"/>
        <w:ind w:left="0" w:right="0" w:hanging="360"/>
        <w:jc w:val="both"/>
        <w:rPr/>
      </w:pPr>
      <w:r>
        <w:rPr>
          <w:rFonts w:ascii="Times New Roman;sans-serif" w:hAnsi="Times New Roman;sans-serif"/>
          <w:b w:val="false"/>
          <w:color w:val="000000"/>
          <w:sz w:val="16"/>
        </w:rPr>
        <w:t>1)</w:t>
      </w:r>
      <w:r>
        <w:rPr>
          <w:rFonts w:ascii="Times New Roman;sans-serif" w:hAnsi="Times New Roman;sans-serif"/>
          <w:b w:val="false"/>
          <w:color w:val="000000"/>
          <w:sz w:val="16"/>
          <w:shd w:fill="FEFEFE" w:val="clear"/>
        </w:rPr>
        <w:t>Includes other income (expe</w:t>
      </w:r>
      <w:r>
        <w:rPr>
          <w:rFonts w:ascii="Times New Roman;sans-serif" w:hAnsi="Times New Roman;sans-serif"/>
          <w:b w:val="false"/>
          <w:color w:val="000000"/>
          <w:sz w:val="16"/>
        </w:rPr>
        <w:t>nse), net of $2.6 and $1.3 million for the three months ended September 30, 2024 and 2023, respectively.</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Third Quarter Reconciliation of GAAP Net Loss to Non-GAAP Net Loss and Non-GAAP Net Loss Per Share</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46"/>
        <w:gridCol w:w="1570"/>
        <w:gridCol w:w="1579"/>
        <w:gridCol w:w="109"/>
        <w:gridCol w:w="109"/>
        <w:gridCol w:w="109"/>
        <w:gridCol w:w="527"/>
        <w:gridCol w:w="295"/>
        <w:gridCol w:w="265"/>
        <w:gridCol w:w="443"/>
        <w:gridCol w:w="446"/>
        <w:gridCol w:w="258"/>
        <w:gridCol w:w="109"/>
        <w:gridCol w:w="109"/>
        <w:gridCol w:w="109"/>
        <w:gridCol w:w="510"/>
        <w:gridCol w:w="285"/>
        <w:gridCol w:w="264"/>
        <w:gridCol w:w="382"/>
        <w:gridCol w:w="324"/>
        <w:gridCol w:w="357"/>
      </w:tblGrid>
      <w:tr>
        <w:trPr/>
        <w:tc>
          <w:tcPr>
            <w:tcW w:w="204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ans-serif" w:hAnsi="Times New Roman;sans-serif"/>
                <w:b/>
                <w:color w:val="000000"/>
                <w:sz w:val="24"/>
              </w:rPr>
            </w:pPr>
            <w:r>
              <w:rPr>
                <w:rFonts w:ascii="Times New Roman;sans-serif" w:hAnsi="Times New Roman;sans-serif"/>
                <w:b/>
                <w:color w:val="000000"/>
                <w:sz w:val="24"/>
              </w:rPr>
              <w:t>Three Months Ended</w:t>
            </w:r>
          </w:p>
          <w:p>
            <w:pPr>
              <w:pStyle w:val="TableContents"/>
              <w:bidi w:val="0"/>
              <w:spacing w:lineRule="auto" w:line="288" w:before="0" w:after="0"/>
              <w:ind w:left="0" w:right="0" w:hanging="0"/>
              <w:jc w:val="left"/>
              <w:rPr>
                <w:rFonts w:ascii="Times New Roman;sans-serif" w:hAnsi="Times New Roman;sans-serif"/>
                <w:b w:val="false"/>
                <w:color w:val="000000"/>
                <w:sz w:val="24"/>
              </w:rPr>
            </w:pPr>
            <w:r>
              <w:rPr>
                <w:rFonts w:ascii="Times New Roman;sans-serif" w:hAnsi="Times New Roman;sans-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September 30, 2023</w:t>
            </w:r>
          </w:p>
        </w:tc>
      </w:tr>
      <w:tr>
        <w:trPr/>
        <w:tc>
          <w:tcPr>
            <w:tcW w:w="5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GAAP net loss attributable to SoundHound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449"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(21,751)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255"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(20,844)</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5,365 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530 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9,060 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6,692 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Change in fair value of contingent acquisition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(1,356)</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4,829 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Income tax effects related to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(11,105)</w:t>
            </w:r>
          </w:p>
        </w:tc>
        <w:tc>
          <w:tcPr>
            <w:tcW w:w="25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Non-GAAP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449" w:type="dxa"/>
            <w:gridSpan w:val="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(14,958)</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255" w:type="dxa"/>
            <w:gridSpan w:val="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(13,622)</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4"/>
              </w:rPr>
              <w:t>GAAP net loss per share</w:t>
            </w:r>
            <w:r>
              <w:rPr>
                <w:rFonts w:ascii="Times New Roman;sans-serif" w:hAnsi="Times New Roman;sans-serif"/>
                <w:b/>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(0.06)</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(0.09)</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0.02 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0.03 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4"/>
              </w:rPr>
              <w:t>Non-GAAP net loss per share</w:t>
            </w:r>
            <w:r>
              <w:rPr>
                <w:rFonts w:ascii="Times New Roman;sans-serif" w:hAnsi="Times New Roman;sans-serif"/>
                <w:b/>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(0.04)</w:t>
            </w:r>
          </w:p>
        </w:tc>
        <w:tc>
          <w:tcPr>
            <w:tcW w:w="2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(0.06)</w:t>
            </w:r>
          </w:p>
        </w:tc>
        <w:tc>
          <w:tcPr>
            <w:tcW w:w="3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3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1)Weighted average common shares outstanding (basic and diluted) for the three months ended September 30, 2024 and 2023 were 360,385,812 and 242,022,268, respectively.</w:t>
      </w:r>
    </w:p>
    <w:p>
      <w:pPr>
        <w:pStyle w:val="TextBody"/>
        <w:bidi w:val="0"/>
        <w:spacing w:lineRule="auto" w:line="288" w:before="0" w:after="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Investors:</w:t>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Scott Smith</w:t>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408-724-1498</w:t>
      </w:r>
    </w:p>
    <w:p>
      <w:pPr>
        <w:pStyle w:val="TextBody"/>
        <w:bidi w:val="0"/>
        <w:spacing w:lineRule="auto" w:line="288" w:before="0" w:after="3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IR@SoundHound.com</w: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Media:</w:t>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Fiona McEvoy</w:t>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415-610-6590</w:t>
      </w:r>
    </w:p>
    <w:p>
      <w:pPr>
        <w:pStyle w:val="TextBody"/>
        <w:bidi w:val="0"/>
        <w:spacing w:lineRule="auto" w:line="288"/>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PR@SoundHound.com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079"/>
        <w:gridCol w:w="2547"/>
        <w:gridCol w:w="2542"/>
        <w:gridCol w:w="173"/>
        <w:gridCol w:w="549"/>
        <w:gridCol w:w="113"/>
        <w:gridCol w:w="109"/>
        <w:gridCol w:w="109"/>
        <w:gridCol w:w="109"/>
        <w:gridCol w:w="170"/>
        <w:gridCol w:w="541"/>
        <w:gridCol w:w="164"/>
      </w:tblGrid>
      <w:tr>
        <w:trPr/>
        <w:tc>
          <w:tcPr>
            <w:tcW w:w="307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w:t>
              <w:br/>
              <w:t>2023</w:t>
            </w:r>
          </w:p>
        </w:tc>
      </w:tr>
      <w:tr>
        <w:trPr/>
        <w:tc>
          <w:tcPr>
            <w:tcW w:w="8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ASSETS</w:t>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assets:</w:t>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and cash equivalents</w:t>
            </w:r>
          </w:p>
        </w:tc>
        <w:tc>
          <w:tcPr>
            <w:tcW w:w="1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135,606 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95,260 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Accounts receivable, net of allowances of $1,874 and $203 as of September 30, 2024 and December 31, 2023, respectively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Contract assets and unbilled receivable, net of allowance for credit losses of $118 and $17 of September 30, 2024 and December 31, 2023, respectively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24,639 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11,780 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current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current assets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181,209 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113,542 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Restricted cash equivalents, non-current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13,775 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Right-of-use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Property and equipment,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Goodwill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111,730 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Intangible assets,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182,579 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tax asset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Contract assets and unbilled receivable, non-current, net of allowance for credit losses of $195 and $177 of September 30, 2024 and December 31, 2023, respectively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14,596 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16,492 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non-current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assets</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499,654 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151,122 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LIABILITIES AND STOCKHOLDERS’ EQUITY</w:t>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liabilities:</w:t>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Accounts payable</w:t>
            </w:r>
          </w:p>
        </w:tc>
        <w:tc>
          <w:tcPr>
            <w:tcW w:w="1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17,758 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Accrued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22,599 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13,884 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Finance lease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Income tax liability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revenue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20,096 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2"/>
              </w:rPr>
              <w:t>Other current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current liabilities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70,178 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24,223 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 net of current portion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revenue, net of current portion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7,570 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Long-term debt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39,694 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84,312 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Contingent acquisition liabilities (Note 17)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74,450 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Income tax liability, net of current portion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non-current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liabilities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203,667 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122,954 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Commitments and contingencies (Note 7)</w:t>
            </w:r>
          </w:p>
        </w:tc>
        <w:tc>
          <w:tcPr>
            <w:tcW w:w="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Stockholders’ equity:</w:t>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Series A Preferred Stock, $0.0001 par value; 1,000,000 shares authorized; 0 and 475,005 shares issued and outstanding, aggregate liquidation preference of $0 and $16,227 as of September 30, 2024 and December 31, 2023, respectively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14,187 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Class A Common Stock, $0.0001 par value; 455,000,000 shares authorized; 336,481,401 and 216,943,349 shares issued and outstanding as of September 30, 2024 and December 31, 2023, respectively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Class B Common Stock, $0.0001 par value; 44,000,000 shares authorized; 32,735,408 and 37,485,408 shares issued and outstanding as of September 30, 2024 and December 31, 2023, respectively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Additional paid-in capital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980,150 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606,135 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Accumulated deficit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(684,461)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(592,379)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Accumulated other comprehensive income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stockholders’ equity</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295,987 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28,168 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liabilities and stockholders’ equity</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499,654 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151,122 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data)</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84"/>
        <w:gridCol w:w="1199"/>
        <w:gridCol w:w="1214"/>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6"/>
      </w:tblGrid>
      <w:tr>
        <w:trPr/>
        <w:tc>
          <w:tcPr>
            <w:tcW w:w="158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acquisition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dividends attributable to Series A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SoundHound common shareholders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(73,140)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360,385,812 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242,022,268 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326,166,633 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222,760,880 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0194" w:type="dxa"/>
        <w:jc w:val="center"/>
        <w:tblInd w:w="0" w:type="dxa"/>
        <w:tblLayout w:type="fixed"/>
        <w:tblCellMar>
          <w:top w:w="28" w:type="dxa"/>
          <w:left w:w="28" w:type="dxa"/>
          <w:bottom w:w="28" w:type="dxa"/>
          <w:right w:w="28" w:type="dxa"/>
        </w:tblCellMar>
      </w:tblPr>
      <w:tblGrid>
        <w:gridCol w:w="2803"/>
        <w:gridCol w:w="2459"/>
        <w:gridCol w:w="2478"/>
        <w:gridCol w:w="196"/>
        <w:gridCol w:w="736"/>
        <w:gridCol w:w="109"/>
        <w:gridCol w:w="109"/>
        <w:gridCol w:w="109"/>
        <w:gridCol w:w="109"/>
        <w:gridCol w:w="196"/>
        <w:gridCol w:w="736"/>
        <w:gridCol w:w="154"/>
      </w:tblGrid>
      <w:tr>
        <w:trPr/>
        <w:tc>
          <w:tcPr>
            <w:tcW w:w="280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used in 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change in fair value of ELOC program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gain/loss from remeasurement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contingent acquisition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early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used in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related to acquisitions,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provided by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issuance of Series A Preferred Stock, net of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Class A common stock under the ELOC program, net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sales of Class A common stock under the Sales Agreement and Equity Distribution Agreement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 and 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Payment of financing costs associated with the Sales Agreement and Equity Distribution Agreement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issuance of debt, net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Term Loan and Amelia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to settle contingent holdback liabilities from SYNQ3 acquisition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Effects of exchange rate changes on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cash equivalents, and restricted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03"/>
        <w:gridCol w:w="2459"/>
        <w:gridCol w:w="2473"/>
        <w:gridCol w:w="196"/>
        <w:gridCol w:w="736"/>
        <w:gridCol w:w="109"/>
        <w:gridCol w:w="109"/>
        <w:gridCol w:w="109"/>
        <w:gridCol w:w="109"/>
        <w:gridCol w:w="211"/>
        <w:gridCol w:w="736"/>
        <w:gridCol w:w="155"/>
      </w:tblGrid>
      <w:tr>
        <w:trPr/>
        <w:tc>
          <w:tcPr>
            <w:tcW w:w="280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to amounts on the condensed consolidated balance sheets: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restricted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88" w:before="0" w:after="8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equivalents shown in the condensed consolidated statements of cash flows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Series A Preferred Stock to Class A 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to settle commitment shares related to the ELOC program</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to settle obligations under Amelia Debt</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to settle contingent holdback consideration of SYNQ3 acquisition</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offering costs reclassified to additional paid-in capital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debt discount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acquired under accrued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Class A common stock and deferred equity consideration issued for SYNQ3 acquisition</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contingent earnout consideration under SYNQ3 and Amelia acquisitions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contingent holdback consideration under SYNQ3 acquisition</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deferred cash consideration under other acquisition</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3999</Words>
  <Characters>23383</Characters>
  <CharactersWithSpaces>26869</CharactersWithSpaces>
  <Paragraphs>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