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-246380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ind w:left="480"/>
        <w:spacing w:after="0"/>
        <w:rPr>
          <w:sz w:val="20"/>
          <w:szCs w:val="20"/>
          <w:color w:val="auto"/>
        </w:rPr>
      </w:pPr>
      <w:r>
        <w:rPr>
          <w:rFonts w:ascii="Arial" w:cs="Arial" w:eastAsia="Arial" w:hAnsi="Arial"/>
          <w:sz w:val="22"/>
          <w:szCs w:val="22"/>
          <w:b w:val="1"/>
          <w:bCs w:val="1"/>
          <w:color w:val="auto"/>
        </w:rPr>
        <w:t>UNITED STATES SECURITIES AND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5184140</wp:posOffset>
            </wp:positionH>
            <wp:positionV relativeFrom="paragraph">
              <wp:posOffset>1905</wp:posOffset>
            </wp:positionV>
            <wp:extent cx="59690" cy="669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92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1905</wp:posOffset>
            </wp:positionV>
            <wp:extent cx="59690" cy="669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92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43"/>
        </w:trPr>
        <w:tc>
          <w:tcPr>
            <w:tcW w:w="6180" w:type="dxa"/>
            <w:vAlign w:val="bottom"/>
            <w:vMerge w:val="restart"/>
          </w:tcPr>
          <w:p>
            <w:pPr>
              <w:jc w:val="center"/>
              <w:ind w:right="265"/>
              <w:spacing w:after="0" w:line="236" w:lineRule="exact"/>
              <w:rPr>
                <w:sz w:val="20"/>
                <w:szCs w:val="20"/>
                <w:color w:val="auto"/>
              </w:rPr>
            </w:pPr>
            <w:r>
              <w:rPr>
                <w:rFonts w:ascii="Arial" w:cs="Arial" w:eastAsia="Arial" w:hAnsi="Arial"/>
                <w:sz w:val="22"/>
                <w:szCs w:val="22"/>
                <w:b w:val="1"/>
                <w:bCs w:val="1"/>
                <w:color w:val="auto"/>
                <w:w w:val="98"/>
              </w:rPr>
              <w:t>COMMISSION</w:t>
            </w:r>
          </w:p>
        </w:tc>
        <w:tc>
          <w:tcPr>
            <w:tcW w:w="40" w:type="dxa"/>
            <w:vAlign w:val="bottom"/>
            <w:tcBorders>
              <w:top w:val="single" w:sz="8" w:color="808080"/>
            </w:tcBorders>
          </w:tcPr>
          <w:p>
            <w:pPr>
              <w:spacing w:after="0"/>
              <w:rPr>
                <w:sz w:val="3"/>
                <w:szCs w:val="3"/>
                <w:color w:val="auto"/>
              </w:rPr>
            </w:pPr>
          </w:p>
        </w:tc>
        <w:tc>
          <w:tcPr>
            <w:tcW w:w="198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61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020" w:type="dxa"/>
            <w:vAlign w:val="bottom"/>
            <w:gridSpan w:val="3"/>
          </w:tcPr>
          <w:p>
            <w:pPr>
              <w:ind w:left="300"/>
              <w:spacing w:after="0" w:line="172" w:lineRule="exact"/>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51"/>
        </w:trPr>
        <w:tc>
          <w:tcPr>
            <w:tcW w:w="6180" w:type="dxa"/>
            <w:vAlign w:val="bottom"/>
            <w:vMerge w:val="restart"/>
          </w:tcPr>
          <w:p>
            <w:pPr>
              <w:jc w:val="center"/>
              <w:ind w:right="265"/>
              <w:spacing w:after="0"/>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618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61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vMerge w:val="restart"/>
          </w:tcPr>
          <w:p>
            <w:pPr>
              <w:jc w:val="right"/>
              <w:ind w:right="19"/>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6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180" w:type="dxa"/>
            <w:vAlign w:val="bottom"/>
            <w:vMerge w:val="restart"/>
          </w:tcPr>
          <w:p>
            <w:pPr>
              <w:jc w:val="center"/>
              <w:ind w:right="265"/>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rPr>
                <w:sz w:val="16"/>
                <w:szCs w:val="16"/>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61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9"/>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1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5" w:lineRule="exact"/>
        <w:rPr>
          <w:sz w:val="24"/>
          <w:szCs w:val="24"/>
          <w:color w:val="auto"/>
        </w:rPr>
      </w:pPr>
    </w:p>
    <w:p>
      <w:pPr>
        <w:jc w:val="center"/>
        <w:ind w:right="2580"/>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ind w:right="25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-1708785</wp:posOffset>
            </wp:positionH>
            <wp:positionV relativeFrom="paragraph">
              <wp:posOffset>13970</wp:posOffset>
            </wp:positionV>
            <wp:extent cx="6987540" cy="54933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7540" cy="5493385"/>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40" w:space="440"/>
            <w:col w:w="8400"/>
          </w:cols>
          <w:pgMar w:left="460" w:top="226"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STONEHOCKER TIMOTHY</w:t>
        </w:r>
      </w:hyperlink>
    </w:p>
    <w:p>
      <w:pPr>
        <w:spacing w:after="0" w:line="308" w:lineRule="exact"/>
        <w:rPr>
          <w:sz w:val="24"/>
          <w:szCs w:val="24"/>
          <w:color w:val="auto"/>
        </w:rPr>
      </w:pPr>
    </w:p>
    <w:p>
      <w:pPr>
        <w:ind w:left="120"/>
        <w:spacing w:after="0"/>
        <w:tabs>
          <w:tab w:leader="none" w:pos="1340" w:val="left"/>
          <w:tab w:leader="none" w:pos="256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71" w:lineRule="exact"/>
        <w:rPr>
          <w:sz w:val="24"/>
          <w:szCs w:val="24"/>
          <w:color w:val="auto"/>
        </w:rPr>
      </w:pPr>
    </w:p>
    <w:p>
      <w:pPr>
        <w:ind w:left="120" w:right="580"/>
        <w:spacing w:after="0" w:line="268" w:lineRule="auto"/>
        <w:rPr>
          <w:sz w:val="20"/>
          <w:szCs w:val="20"/>
          <w:color w:val="auto"/>
        </w:rPr>
      </w:pPr>
      <w:r>
        <w:rPr>
          <w:rFonts w:ascii="Arial" w:cs="Arial" w:eastAsia="Arial" w:hAnsi="Arial"/>
          <w:sz w:val="18"/>
          <w:szCs w:val="18"/>
          <w:color w:val="0000FF"/>
        </w:rPr>
        <w:t>C/O SOUNDHOUND 5400 BETSY ROSS DRIVE</w:t>
      </w:r>
    </w:p>
    <w:p>
      <w:pPr>
        <w:spacing w:after="0" w:line="306"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9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40" w:type="dxa"/>
            <w:vAlign w:val="bottom"/>
          </w:tcPr>
          <w:p>
            <w:pPr>
              <w:spacing w:after="0"/>
              <w:rPr>
                <w:sz w:val="20"/>
                <w:szCs w:val="20"/>
                <w:color w:val="auto"/>
              </w:rPr>
            </w:pPr>
          </w:p>
        </w:tc>
        <w:tc>
          <w:tcPr>
            <w:tcW w:w="920" w:type="dxa"/>
            <w:vAlign w:val="bottom"/>
          </w:tcPr>
          <w:p>
            <w:pPr>
              <w:spacing w:after="0"/>
              <w:rPr>
                <w:sz w:val="20"/>
                <w:szCs w:val="20"/>
                <w:color w:val="auto"/>
              </w:rPr>
            </w:pPr>
            <w:r>
              <w:rPr>
                <w:rFonts w:ascii="Arial" w:cs="Arial" w:eastAsia="Arial" w:hAnsi="Arial"/>
                <w:sz w:val="18"/>
                <w:szCs w:val="18"/>
                <w:color w:val="0000FF"/>
              </w:rPr>
              <w:t>SANTA</w:t>
            </w:r>
          </w:p>
        </w:tc>
        <w:tc>
          <w:tcPr>
            <w:tcW w:w="1120" w:type="dxa"/>
            <w:vAlign w:val="bottom"/>
            <w:vMerge w:val="restart"/>
          </w:tcPr>
          <w:p>
            <w:pPr>
              <w:ind w:left="320"/>
              <w:spacing w:after="0"/>
              <w:rPr>
                <w:sz w:val="20"/>
                <w:szCs w:val="20"/>
                <w:color w:val="auto"/>
              </w:rPr>
            </w:pPr>
            <w:r>
              <w:rPr>
                <w:rFonts w:ascii="Arial" w:cs="Arial" w:eastAsia="Arial" w:hAnsi="Arial"/>
                <w:sz w:val="18"/>
                <w:szCs w:val="18"/>
                <w:color w:val="0000FF"/>
              </w:rPr>
              <w:t>CA</w:t>
            </w:r>
          </w:p>
        </w:tc>
        <w:tc>
          <w:tcPr>
            <w:tcW w:w="1600" w:type="dxa"/>
            <w:vAlign w:val="bottom"/>
            <w:vMerge w:val="restart"/>
          </w:tcPr>
          <w:p>
            <w:pPr>
              <w:ind w:left="420"/>
              <w:spacing w:after="0"/>
              <w:rPr>
                <w:sz w:val="20"/>
                <w:szCs w:val="20"/>
                <w:color w:val="auto"/>
              </w:rPr>
            </w:pPr>
            <w:r>
              <w:rPr>
                <w:rFonts w:ascii="Arial" w:cs="Arial" w:eastAsia="Arial" w:hAnsi="Arial"/>
                <w:sz w:val="18"/>
                <w:szCs w:val="18"/>
                <w:color w:val="0000FF"/>
              </w:rPr>
              <w:t>95054</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920" w:type="dxa"/>
            <w:vAlign w:val="bottom"/>
            <w:vMerge w:val="restart"/>
          </w:tcPr>
          <w:p>
            <w:pPr>
              <w:spacing w:after="0"/>
              <w:rPr>
                <w:sz w:val="20"/>
                <w:szCs w:val="20"/>
                <w:color w:val="auto"/>
              </w:rPr>
            </w:pPr>
            <w:r>
              <w:rPr>
                <w:rFonts w:ascii="Arial" w:cs="Arial" w:eastAsia="Arial" w:hAnsi="Arial"/>
                <w:sz w:val="18"/>
                <w:szCs w:val="18"/>
                <w:color w:val="0000FF"/>
              </w:rPr>
              <w:t>CLARA</w:t>
            </w:r>
          </w:p>
        </w:tc>
        <w:tc>
          <w:tcPr>
            <w:tcW w:w="1120" w:type="dxa"/>
            <w:vAlign w:val="bottom"/>
            <w:vMerge w:val="continue"/>
          </w:tcPr>
          <w:p>
            <w:pPr>
              <w:spacing w:after="0"/>
              <w:rPr>
                <w:sz w:val="9"/>
                <w:szCs w:val="9"/>
                <w:color w:val="auto"/>
              </w:rPr>
            </w:pPr>
          </w:p>
        </w:tc>
        <w:tc>
          <w:tcPr>
            <w:tcW w:w="1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92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4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4"/>
                <w:szCs w:val="14"/>
                <w:color w:val="auto"/>
              </w:rPr>
              <w:t>(City)</w:t>
            </w:r>
          </w:p>
        </w:tc>
        <w:tc>
          <w:tcPr>
            <w:tcW w:w="1120" w:type="dxa"/>
            <w:vAlign w:val="bottom"/>
          </w:tcPr>
          <w:p>
            <w:pPr>
              <w:ind w:left="320"/>
              <w:spacing w:after="0"/>
              <w:rPr>
                <w:sz w:val="20"/>
                <w:szCs w:val="20"/>
                <w:color w:val="auto"/>
              </w:rPr>
            </w:pPr>
            <w:r>
              <w:rPr>
                <w:rFonts w:ascii="Arial" w:cs="Arial" w:eastAsia="Arial" w:hAnsi="Arial"/>
                <w:sz w:val="14"/>
                <w:szCs w:val="14"/>
                <w:color w:val="auto"/>
              </w:rPr>
              <w:t>(State)</w:t>
            </w:r>
          </w:p>
        </w:tc>
        <w:tc>
          <w:tcPr>
            <w:tcW w:w="1600" w:type="dxa"/>
            <w:vAlign w:val="bottom"/>
          </w:tcPr>
          <w:p>
            <w:pPr>
              <w:ind w:left="420"/>
              <w:spacing w:after="0"/>
              <w:rPr>
                <w:sz w:val="20"/>
                <w:szCs w:val="20"/>
                <w:color w:val="auto"/>
              </w:rPr>
            </w:pPr>
            <w:r>
              <w:rPr>
                <w:rFonts w:ascii="Arial" w:cs="Arial" w:eastAsia="Arial" w:hAnsi="Arial"/>
                <w:sz w:val="14"/>
                <w:szCs w:val="14"/>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6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SOUNDHOUND AI,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SOUN</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60"/>
              <w:spacing w:after="0"/>
              <w:rPr>
                <w:sz w:val="20"/>
                <w:szCs w:val="20"/>
                <w:color w:val="auto"/>
              </w:rPr>
            </w:pPr>
            <w:r>
              <w:rPr>
                <w:rFonts w:ascii="Arial" w:cs="Arial" w:eastAsia="Arial" w:hAnsi="Arial"/>
                <w:sz w:val="14"/>
                <w:szCs w:val="14"/>
                <w:color w:val="auto"/>
              </w:rPr>
              <w:t>(Check all applicable)</w:t>
            </w: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200" w:type="dxa"/>
            <w:vAlign w:val="bottom"/>
            <w:tcBorders>
              <w:bottom w:val="single" w:sz="8" w:color="0000EE"/>
            </w:tcBorders>
          </w:tcPr>
          <w:p>
            <w:pPr>
              <w:spacing w:after="0"/>
              <w:rPr>
                <w:sz w:val="3"/>
                <w:szCs w:val="3"/>
                <w:color w:val="auto"/>
              </w:rPr>
            </w:pPr>
          </w:p>
        </w:tc>
        <w:tc>
          <w:tcPr>
            <w:tcW w:w="14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380" w:type="dxa"/>
            <w:vAlign w:val="bottom"/>
            <w:vMerge w:val="restart"/>
          </w:tcPr>
          <w:p>
            <w:pPr>
              <w:ind w:left="100"/>
              <w:spacing w:after="0"/>
              <w:rPr>
                <w:sz w:val="20"/>
                <w:szCs w:val="20"/>
                <w:color w:val="auto"/>
              </w:rPr>
            </w:pPr>
            <w:r>
              <w:rPr>
                <w:rFonts w:ascii="Arial" w:cs="Arial" w:eastAsia="Arial" w:hAnsi="Arial"/>
                <w:sz w:val="14"/>
                <w:szCs w:val="14"/>
                <w:color w:val="auto"/>
              </w:rPr>
              <w:t>Director</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28"/>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80" w:type="dxa"/>
            <w:vAlign w:val="bottom"/>
            <w:vMerge w:val="continue"/>
          </w:tcPr>
          <w:p>
            <w:pPr>
              <w:spacing w:after="0"/>
              <w:rPr>
                <w:sz w:val="11"/>
                <w:szCs w:val="11"/>
                <w:color w:val="auto"/>
              </w:rPr>
            </w:pPr>
          </w:p>
        </w:tc>
        <w:tc>
          <w:tcPr>
            <w:tcW w:w="1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2200" w:type="dxa"/>
            <w:vAlign w:val="bottom"/>
            <w:tcBorders>
              <w:bottom w:val="single" w:sz="8" w:color="2C2C2C"/>
            </w:tcBorders>
          </w:tcPr>
          <w:p>
            <w:pPr>
              <w:spacing w:after="0"/>
              <w:rPr>
                <w:sz w:val="7"/>
                <w:szCs w:val="7"/>
                <w:color w:val="auto"/>
              </w:rPr>
            </w:pPr>
          </w:p>
        </w:tc>
        <w:tc>
          <w:tcPr>
            <w:tcW w:w="1440" w:type="dxa"/>
            <w:vAlign w:val="bottom"/>
            <w:tcBorders>
              <w:bottom w:val="single" w:sz="8" w:color="2C2C2C"/>
            </w:tcBorders>
          </w:tcPr>
          <w:p>
            <w:pPr>
              <w:spacing w:after="0"/>
              <w:rPr>
                <w:sz w:val="7"/>
                <w:szCs w:val="7"/>
                <w:color w:val="auto"/>
              </w:rPr>
            </w:pPr>
          </w:p>
        </w:tc>
        <w:tc>
          <w:tcPr>
            <w:tcW w:w="480" w:type="dxa"/>
            <w:vAlign w:val="bottom"/>
            <w:vMerge w:val="restart"/>
          </w:tcPr>
          <w:p>
            <w:pPr>
              <w:ind w:left="260"/>
              <w:spacing w:after="0"/>
              <w:rPr>
                <w:sz w:val="20"/>
                <w:szCs w:val="20"/>
                <w:color w:val="auto"/>
              </w:rPr>
            </w:pPr>
            <w:r>
              <w:rPr>
                <w:rFonts w:ascii="Arial" w:cs="Arial" w:eastAsia="Arial" w:hAnsi="Arial"/>
                <w:sz w:val="18"/>
                <w:szCs w:val="18"/>
                <w:color w:val="0000FF"/>
              </w:rPr>
              <w:t>X</w:t>
            </w:r>
          </w:p>
        </w:tc>
        <w:tc>
          <w:tcPr>
            <w:tcW w:w="1380" w:type="dxa"/>
            <w:vAlign w:val="bottom"/>
            <w:vMerge w:val="restart"/>
          </w:tcPr>
          <w:p>
            <w:pPr>
              <w:ind w:left="100"/>
              <w:spacing w:after="0"/>
              <w:rPr>
                <w:sz w:val="20"/>
                <w:szCs w:val="20"/>
                <w:color w:val="auto"/>
              </w:rPr>
            </w:pPr>
            <w:r>
              <w:rPr>
                <w:rFonts w:ascii="Arial" w:cs="Arial" w:eastAsia="Arial" w:hAnsi="Arial"/>
                <w:sz w:val="14"/>
                <w:szCs w:val="14"/>
                <w:color w:val="auto"/>
              </w:rPr>
              <w:t>Officer (give title</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0"/>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480" w:type="dxa"/>
            <w:vAlign w:val="bottom"/>
            <w:vMerge w:val="continue"/>
          </w:tcPr>
          <w:p>
            <w:pPr>
              <w:spacing w:after="0"/>
              <w:rPr>
                <w:sz w:val="6"/>
                <w:szCs w:val="6"/>
                <w:color w:val="auto"/>
              </w:rPr>
            </w:pPr>
          </w:p>
        </w:tc>
        <w:tc>
          <w:tcPr>
            <w:tcW w:w="1380" w:type="dxa"/>
            <w:vAlign w:val="bottom"/>
            <w:vMerge w:val="continue"/>
          </w:tcPr>
          <w:p>
            <w:pPr>
              <w:spacing w:after="0"/>
              <w:rPr>
                <w:sz w:val="6"/>
                <w:szCs w:val="6"/>
                <w:color w:val="auto"/>
              </w:rPr>
            </w:pPr>
          </w:p>
        </w:tc>
        <w:tc>
          <w:tcPr>
            <w:tcW w:w="14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2"/>
        </w:trPr>
        <w:tc>
          <w:tcPr>
            <w:tcW w:w="200" w:type="dxa"/>
            <w:vAlign w:val="bottom"/>
            <w:gridSpan w:val="2"/>
            <w:vMerge w:val="continue"/>
          </w:tcPr>
          <w:p>
            <w:pPr>
              <w:spacing w:after="0"/>
              <w:rPr>
                <w:sz w:val="11"/>
                <w:szCs w:val="11"/>
                <w:color w:val="auto"/>
              </w:rPr>
            </w:pPr>
          </w:p>
        </w:tc>
        <w:tc>
          <w:tcPr>
            <w:tcW w:w="3640" w:type="dxa"/>
            <w:vAlign w:val="bottom"/>
            <w:gridSpan w:val="2"/>
            <w:vMerge w:val="continue"/>
          </w:tcPr>
          <w:p>
            <w:pPr>
              <w:spacing w:after="0"/>
              <w:rPr>
                <w:sz w:val="11"/>
                <w:szCs w:val="11"/>
                <w:color w:val="auto"/>
              </w:rPr>
            </w:pPr>
          </w:p>
        </w:tc>
        <w:tc>
          <w:tcPr>
            <w:tcW w:w="480" w:type="dxa"/>
            <w:vAlign w:val="bottom"/>
            <w:vMerge w:val="continue"/>
          </w:tcPr>
          <w:p>
            <w:pPr>
              <w:spacing w:after="0"/>
              <w:rPr>
                <w:sz w:val="11"/>
                <w:szCs w:val="11"/>
                <w:color w:val="auto"/>
              </w:rPr>
            </w:pPr>
          </w:p>
        </w:tc>
        <w:tc>
          <w:tcPr>
            <w:tcW w:w="1380" w:type="dxa"/>
            <w:vAlign w:val="bottom"/>
          </w:tcPr>
          <w:p>
            <w:pPr>
              <w:ind w:left="100"/>
              <w:spacing w:after="0" w:line="133" w:lineRule="exact"/>
              <w:rPr>
                <w:sz w:val="20"/>
                <w:szCs w:val="20"/>
                <w:color w:val="auto"/>
              </w:rPr>
            </w:pPr>
            <w:r>
              <w:rPr>
                <w:rFonts w:ascii="Arial" w:cs="Arial" w:eastAsia="Arial" w:hAnsi="Arial"/>
                <w:sz w:val="14"/>
                <w:szCs w:val="14"/>
                <w:color w:val="auto"/>
              </w:rPr>
              <w:t>below)</w:t>
            </w:r>
          </w:p>
        </w:tc>
        <w:tc>
          <w:tcPr>
            <w:tcW w:w="1420" w:type="dxa"/>
            <w:vAlign w:val="bottom"/>
          </w:tcPr>
          <w:p>
            <w:pPr>
              <w:ind w:left="280"/>
              <w:spacing w:after="0" w:line="133"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223"/>
        </w:trPr>
        <w:tc>
          <w:tcPr>
            <w:tcW w:w="2400" w:type="dxa"/>
            <w:vAlign w:val="bottom"/>
            <w:gridSpan w:val="3"/>
          </w:tcPr>
          <w:p>
            <w:pPr>
              <w:ind w:left="80"/>
              <w:spacing w:after="0"/>
              <w:rPr>
                <w:sz w:val="20"/>
                <w:szCs w:val="20"/>
                <w:color w:val="auto"/>
              </w:rPr>
            </w:pPr>
            <w:r>
              <w:rPr>
                <w:rFonts w:ascii="Arial" w:cs="Arial" w:eastAsia="Arial" w:hAnsi="Arial"/>
                <w:sz w:val="18"/>
                <w:szCs w:val="18"/>
                <w:color w:val="0000FF"/>
              </w:rPr>
              <w:t>06/13/2023</w:t>
            </w:r>
          </w:p>
        </w:tc>
        <w:tc>
          <w:tcPr>
            <w:tcW w:w="14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00" w:type="dxa"/>
            <w:vAlign w:val="bottom"/>
            <w:gridSpan w:val="2"/>
            <w:vMerge w:val="restart"/>
          </w:tcPr>
          <w:p>
            <w:pPr>
              <w:ind w:left="260"/>
              <w:spacing w:after="0"/>
              <w:rPr>
                <w:sz w:val="20"/>
                <w:szCs w:val="20"/>
                <w:color w:val="auto"/>
              </w:rPr>
            </w:pPr>
            <w:r>
              <w:rPr>
                <w:rFonts w:ascii="Arial" w:cs="Arial" w:eastAsia="Arial" w:hAnsi="Arial"/>
                <w:sz w:val="18"/>
                <w:szCs w:val="18"/>
                <w:color w:val="0000FF"/>
              </w:rPr>
              <w:t>Chief Technology Officer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0" w:type="dxa"/>
            <w:vAlign w:val="bottom"/>
          </w:tcPr>
          <w:p>
            <w:pPr>
              <w:spacing w:after="0"/>
              <w:rPr>
                <w:sz w:val="6"/>
                <w:szCs w:val="6"/>
                <w:color w:val="auto"/>
              </w:rPr>
            </w:pPr>
          </w:p>
        </w:tc>
        <w:tc>
          <w:tcPr>
            <w:tcW w:w="1440" w:type="dxa"/>
            <w:vAlign w:val="bottom"/>
          </w:tcPr>
          <w:p>
            <w:pPr>
              <w:spacing w:after="0"/>
              <w:rPr>
                <w:sz w:val="6"/>
                <w:szCs w:val="6"/>
                <w:color w:val="auto"/>
              </w:rPr>
            </w:pPr>
          </w:p>
        </w:tc>
        <w:tc>
          <w:tcPr>
            <w:tcW w:w="48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200" w:type="dxa"/>
            <w:vAlign w:val="bottom"/>
            <w:tcBorders>
              <w:bottom w:val="single" w:sz="8" w:color="2C2C2C"/>
            </w:tcBorders>
          </w:tcPr>
          <w:p>
            <w:pPr>
              <w:spacing w:after="0"/>
              <w:rPr>
                <w:sz w:val="9"/>
                <w:szCs w:val="9"/>
                <w:color w:val="auto"/>
              </w:rPr>
            </w:pPr>
          </w:p>
        </w:tc>
        <w:tc>
          <w:tcPr>
            <w:tcW w:w="1440" w:type="dxa"/>
            <w:vAlign w:val="bottom"/>
            <w:tcBorders>
              <w:bottom w:val="single" w:sz="8" w:color="2C2C2C"/>
            </w:tcBorders>
          </w:tcPr>
          <w:p>
            <w:pPr>
              <w:spacing w:after="0"/>
              <w:rPr>
                <w:sz w:val="9"/>
                <w:szCs w:val="9"/>
                <w:color w:val="auto"/>
              </w:rPr>
            </w:pPr>
          </w:p>
        </w:tc>
        <w:tc>
          <w:tcPr>
            <w:tcW w:w="3280" w:type="dxa"/>
            <w:vAlign w:val="bottom"/>
            <w:tcBorders>
              <w:bottom w:val="single" w:sz="8" w:color="2C2C2C"/>
            </w:tcBorders>
            <w:gridSpan w:val="3"/>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4"/>
                <w:szCs w:val="14"/>
                <w:color w:val="auto"/>
                <w:w w:val="99"/>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4"/>
          <w:szCs w:val="14"/>
          <w:color w:val="auto"/>
        </w:rPr>
        <w:t>Line)</w:t>
      </w:r>
    </w:p>
    <w:p>
      <w:pPr>
        <w:ind w:left="4100"/>
        <w:spacing w:after="0" w:line="223" w:lineRule="auto"/>
        <w:tabs>
          <w:tab w:leader="none" w:pos="44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94" w:lineRule="exact"/>
        <w:rPr>
          <w:sz w:val="24"/>
          <w:szCs w:val="24"/>
          <w:color w:val="auto"/>
        </w:rPr>
      </w:pPr>
    </w:p>
    <w:p>
      <w:pPr>
        <w:ind w:left="4440"/>
        <w:spacing w:after="0"/>
        <w:rPr>
          <w:sz w:val="20"/>
          <w:szCs w:val="20"/>
          <w:color w:val="auto"/>
        </w:rPr>
      </w:pPr>
      <w:r>
        <w:rPr>
          <w:rFonts w:ascii="Arial" w:cs="Arial" w:eastAsia="Arial" w:hAnsi="Arial"/>
          <w:sz w:val="14"/>
          <w:szCs w:val="14"/>
          <w:color w:val="auto"/>
        </w:rPr>
        <w:t>Form filed by More than One Reporting</w:t>
      </w:r>
    </w:p>
    <w:p>
      <w:pPr>
        <w:ind w:left="4440"/>
        <w:spacing w:after="0"/>
        <w:rPr>
          <w:sz w:val="20"/>
          <w:szCs w:val="20"/>
          <w:color w:val="auto"/>
        </w:rPr>
      </w:pPr>
      <w:r>
        <w:rPr>
          <w:rFonts w:ascii="Arial" w:cs="Arial" w:eastAsia="Arial" w:hAnsi="Arial"/>
          <w:sz w:val="14"/>
          <w:szCs w:val="14"/>
          <w:color w:val="auto"/>
        </w:rPr>
        <w:t>Person</w:t>
      </w:r>
    </w:p>
    <w:p>
      <w:pPr>
        <w:spacing w:after="0" w:line="142" w:lineRule="exact"/>
        <w:rPr>
          <w:sz w:val="24"/>
          <w:szCs w:val="24"/>
          <w:color w:val="auto"/>
        </w:rPr>
      </w:pPr>
    </w:p>
    <w:p>
      <w:pPr>
        <w:ind w:left="80"/>
        <w:spacing w:after="0"/>
        <w:rPr>
          <w:sz w:val="20"/>
          <w:szCs w:val="20"/>
          <w:color w:val="auto"/>
        </w:rPr>
      </w:pPr>
      <w:r>
        <w:rPr>
          <w:rFonts w:ascii="Arial" w:cs="Arial" w:eastAsia="Arial" w:hAnsi="Arial"/>
          <w:sz w:val="22"/>
          <w:szCs w:val="22"/>
          <w:color w:val="auto"/>
        </w:rPr>
        <w:t>Rule 10b5-1(c) Transaction Indication</w:t>
      </w:r>
    </w:p>
    <w:p>
      <w:pPr>
        <w:spacing w:after="0" w:line="219" w:lineRule="exact"/>
        <w:rPr>
          <w:sz w:val="24"/>
          <w:szCs w:val="24"/>
          <w:color w:val="auto"/>
        </w:rPr>
      </w:pPr>
    </w:p>
    <w:p>
      <w:pPr>
        <w:ind w:left="380" w:right="420" w:hanging="249"/>
        <w:spacing w:after="0" w:line="182" w:lineRule="auto"/>
        <w:tabs>
          <w:tab w:leader="none" w:pos="380" w:val="left"/>
        </w:tabs>
        <w:numPr>
          <w:ilvl w:val="0"/>
          <w:numId w:val="1"/>
        </w:numPr>
        <w:rPr>
          <w:rFonts w:ascii="Arial" w:cs="Arial" w:eastAsia="Arial" w:hAnsi="Arial"/>
          <w:sz w:val="23"/>
          <w:szCs w:val="23"/>
          <w:color w:val="0000FF"/>
          <w:highlight w:val="white"/>
          <w:vertAlign w:val="subscript"/>
        </w:rPr>
      </w:pPr>
      <w:r>
        <w:rPr>
          <w:rFonts w:ascii="Arial" w:cs="Arial" w:eastAsia="Arial" w:hAnsi="Arial"/>
          <w:sz w:val="10"/>
          <w:szCs w:val="10"/>
          <w:color w:val="auto"/>
        </w:rPr>
        <w:t>Check this box to indicate that a transaction was made pursuant to a contract, instruction or written plan that is intended to satisfy the affirmative defense conditions of Rule 10b5-1(c). See Instruction 10.</w:t>
      </w:r>
    </w:p>
    <w:p>
      <w:pPr>
        <w:spacing w:after="0" w:line="200" w:lineRule="exact"/>
        <w:rPr>
          <w:sz w:val="24"/>
          <w:szCs w:val="24"/>
          <w:color w:val="auto"/>
        </w:rPr>
      </w:pPr>
    </w:p>
    <w:p>
      <w:pPr>
        <w:sectPr>
          <w:pgSz w:w="11900" w:h="16838" w:orient="portrait"/>
          <w:cols w:equalWidth="0" w:num="2">
            <w:col w:w="3760" w:space="80"/>
            <w:col w:w="7240"/>
          </w:cols>
          <w:pgMar w:left="460" w:top="226" w:right="359" w:bottom="1440" w:gutter="0" w:footer="0" w:header="0"/>
          <w:type w:val="continuous"/>
        </w:sectPr>
      </w:pPr>
    </w:p>
    <w:p>
      <w:pPr>
        <w:spacing w:after="0" w:line="4"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6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160" w:type="dxa"/>
            <w:vAlign w:val="bottom"/>
            <w:gridSpan w:val="2"/>
          </w:tcPr>
          <w:p>
            <w:pPr>
              <w:ind w:left="320"/>
              <w:spacing w:after="0"/>
              <w:rPr>
                <w:sz w:val="20"/>
                <w:szCs w:val="20"/>
                <w:color w:val="auto"/>
              </w:rPr>
            </w:pPr>
            <w:r>
              <w:rPr>
                <w:rFonts w:ascii="Arial" w:cs="Arial" w:eastAsia="Arial" w:hAnsi="Arial"/>
                <w:sz w:val="12"/>
                <w:szCs w:val="12"/>
                <w:b w:val="1"/>
                <w:bCs w:val="1"/>
                <w:color w:val="auto"/>
              </w:rPr>
              <w:t>2.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840" w:type="dxa"/>
            <w:vAlign w:val="bottom"/>
          </w:tcPr>
          <w:p>
            <w:pPr>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3"/>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30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60" w:type="dxa"/>
            <w:vAlign w:val="bottom"/>
            <w:gridSpan w:val="2"/>
          </w:tcPr>
          <w:p>
            <w:pPr>
              <w:ind w:left="32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4"/>
          </w:tcPr>
          <w:p>
            <w:pPr>
              <w:jc w:val="center"/>
              <w:ind w:right="59"/>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940" w:type="dxa"/>
            <w:vAlign w:val="bottom"/>
            <w:gridSpan w:val="3"/>
          </w:tcPr>
          <w:p>
            <w:pPr>
              <w:ind w:left="320"/>
              <w:spacing w:after="0" w:line="136" w:lineRule="exact"/>
              <w:rPr>
                <w:sz w:val="20"/>
                <w:szCs w:val="20"/>
                <w:color w:val="auto"/>
              </w:rPr>
            </w:pPr>
            <w:r>
              <w:rPr>
                <w:rFonts w:ascii="Arial" w:cs="Arial" w:eastAsia="Arial" w:hAnsi="Arial"/>
                <w:sz w:val="12"/>
                <w:szCs w:val="12"/>
                <w:b w:val="1"/>
                <w:bCs w:val="1"/>
                <w:color w:val="auto"/>
              </w:rPr>
              <w:t>(Month/Day/Year)  if any</w:t>
            </w: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line="136"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spacing w:after="0" w:line="136" w:lineRule="exact"/>
              <w:rPr>
                <w:sz w:val="20"/>
                <w:szCs w:val="20"/>
                <w:color w:val="auto"/>
              </w:rPr>
            </w:pPr>
            <w:r>
              <w:rPr>
                <w:rFonts w:ascii="Arial" w:cs="Arial" w:eastAsia="Arial" w:hAnsi="Arial"/>
                <w:sz w:val="12"/>
                <w:szCs w:val="12"/>
                <w:b w:val="1"/>
                <w:bCs w:val="1"/>
                <w:color w:val="auto"/>
              </w:rPr>
              <w:t>(D) or</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20" w:type="dxa"/>
            <w:vAlign w:val="bottom"/>
            <w:gridSpan w:val="3"/>
          </w:tcPr>
          <w:p>
            <w:pPr>
              <w:ind w:left="300"/>
              <w:spacing w:after="0" w:line="136"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spacing w:after="0" w:line="136"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ind w:left="60"/>
              <w:spacing w:after="0" w:line="136" w:lineRule="exact"/>
              <w:rPr>
                <w:sz w:val="20"/>
                <w:szCs w:val="20"/>
                <w:color w:val="auto"/>
              </w:rPr>
            </w:pPr>
            <w:r>
              <w:rPr>
                <w:rFonts w:ascii="Arial" w:cs="Arial" w:eastAsia="Arial" w:hAnsi="Arial"/>
                <w:sz w:val="12"/>
                <w:szCs w:val="12"/>
                <w:b w:val="1"/>
                <w:bCs w:val="1"/>
                <w:color w:val="auto"/>
                <w:w w:val="99"/>
              </w:rPr>
              <w:t>Owned</w:t>
            </w:r>
          </w:p>
        </w:tc>
        <w:tc>
          <w:tcPr>
            <w:tcW w:w="700" w:type="dxa"/>
            <w:vAlign w:val="bottom"/>
          </w:tcPr>
          <w:p>
            <w:pPr>
              <w:spacing w:after="0"/>
              <w:rPr>
                <w:sz w:val="11"/>
                <w:szCs w:val="11"/>
                <w:color w:val="auto"/>
              </w:rPr>
            </w:pPr>
          </w:p>
        </w:tc>
        <w:tc>
          <w:tcPr>
            <w:tcW w:w="900" w:type="dxa"/>
            <w:vAlign w:val="bottom"/>
          </w:tcPr>
          <w:p>
            <w:pPr>
              <w:spacing w:after="0" w:line="136" w:lineRule="exact"/>
              <w:rPr>
                <w:sz w:val="20"/>
                <w:szCs w:val="20"/>
                <w:color w:val="auto"/>
              </w:rPr>
            </w:pPr>
            <w:r>
              <w:rPr>
                <w:rFonts w:ascii="Arial" w:cs="Arial" w:eastAsia="Arial" w:hAnsi="Arial"/>
                <w:sz w:val="12"/>
                <w:szCs w:val="12"/>
                <w:b w:val="1"/>
                <w:bCs w:val="1"/>
                <w:color w:val="auto"/>
              </w:rPr>
              <w:t>Indirect (I)</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840" w:type="dxa"/>
            <w:vAlign w:val="bottom"/>
            <w:tcBorders>
              <w:bottom w:val="single" w:sz="8" w:color="808080"/>
            </w:tcBorders>
          </w:tcPr>
          <w:p>
            <w:pPr>
              <w:spacing w:after="0"/>
              <w:rPr>
                <w:sz w:val="14"/>
                <w:szCs w:val="14"/>
                <w:color w:val="auto"/>
              </w:rPr>
            </w:pPr>
          </w:p>
        </w:tc>
        <w:tc>
          <w:tcPr>
            <w:tcW w:w="76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58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Following</w:t>
            </w:r>
          </w:p>
        </w:tc>
        <w:tc>
          <w:tcPr>
            <w:tcW w:w="900" w:type="dxa"/>
            <w:vAlign w:val="bottom"/>
          </w:tcPr>
          <w:p>
            <w:pPr>
              <w:spacing w:after="0" w:line="136" w:lineRule="exact"/>
              <w:rPr>
                <w:sz w:val="20"/>
                <w:szCs w:val="20"/>
                <w:color w:val="auto"/>
              </w:rPr>
            </w:pPr>
            <w:r>
              <w:rPr>
                <w:rFonts w:ascii="Arial" w:cs="Arial" w:eastAsia="Arial" w:hAnsi="Arial"/>
                <w:sz w:val="12"/>
                <w:szCs w:val="12"/>
                <w:b w:val="1"/>
                <w:bCs w:val="1"/>
                <w:color w:val="auto"/>
              </w:rPr>
              <w:t>(Instr. 4)</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 w:type="dxa"/>
            <w:vAlign w:val="bottom"/>
            <w:tcBorders>
              <w:top w:val="single" w:sz="8" w:color="2C2C2C"/>
            </w:tcBorders>
          </w:tcPr>
          <w:p>
            <w:pPr>
              <w:spacing w:after="0"/>
              <w:rPr>
                <w:sz w:val="7"/>
                <w:szCs w:val="7"/>
                <w:color w:val="auto"/>
              </w:rPr>
            </w:pPr>
          </w:p>
        </w:tc>
        <w:tc>
          <w:tcPr>
            <w:tcW w:w="840" w:type="dxa"/>
            <w:vAlign w:val="bottom"/>
            <w:tcBorders>
              <w:top w:val="single" w:sz="8" w:color="2C2C2C"/>
            </w:tcBorders>
          </w:tcPr>
          <w:p>
            <w:pPr>
              <w:spacing w:after="0"/>
              <w:rPr>
                <w:sz w:val="7"/>
                <w:szCs w:val="7"/>
                <w:color w:val="auto"/>
              </w:rPr>
            </w:pPr>
          </w:p>
        </w:tc>
        <w:tc>
          <w:tcPr>
            <w:tcW w:w="760" w:type="dxa"/>
            <w:vAlign w:val="bottom"/>
            <w:tcBorders>
              <w:top w:val="single" w:sz="8" w:color="2C2C2C"/>
            </w:tcBorders>
          </w:tcPr>
          <w:p>
            <w:pPr>
              <w:spacing w:after="0"/>
              <w:rPr>
                <w:sz w:val="7"/>
                <w:szCs w:val="7"/>
                <w:color w:val="auto"/>
              </w:rPr>
            </w:pPr>
          </w:p>
        </w:tc>
        <w:tc>
          <w:tcPr>
            <w:tcW w:w="42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2"/>
                <w:szCs w:val="12"/>
                <w:b w:val="1"/>
                <w:bCs w:val="1"/>
                <w:color w:val="auto"/>
                <w:w w:val="99"/>
              </w:rPr>
              <w:t>(A) or</w:t>
            </w:r>
          </w:p>
        </w:tc>
        <w:tc>
          <w:tcPr>
            <w:tcW w:w="580" w:type="dxa"/>
            <w:vAlign w:val="bottom"/>
            <w:tcBorders>
              <w:top w:val="single" w:sz="8" w:color="2C2C2C"/>
            </w:tcBorders>
          </w:tcPr>
          <w:p>
            <w:pPr>
              <w:spacing w:after="0"/>
              <w:rPr>
                <w:sz w:val="7"/>
                <w:szCs w:val="7"/>
                <w:color w:val="auto"/>
              </w:rPr>
            </w:pPr>
          </w:p>
        </w:tc>
        <w:tc>
          <w:tcPr>
            <w:tcW w:w="300" w:type="dxa"/>
            <w:vAlign w:val="bottom"/>
            <w:tcBorders>
              <w:top w:val="single" w:sz="8" w:color="2C2C2C"/>
            </w:tcBorders>
          </w:tcPr>
          <w:p>
            <w:pPr>
              <w:spacing w:after="0"/>
              <w:rPr>
                <w:sz w:val="7"/>
                <w:szCs w:val="7"/>
                <w:color w:val="auto"/>
              </w:rPr>
            </w:pPr>
          </w:p>
        </w:tc>
        <w:tc>
          <w:tcPr>
            <w:tcW w:w="1180" w:type="dxa"/>
            <w:vAlign w:val="bottom"/>
            <w:gridSpan w:val="2"/>
          </w:tcPr>
          <w:p>
            <w:pPr>
              <w:ind w:left="60"/>
              <w:spacing w:after="0" w:line="86" w:lineRule="exact"/>
              <w:rPr>
                <w:sz w:val="20"/>
                <w:szCs w:val="20"/>
                <w:color w:val="auto"/>
              </w:rPr>
            </w:pPr>
            <w:r>
              <w:rPr>
                <w:rFonts w:ascii="Arial" w:cs="Arial" w:eastAsia="Arial" w:hAnsi="Arial"/>
                <w:sz w:val="9"/>
                <w:szCs w:val="9"/>
                <w:b w:val="1"/>
                <w:bCs w:val="1"/>
                <w:color w:val="auto"/>
              </w:rPr>
              <w:t>Reported</w:t>
            </w:r>
          </w:p>
        </w:tc>
        <w:tc>
          <w:tcPr>
            <w:tcW w:w="9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420" w:type="dxa"/>
            <w:vAlign w:val="bottom"/>
            <w:vMerge w:val="continue"/>
          </w:tcPr>
          <w:p>
            <w:pPr>
              <w:spacing w:after="0"/>
              <w:rPr>
                <w:sz w:val="14"/>
                <w:szCs w:val="14"/>
                <w:color w:val="auto"/>
              </w:rPr>
            </w:pPr>
          </w:p>
        </w:tc>
        <w:tc>
          <w:tcPr>
            <w:tcW w:w="580" w:type="dxa"/>
            <w:vAlign w:val="bottom"/>
          </w:tcPr>
          <w:p>
            <w:pPr>
              <w:ind w:left="100"/>
              <w:spacing w:after="0"/>
              <w:rPr>
                <w:sz w:val="20"/>
                <w:szCs w:val="20"/>
                <w:color w:val="auto"/>
              </w:rPr>
            </w:pPr>
            <w:r>
              <w:rPr>
                <w:rFonts w:ascii="Arial" w:cs="Arial" w:eastAsia="Arial" w:hAnsi="Arial"/>
                <w:sz w:val="12"/>
                <w:szCs w:val="12"/>
                <w:b w:val="1"/>
                <w:bCs w:val="1"/>
                <w:color w:val="auto"/>
              </w:rPr>
              <w:t>Price</w:t>
            </w:r>
          </w:p>
        </w:tc>
        <w:tc>
          <w:tcPr>
            <w:tcW w:w="30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84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ind w:left="40"/>
              <w:spacing w:after="0"/>
              <w:rPr>
                <w:sz w:val="20"/>
                <w:szCs w:val="20"/>
                <w:color w:val="auto"/>
              </w:rPr>
            </w:pPr>
            <w:r>
              <w:rPr>
                <w:rFonts w:ascii="Arial" w:cs="Arial" w:eastAsia="Arial" w:hAnsi="Arial"/>
                <w:sz w:val="12"/>
                <w:szCs w:val="12"/>
                <w:b w:val="1"/>
                <w:bCs w:val="1"/>
                <w:color w:val="auto"/>
              </w:rPr>
              <w:t>(D)</w:t>
            </w:r>
          </w:p>
        </w:tc>
        <w:tc>
          <w:tcPr>
            <w:tcW w:w="580" w:type="dxa"/>
            <w:vAlign w:val="bottom"/>
            <w:tcBorders>
              <w:bottom w:val="single" w:sz="8" w:color="2C2C2C"/>
            </w:tcBorders>
          </w:tcPr>
          <w:p>
            <w:pPr>
              <w:spacing w:after="0"/>
              <w:rPr>
                <w:sz w:val="15"/>
                <w:szCs w:val="15"/>
                <w:color w:val="auto"/>
              </w:rPr>
            </w:pPr>
          </w:p>
        </w:tc>
        <w:tc>
          <w:tcPr>
            <w:tcW w:w="300" w:type="dxa"/>
            <w:vAlign w:val="bottom"/>
            <w:tcBorders>
              <w:bottom w:val="single" w:sz="8" w:color="2C2C2C"/>
            </w:tcBorders>
          </w:tcPr>
          <w:p>
            <w:pPr>
              <w:spacing w:after="0"/>
              <w:rPr>
                <w:sz w:val="15"/>
                <w:szCs w:val="15"/>
                <w:color w:val="auto"/>
              </w:rPr>
            </w:pPr>
          </w:p>
        </w:tc>
        <w:tc>
          <w:tcPr>
            <w:tcW w:w="118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66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Class A Common Stock</w:t>
            </w:r>
          </w:p>
        </w:tc>
        <w:tc>
          <w:tcPr>
            <w:tcW w:w="1940" w:type="dxa"/>
            <w:vAlign w:val="bottom"/>
            <w:tcBorders>
              <w:bottom w:val="single" w:sz="8" w:color="2C2C2C"/>
            </w:tcBorders>
            <w:gridSpan w:val="3"/>
          </w:tcPr>
          <w:p>
            <w:pPr>
              <w:ind w:left="420"/>
              <w:spacing w:after="0"/>
              <w:rPr>
                <w:sz w:val="20"/>
                <w:szCs w:val="20"/>
                <w:color w:val="auto"/>
              </w:rPr>
            </w:pPr>
            <w:r>
              <w:rPr>
                <w:rFonts w:ascii="Arial" w:cs="Arial" w:eastAsia="Arial" w:hAnsi="Arial"/>
                <w:sz w:val="18"/>
                <w:szCs w:val="18"/>
                <w:color w:val="0000FF"/>
              </w:rPr>
              <w:t>06/13/2023</w:t>
            </w:r>
          </w:p>
        </w:tc>
        <w:tc>
          <w:tcPr>
            <w:tcW w:w="5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ind w:left="10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50,000</w:t>
            </w:r>
          </w:p>
        </w:tc>
        <w:tc>
          <w:tcPr>
            <w:tcW w:w="4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D</w:t>
            </w:r>
          </w:p>
        </w:tc>
        <w:tc>
          <w:tcPr>
            <w:tcW w:w="8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3.1245</w:t>
            </w:r>
            <w:r>
              <w:rPr>
                <w:rFonts w:ascii="Arial" w:cs="Arial" w:eastAsia="Arial" w:hAnsi="Arial"/>
                <w:sz w:val="22"/>
                <w:szCs w:val="22"/>
                <w:color w:val="008000"/>
                <w:w w:val="93"/>
                <w:vertAlign w:val="superscript"/>
              </w:rPr>
              <w:t>(2)</w:t>
            </w:r>
          </w:p>
        </w:tc>
        <w:tc>
          <w:tcPr>
            <w:tcW w:w="1180" w:type="dxa"/>
            <w:vAlign w:val="bottom"/>
            <w:tcBorders>
              <w:bottom w:val="single" w:sz="8" w:color="2C2C2C"/>
            </w:tcBorders>
            <w:gridSpan w:val="2"/>
          </w:tcPr>
          <w:p>
            <w:pPr>
              <w:ind w:left="280"/>
              <w:spacing w:after="0"/>
              <w:rPr>
                <w:sz w:val="20"/>
                <w:szCs w:val="20"/>
                <w:color w:val="auto"/>
              </w:rPr>
            </w:pPr>
            <w:r>
              <w:rPr>
                <w:rFonts w:ascii="Arial" w:cs="Arial" w:eastAsia="Arial" w:hAnsi="Arial"/>
                <w:sz w:val="18"/>
                <w:szCs w:val="18"/>
                <w:color w:val="0000FF"/>
              </w:rPr>
              <w:t>984,303</w:t>
            </w:r>
          </w:p>
        </w:tc>
        <w:tc>
          <w:tcPr>
            <w:tcW w:w="90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266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Class A Common Stock</w:t>
            </w:r>
          </w:p>
        </w:tc>
        <w:tc>
          <w:tcPr>
            <w:tcW w:w="1940" w:type="dxa"/>
            <w:vAlign w:val="bottom"/>
            <w:tcBorders>
              <w:bottom w:val="single" w:sz="8" w:color="2C2C2C"/>
            </w:tcBorders>
            <w:gridSpan w:val="3"/>
          </w:tcPr>
          <w:p>
            <w:pPr>
              <w:ind w:left="420"/>
              <w:spacing w:after="0"/>
              <w:rPr>
                <w:sz w:val="20"/>
                <w:szCs w:val="20"/>
                <w:color w:val="auto"/>
              </w:rPr>
            </w:pPr>
            <w:r>
              <w:rPr>
                <w:rFonts w:ascii="Arial" w:cs="Arial" w:eastAsia="Arial" w:hAnsi="Arial"/>
                <w:sz w:val="18"/>
                <w:szCs w:val="18"/>
                <w:color w:val="0000FF"/>
              </w:rPr>
              <w:t>06/14/2023</w:t>
            </w:r>
          </w:p>
        </w:tc>
        <w:tc>
          <w:tcPr>
            <w:tcW w:w="5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ind w:left="10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50,000</w:t>
            </w:r>
          </w:p>
        </w:tc>
        <w:tc>
          <w:tcPr>
            <w:tcW w:w="4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D</w:t>
            </w:r>
          </w:p>
        </w:tc>
        <w:tc>
          <w:tcPr>
            <w:tcW w:w="880" w:type="dxa"/>
            <w:vAlign w:val="bottom"/>
            <w:tcBorders>
              <w:bottom w:val="single" w:sz="8" w:color="2C2C2C"/>
            </w:tcBorders>
            <w:gridSpan w:val="2"/>
          </w:tcPr>
          <w:p>
            <w:pPr>
              <w:jc w:val="center"/>
              <w:ind w:right="3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3.069</w:t>
            </w:r>
            <w:r>
              <w:rPr>
                <w:rFonts w:ascii="Arial" w:cs="Arial" w:eastAsia="Arial" w:hAnsi="Arial"/>
                <w:sz w:val="22"/>
                <w:szCs w:val="22"/>
                <w:color w:val="008000"/>
                <w:vertAlign w:val="superscript"/>
              </w:rPr>
              <w:t>(3)</w:t>
            </w:r>
          </w:p>
        </w:tc>
        <w:tc>
          <w:tcPr>
            <w:tcW w:w="1180" w:type="dxa"/>
            <w:vAlign w:val="bottom"/>
            <w:tcBorders>
              <w:bottom w:val="single" w:sz="8" w:color="2C2C2C"/>
            </w:tcBorders>
            <w:gridSpan w:val="2"/>
          </w:tcPr>
          <w:p>
            <w:pPr>
              <w:ind w:left="280"/>
              <w:spacing w:after="0"/>
              <w:rPr>
                <w:sz w:val="20"/>
                <w:szCs w:val="20"/>
                <w:color w:val="auto"/>
              </w:rPr>
            </w:pPr>
            <w:r>
              <w:rPr>
                <w:rFonts w:ascii="Arial" w:cs="Arial" w:eastAsia="Arial" w:hAnsi="Arial"/>
                <w:sz w:val="18"/>
                <w:szCs w:val="18"/>
                <w:color w:val="0000FF"/>
              </w:rPr>
              <w:t>934,303</w:t>
            </w:r>
          </w:p>
        </w:tc>
        <w:tc>
          <w:tcPr>
            <w:tcW w:w="90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4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480" w:type="dxa"/>
            <w:vAlign w:val="bottom"/>
            <w:gridSpan w:val="10"/>
          </w:tcPr>
          <w:p>
            <w:pPr>
              <w:ind w:left="44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4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5.</w:t>
            </w:r>
          </w:p>
        </w:tc>
        <w:tc>
          <w:tcPr>
            <w:tcW w:w="60" w:type="dxa"/>
            <w:vAlign w:val="bottom"/>
          </w:tcPr>
          <w:p>
            <w:pPr>
              <w:spacing w:after="0"/>
              <w:rPr>
                <w:sz w:val="15"/>
                <w:szCs w:val="15"/>
                <w:color w:val="auto"/>
              </w:rPr>
            </w:pPr>
          </w:p>
        </w:tc>
        <w:tc>
          <w:tcPr>
            <w:tcW w:w="1600" w:type="dxa"/>
            <w:vAlign w:val="bottom"/>
            <w:gridSpan w:val="2"/>
          </w:tcPr>
          <w:p>
            <w:pPr>
              <w:ind w:left="140"/>
              <w:spacing w:after="0"/>
              <w:rPr>
                <w:sz w:val="20"/>
                <w:szCs w:val="20"/>
                <w:color w:val="auto"/>
              </w:rPr>
            </w:pPr>
            <w:r>
              <w:rPr>
                <w:rFonts w:ascii="Arial" w:cs="Arial" w:eastAsia="Arial" w:hAnsi="Arial"/>
                <w:sz w:val="12"/>
                <w:szCs w:val="12"/>
                <w:b w:val="1"/>
                <w:bCs w:val="1"/>
                <w:color w:val="auto"/>
              </w:rPr>
              <w:t>6. Date Exercisable and</w:t>
            </w:r>
          </w:p>
        </w:tc>
        <w:tc>
          <w:tcPr>
            <w:tcW w:w="100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1600" w:type="dxa"/>
            <w:vAlign w:val="bottom"/>
            <w:gridSpan w:val="2"/>
          </w:tcPr>
          <w:p>
            <w:pPr>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Transaction</w:t>
            </w:r>
          </w:p>
        </w:tc>
        <w:tc>
          <w:tcPr>
            <w:tcW w:w="64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Number</w:t>
            </w:r>
          </w:p>
        </w:tc>
        <w:tc>
          <w:tcPr>
            <w:tcW w:w="1600" w:type="dxa"/>
            <w:vAlign w:val="bottom"/>
            <w:gridSpan w:val="2"/>
          </w:tcPr>
          <w:p>
            <w:pPr>
              <w:ind w:left="140"/>
              <w:spacing w:after="0" w:line="136" w:lineRule="exact"/>
              <w:rPr>
                <w:sz w:val="20"/>
                <w:szCs w:val="20"/>
                <w:color w:val="auto"/>
              </w:rPr>
            </w:pPr>
            <w:r>
              <w:rPr>
                <w:rFonts w:ascii="Arial" w:cs="Arial" w:eastAsia="Arial" w:hAnsi="Arial"/>
                <w:sz w:val="12"/>
                <w:szCs w:val="12"/>
                <w:b w:val="1"/>
                <w:bCs w:val="1"/>
                <w:color w:val="auto"/>
              </w:rPr>
              <w:t>Expiration Date</w:t>
            </w:r>
          </w:p>
        </w:tc>
        <w:tc>
          <w:tcPr>
            <w:tcW w:w="100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Amount of</w:t>
            </w:r>
          </w:p>
        </w:tc>
        <w:tc>
          <w:tcPr>
            <w:tcW w:w="7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spacing w:after="0" w:line="136"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260"/>
              <w:spacing w:after="0" w:line="136"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Code (Instr.</w:t>
            </w:r>
          </w:p>
        </w:tc>
        <w:tc>
          <w:tcPr>
            <w:tcW w:w="64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140"/>
              <w:spacing w:after="0" w:line="136"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Securities</w:t>
            </w:r>
          </w:p>
        </w:tc>
        <w:tc>
          <w:tcPr>
            <w:tcW w:w="7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spacing w:after="0" w:line="136"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60"/>
              <w:spacing w:after="0" w:line="136" w:lineRule="exact"/>
              <w:rPr>
                <w:sz w:val="20"/>
                <w:szCs w:val="20"/>
                <w:color w:val="auto"/>
              </w:rPr>
            </w:pPr>
            <w:r>
              <w:rPr>
                <w:rFonts w:ascii="Arial" w:cs="Arial" w:eastAsia="Arial" w:hAnsi="Arial"/>
                <w:sz w:val="12"/>
                <w:szCs w:val="12"/>
                <w:b w:val="1"/>
                <w:bCs w:val="1"/>
                <w:color w:val="auto"/>
              </w:rPr>
              <w:t>Form:</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8)</w:t>
            </w:r>
          </w:p>
        </w:tc>
        <w:tc>
          <w:tcPr>
            <w:tcW w:w="64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w w:val="97"/>
              </w:rPr>
              <w:t>Derivative</w:t>
            </w:r>
          </w:p>
        </w:tc>
        <w:tc>
          <w:tcPr>
            <w:tcW w:w="8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Underlying</w:t>
            </w:r>
          </w:p>
        </w:tc>
        <w:tc>
          <w:tcPr>
            <w:tcW w:w="7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spacing w:after="0" w:line="136"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60"/>
              <w:spacing w:after="0" w:line="136" w:lineRule="exact"/>
              <w:rPr>
                <w:sz w:val="20"/>
                <w:szCs w:val="20"/>
                <w:color w:val="auto"/>
              </w:rPr>
            </w:pPr>
            <w:r>
              <w:rPr>
                <w:rFonts w:ascii="Arial" w:cs="Arial" w:eastAsia="Arial" w:hAnsi="Arial"/>
                <w:sz w:val="12"/>
                <w:szCs w:val="12"/>
                <w:b w:val="1"/>
                <w:bCs w:val="1"/>
                <w:color w:val="auto"/>
              </w:rPr>
              <w:t>Direct (D)</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w w:val="97"/>
              </w:rPr>
              <w:t>Securities</w:t>
            </w:r>
          </w:p>
        </w:tc>
        <w:tc>
          <w:tcPr>
            <w:tcW w:w="8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line="136" w:lineRule="exact"/>
              <w:rPr>
                <w:sz w:val="20"/>
                <w:szCs w:val="20"/>
                <w:color w:val="auto"/>
              </w:rPr>
            </w:pPr>
            <w:r>
              <w:rPr>
                <w:rFonts w:ascii="Arial" w:cs="Arial" w:eastAsia="Arial" w:hAnsi="Arial"/>
                <w:sz w:val="12"/>
                <w:szCs w:val="12"/>
                <w:b w:val="1"/>
                <w:bCs w:val="1"/>
                <w:color w:val="auto"/>
              </w:rPr>
              <w:t>Owned</w:t>
            </w:r>
          </w:p>
        </w:tc>
        <w:tc>
          <w:tcPr>
            <w:tcW w:w="900" w:type="dxa"/>
            <w:vAlign w:val="bottom"/>
          </w:tcPr>
          <w:p>
            <w:pPr>
              <w:ind w:left="260"/>
              <w:spacing w:after="0" w:line="136" w:lineRule="exact"/>
              <w:rPr>
                <w:sz w:val="20"/>
                <w:szCs w:val="20"/>
                <w:color w:val="auto"/>
              </w:rPr>
            </w:pPr>
            <w:r>
              <w:rPr>
                <w:rFonts w:ascii="Arial" w:cs="Arial" w:eastAsia="Arial" w:hAnsi="Arial"/>
                <w:sz w:val="12"/>
                <w:szCs w:val="12"/>
                <w:b w:val="1"/>
                <w:bCs w:val="1"/>
                <w:color w:val="auto"/>
              </w:rPr>
              <w:t>or Indirect</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Acquired</w:t>
            </w:r>
          </w:p>
        </w:tc>
        <w:tc>
          <w:tcPr>
            <w:tcW w:w="8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line="136" w:lineRule="exact"/>
              <w:rPr>
                <w:sz w:val="20"/>
                <w:szCs w:val="20"/>
                <w:color w:val="auto"/>
              </w:rPr>
            </w:pPr>
            <w:r>
              <w:rPr>
                <w:rFonts w:ascii="Arial" w:cs="Arial" w:eastAsia="Arial" w:hAnsi="Arial"/>
                <w:sz w:val="12"/>
                <w:szCs w:val="12"/>
                <w:b w:val="1"/>
                <w:bCs w:val="1"/>
                <w:color w:val="auto"/>
              </w:rPr>
              <w:t>Following</w:t>
            </w:r>
          </w:p>
        </w:tc>
        <w:tc>
          <w:tcPr>
            <w:tcW w:w="900" w:type="dxa"/>
            <w:vAlign w:val="bottom"/>
          </w:tcPr>
          <w:p>
            <w:pPr>
              <w:ind w:left="260"/>
              <w:spacing w:after="0" w:line="136"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(A) or</w:t>
            </w:r>
          </w:p>
        </w:tc>
        <w:tc>
          <w:tcPr>
            <w:tcW w:w="8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line="136"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Disposed</w:t>
            </w:r>
          </w:p>
        </w:tc>
        <w:tc>
          <w:tcPr>
            <w:tcW w:w="8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of (D)</w:t>
            </w:r>
          </w:p>
        </w:tc>
        <w:tc>
          <w:tcPr>
            <w:tcW w:w="8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line="136" w:lineRule="exact"/>
              <w:rPr>
                <w:sz w:val="20"/>
                <w:szCs w:val="20"/>
                <w:color w:val="auto"/>
              </w:rPr>
            </w:pPr>
            <w:r>
              <w:rPr>
                <w:rFonts w:ascii="Arial" w:cs="Arial" w:eastAsia="Arial" w:hAnsi="Arial"/>
                <w:sz w:val="12"/>
                <w:szCs w:val="12"/>
                <w:b w:val="1"/>
                <w:bCs w:val="1"/>
                <w:color w:val="auto"/>
              </w:rPr>
              <w:t>(Instr. 4)</w:t>
            </w: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w w:val="98"/>
              </w:rPr>
              <w:t>(Instr. 3, 4</w:t>
            </w:r>
          </w:p>
        </w:tc>
        <w:tc>
          <w:tcPr>
            <w:tcW w:w="8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rPr>
              <w:t>and 5)</w:t>
            </w:r>
          </w:p>
        </w:tc>
        <w:tc>
          <w:tcPr>
            <w:tcW w:w="8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Pr>
          <w:p>
            <w:pPr>
              <w:spacing w:after="0"/>
              <w:rPr>
                <w:sz w:val="3"/>
                <w:szCs w:val="3"/>
                <w:color w:val="auto"/>
              </w:rPr>
            </w:pPr>
          </w:p>
        </w:tc>
        <w:tc>
          <w:tcPr>
            <w:tcW w:w="480" w:type="dxa"/>
            <w:vAlign w:val="bottom"/>
          </w:tcPr>
          <w:p>
            <w:pPr>
              <w:spacing w:after="0"/>
              <w:rPr>
                <w:sz w:val="3"/>
                <w:szCs w:val="3"/>
                <w:color w:val="auto"/>
              </w:rPr>
            </w:pPr>
          </w:p>
        </w:tc>
        <w:tc>
          <w:tcPr>
            <w:tcW w:w="700" w:type="dxa"/>
            <w:vAlign w:val="bottom"/>
          </w:tcPr>
          <w:p>
            <w:pPr>
              <w:spacing w:after="0"/>
              <w:rPr>
                <w:sz w:val="3"/>
                <w:szCs w:val="3"/>
                <w:color w:val="auto"/>
              </w:rPr>
            </w:pPr>
          </w:p>
        </w:tc>
        <w:tc>
          <w:tcPr>
            <w:tcW w:w="9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8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3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Number</w:t>
            </w: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ind w:left="140"/>
              <w:spacing w:after="0" w:line="136"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36"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58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rPr>
              <w:t>(A)   (D)</w:t>
            </w:r>
          </w:p>
        </w:tc>
        <w:tc>
          <w:tcPr>
            <w:tcW w:w="840" w:type="dxa"/>
            <w:vAlign w:val="bottom"/>
          </w:tcPr>
          <w:p>
            <w:pPr>
              <w:ind w:left="14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8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-1909445</wp:posOffset>
            </wp:positionV>
            <wp:extent cx="29845" cy="1913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913890"/>
                    </a:xfrm>
                    <a:prstGeom prst="rect">
                      <a:avLst/>
                    </a:prstGeom>
                    <a:noFill/>
                  </pic:spPr>
                </pic:pic>
              </a:graphicData>
            </a:graphic>
          </wp:anchor>
        </w:drawing>
      </w:r>
    </w:p>
    <w:p>
      <w:pPr>
        <w:spacing w:after="0" w:line="4"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8"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This transaction was effected pursuant to a Rule 10b5-1 trading plan adopted by the reporting person in March 2023.</w:t>
      </w:r>
    </w:p>
    <w:p>
      <w:pPr>
        <w:spacing w:after="0" w:line="41" w:lineRule="exact"/>
        <w:rPr>
          <w:rFonts w:ascii="Arial" w:cs="Arial" w:eastAsia="Arial" w:hAnsi="Arial"/>
          <w:sz w:val="14"/>
          <w:szCs w:val="14"/>
          <w:color w:val="008000"/>
        </w:rPr>
      </w:pPr>
    </w:p>
    <w:p>
      <w:pPr>
        <w:ind w:left="40" w:right="540" w:firstLine="9"/>
        <w:spacing w:after="0" w:line="305"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during the day at prices ranging from $3.02 to $3.23. The weighted-average price is reported above. The reporting person hereby undertakes to provide upon request to the SEC staff, the issuer or a security holder of the issuer full information regarding the number of shares and prices at which the transactions were effected.</w:t>
      </w:r>
    </w:p>
    <w:p>
      <w:pPr>
        <w:ind w:left="40" w:right="540" w:firstLine="9"/>
        <w:spacing w:after="0" w:line="298"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during the day at prices ranging from $3.01 to $3.16. The weighted-average price is reported above. The reporting person hereby undertakes to provide upon request to the SEC staff, the issuer or a security holder of the issuer full information regarding the number of shares and prices at which the transactions were effected.</w:t>
      </w:r>
    </w:p>
    <w:p>
      <w:pPr>
        <w:spacing w:after="0" w:line="1"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4"/>
          <w:szCs w:val="24"/>
          <w:color w:val="auto"/>
        </w:rPr>
      </w:pPr>
    </w:p>
    <w:p>
      <w:pPr>
        <w:ind w:left="6580"/>
        <w:spacing w:after="0"/>
        <w:rPr>
          <w:sz w:val="20"/>
          <w:szCs w:val="20"/>
          <w:color w:val="auto"/>
        </w:rPr>
      </w:pPr>
      <w:r>
        <w:rPr>
          <w:rFonts w:ascii="Arial" w:cs="Arial" w:eastAsia="Arial" w:hAnsi="Arial"/>
          <w:sz w:val="18"/>
          <w:szCs w:val="18"/>
          <w:color w:val="0000FF"/>
        </w:rPr>
        <w:t>/s /Warren Heit, attorney-in-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-13970</wp:posOffset>
            </wp:positionV>
            <wp:extent cx="126174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61745" cy="8890"/>
                    </a:xfrm>
                    <a:prstGeom prst="rect">
                      <a:avLst/>
                    </a:prstGeom>
                    <a:noFill/>
                  </pic:spPr>
                </pic:pic>
              </a:graphicData>
            </a:graphic>
          </wp:anchor>
        </w:drawing>
      </w:r>
    </w:p>
    <w:p>
      <w:pPr>
        <w:ind w:left="6580"/>
        <w:spacing w:after="0"/>
        <w:tabs>
          <w:tab w:leader="none" w:pos="8760" w:val="left"/>
        </w:tabs>
        <w:rPr>
          <w:sz w:val="20"/>
          <w:szCs w:val="20"/>
          <w:color w:val="auto"/>
        </w:rPr>
      </w:pPr>
      <w:r>
        <w:rPr>
          <w:rFonts w:ascii="Arial" w:cs="Arial" w:eastAsia="Arial" w:hAnsi="Arial"/>
          <w:sz w:val="18"/>
          <w:szCs w:val="18"/>
          <w:color w:val="0000FF"/>
        </w:rPr>
        <w:t>fact for STONEHOCKER</w:t>
      </w:r>
      <w:r>
        <w:rPr>
          <w:sz w:val="20"/>
          <w:szCs w:val="20"/>
          <w:color w:val="auto"/>
        </w:rPr>
        <w:tab/>
      </w:r>
      <w:r>
        <w:rPr>
          <w:rFonts w:ascii="Arial" w:cs="Arial" w:eastAsia="Arial" w:hAnsi="Arial"/>
          <w:sz w:val="15"/>
          <w:szCs w:val="15"/>
          <w:color w:val="0000FF"/>
        </w:rPr>
        <w:t>06/15/2023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-17780</wp:posOffset>
            </wp:positionV>
            <wp:extent cx="19043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904365" cy="8890"/>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8"/>
          <w:szCs w:val="18"/>
          <w:color w:val="0000FF"/>
        </w:rPr>
        <w:t>TIMOTHY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-17780</wp:posOffset>
            </wp:positionV>
            <wp:extent cx="5143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14350" cy="8890"/>
                    </a:xfrm>
                    <a:prstGeom prst="rect">
                      <a:avLst/>
                    </a:prstGeom>
                    <a:noFill/>
                  </pic:spPr>
                </pic:pic>
              </a:graphicData>
            </a:graphic>
          </wp:anchor>
        </w:drawing>
      </w:r>
    </w:p>
    <w:p>
      <w:pPr>
        <w:spacing w:after="0" w:line="3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4"/>
          <w:szCs w:val="14"/>
          <w:color w:val="auto"/>
        </w:rPr>
        <w:t>** Signature of Reporting Person</w:t>
        <w:tab/>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22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6" w:right="359" w:bottom="1440" w:gutter="0" w:footer="0" w:header="0"/>
          <w:type w:val="continuous"/>
        </w:sectPr>
      </w:pPr>
    </w:p>
    <w:bookmarkStart w:id="1" w:name="page2"/>
    <w:bookmarkEnd w:id="1"/>
    <w:p>
      <w:pPr>
        <w:ind w:right="2999"/>
        <w:spacing w:after="0" w:line="244" w:lineRule="auto"/>
        <w:rPr>
          <w:sz w:val="20"/>
          <w:szCs w:val="20"/>
          <w:color w:val="auto"/>
        </w:rPr>
      </w:pPr>
      <w:r>
        <w:rPr>
          <w:rFonts w:ascii="Courier New" w:cs="Courier New" w:eastAsia="Courier New" w:hAnsi="Courier New"/>
          <w:sz w:val="18"/>
          <w:szCs w:val="18"/>
          <w:color w:val="auto"/>
        </w:rPr>
        <w:t>LIMITED POWER OF ATTORNEY FOR REPORTING UNDER SECTION 16(a) OF THE SECURITIES EXCHANGE ACT OF 1934, AS AMENDED SOUNDHOUND AI, INC.</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STONEHOCKER TIMOTHY - CIK # 0001921376</w:t>
      </w:r>
    </w:p>
    <w:p>
      <w:pPr>
        <w:spacing w:after="0" w:line="186" w:lineRule="exact"/>
        <w:rPr>
          <w:sz w:val="20"/>
          <w:szCs w:val="20"/>
          <w:color w:val="auto"/>
        </w:rPr>
      </w:pPr>
    </w:p>
    <w:p>
      <w:pPr>
        <w:ind w:right="3439" w:firstLine="529"/>
        <w:spacing w:after="0" w:line="243" w:lineRule="auto"/>
        <w:rPr>
          <w:sz w:val="20"/>
          <w:szCs w:val="20"/>
          <w:color w:val="auto"/>
        </w:rPr>
      </w:pPr>
      <w:r>
        <w:rPr>
          <w:rFonts w:ascii="Courier New" w:cs="Courier New" w:eastAsia="Courier New" w:hAnsi="Courier New"/>
          <w:sz w:val="18"/>
          <w:szCs w:val="18"/>
          <w:color w:val="auto"/>
        </w:rPr>
        <w:t>Know all by these presents, that the undersigned hereby constitutes and appoints Warren Heit, Nitesh Sharan, or Keyvan Mohajer, signing singly, the undersigned's true and lawful attorney-in-fact to:</w:t>
      </w:r>
    </w:p>
    <w:p>
      <w:pPr>
        <w:spacing w:after="0" w:line="1" w:lineRule="exact"/>
        <w:rPr>
          <w:sz w:val="20"/>
          <w:szCs w:val="20"/>
          <w:color w:val="auto"/>
        </w:rPr>
      </w:pPr>
    </w:p>
    <w:p>
      <w:pPr>
        <w:ind w:right="3439" w:firstLine="537"/>
        <w:spacing w:after="0" w:line="268" w:lineRule="auto"/>
        <w:tabs>
          <w:tab w:leader="none" w:pos="952"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execute for and on behalf of the undersigned any Form 3, 4, or 5 in accordance with Section 16(a) of the Securities Exchange Act of 1934, as amended, and the rules thereunder;</w:t>
      </w:r>
    </w:p>
    <w:p>
      <w:pPr>
        <w:spacing w:after="0" w:line="1" w:lineRule="exact"/>
        <w:rPr>
          <w:rFonts w:ascii="Courier New" w:cs="Courier New" w:eastAsia="Courier New" w:hAnsi="Courier New"/>
          <w:sz w:val="16"/>
          <w:szCs w:val="16"/>
          <w:color w:val="auto"/>
        </w:rPr>
      </w:pPr>
    </w:p>
    <w:p>
      <w:pPr>
        <w:ind w:right="2899" w:firstLine="537"/>
        <w:spacing w:after="0" w:line="238" w:lineRule="auto"/>
        <w:tabs>
          <w:tab w:leader="none" w:pos="952"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complete and execute any amendment or amendments thereto, and timely file any such form with the United States Securities and Exchange Commission and any stock exchange or similar authority, including completing and executing a Uniform Application for Access Codes to File on Edgar on Form ID; and</w:t>
      </w:r>
    </w:p>
    <w:p>
      <w:pPr>
        <w:spacing w:after="0" w:line="4" w:lineRule="exact"/>
        <w:rPr>
          <w:rFonts w:ascii="Courier New" w:cs="Courier New" w:eastAsia="Courier New" w:hAnsi="Courier New"/>
          <w:sz w:val="18"/>
          <w:szCs w:val="18"/>
          <w:color w:val="auto"/>
        </w:rPr>
      </w:pPr>
    </w:p>
    <w:p>
      <w:pPr>
        <w:ind w:right="2799" w:firstLine="537"/>
        <w:spacing w:after="0" w:line="238" w:lineRule="auto"/>
        <w:tabs>
          <w:tab w:leader="none" w:pos="952"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4" w:lineRule="exact"/>
        <w:rPr>
          <w:rFonts w:ascii="Courier New" w:cs="Courier New" w:eastAsia="Courier New" w:hAnsi="Courier New"/>
          <w:sz w:val="18"/>
          <w:szCs w:val="18"/>
          <w:color w:val="auto"/>
        </w:rPr>
      </w:pPr>
    </w:p>
    <w:p>
      <w:pPr>
        <w:ind w:right="2699" w:firstLine="52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w:t>
      </w:r>
    </w:p>
    <w:p>
      <w:pPr>
        <w:spacing w:after="0" w:line="4" w:lineRule="exact"/>
        <w:rPr>
          <w:rFonts w:ascii="Courier New" w:cs="Courier New" w:eastAsia="Courier New" w:hAnsi="Courier New"/>
          <w:sz w:val="18"/>
          <w:szCs w:val="18"/>
          <w:color w:val="auto"/>
        </w:rPr>
      </w:pPr>
    </w:p>
    <w:p>
      <w:pPr>
        <w:ind w:right="257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do or cause to be done by virtue of this power of attorney and the rights and powers herein granted. The undersigned acknowledges that the foregoing attorneys-in-fact, in serving in such capacity at the request of the undersigned, are not assuming, any of the undersigned's responsibilities to comply with Section 16 of the Securities Exchange Act of 1934.</w:t>
      </w:r>
    </w:p>
    <w:p>
      <w:pPr>
        <w:spacing w:after="0" w:line="3" w:lineRule="exact"/>
        <w:rPr>
          <w:rFonts w:ascii="Courier New" w:cs="Courier New" w:eastAsia="Courier New" w:hAnsi="Courier New"/>
          <w:sz w:val="18"/>
          <w:szCs w:val="18"/>
          <w:color w:val="auto"/>
        </w:rPr>
      </w:pPr>
    </w:p>
    <w:p>
      <w:pPr>
        <w:ind w:right="2379" w:firstLine="52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shall remain in full force and effect until the undersigned is no longer required to file Form 3, 4, or 5, or unless earlier revoked by the undersigned in a signed writing delivered to the foregoing attorney-in-fact.</w:t>
      </w:r>
    </w:p>
    <w:p>
      <w:pPr>
        <w:spacing w:after="0" w:line="2" w:lineRule="exact"/>
        <w:rPr>
          <w:rFonts w:ascii="Courier New" w:cs="Courier New" w:eastAsia="Courier New" w:hAnsi="Courier New"/>
          <w:sz w:val="18"/>
          <w:szCs w:val="18"/>
          <w:color w:val="auto"/>
        </w:rPr>
      </w:pPr>
    </w:p>
    <w:p>
      <w:pPr>
        <w:ind w:right="3119" w:firstLine="529"/>
        <w:spacing w:after="0" w:line="26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WITNESS WHEREOF, the undersigned has caused this Power of Attorney to be executed as of this 5th day of May, 2022.</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Timothy Stonehocker</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Signature</w:t>
      </w:r>
    </w:p>
    <w:p>
      <w:pPr>
        <w:spacing w:after="0" w:line="38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Timothy Stonehocker</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Print Name</w:t>
      </w:r>
    </w:p>
    <w:sectPr>
      <w:pgSz w:w="11900" w:h="16838" w:orient="portrait"/>
      <w:cols w:equalWidth="0" w:num="1">
        <w:col w:w="9999"/>
      </w:cols>
      <w:pgMar w:left="460" w:top="29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X"/>
      <w:numFmt w:val="bullet"/>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921376" TargetMode="External"/><Relationship Id="rId13" Type="http://schemas.openxmlformats.org/officeDocument/2006/relationships/hyperlink" Target="http://www.sec.gov/cgi-bin/browse-edgar?action=getcompany&amp;CIK=000184085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2023-06-15T18:23:08Z</dcterms:created>
  <dcterms:modified xsi:type="dcterms:W3CDTF">2023-06-15T18:23:08Z</dcterms:modified>
</cp:coreProperties>
</file>