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 File No. 333-267501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2</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March 31, 2023)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14,301,448 Shares of Class A Common Stock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171450</wp:posOffset>
            </wp:positionV>
            <wp:extent cx="70980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supplement updates, amends and supplements the prospectus dated March 31, 2023 (as supplemented by prospectus supplement no. 1, dated April 17, 2023, the “Prospectus”), which forms a part of our Post-Effective Amendment No. 1 to Registration Statement on Form S-1 (Registration No. 333-267501) filed on March 29, 2023 and declared effective on March 31, 2023. Capitalized terms used in this prospectus supplement and not otherwise defined herein have the meanings specified in the Prospectus.</w:t>
      </w:r>
    </w:p>
    <w:p>
      <w:pPr>
        <w:spacing w:after="0" w:line="187" w:lineRule="exact"/>
        <w:rPr>
          <w:sz w:val="24"/>
          <w:szCs w:val="24"/>
          <w:color w:val="auto"/>
        </w:rPr>
      </w:pPr>
    </w:p>
    <w:p>
      <w:pPr>
        <w:jc w:val="both"/>
        <w:ind w:firstLine="648"/>
        <w:spacing w:after="0" w:line="342" w:lineRule="auto"/>
        <w:rPr>
          <w:sz w:val="20"/>
          <w:szCs w:val="20"/>
          <w:color w:val="auto"/>
        </w:rPr>
      </w:pPr>
      <w:r>
        <w:rPr>
          <w:rFonts w:ascii="Arial" w:cs="Arial" w:eastAsia="Arial" w:hAnsi="Arial"/>
          <w:sz w:val="16"/>
          <w:szCs w:val="16"/>
          <w:color w:val="auto"/>
        </w:rPr>
        <w:t>This prospectus supplement is being filed to update, amend and supplement the information included in the Prospectus with information contained in our Quarterly Report on Form 10-Q for the period ended March 31, 2023, as filed with the SEC on May 12, 2023, which is set forth below.</w:t>
      </w:r>
    </w:p>
    <w:p>
      <w:pPr>
        <w:spacing w:after="0" w:line="124"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7" w:lineRule="exact"/>
        <w:rPr>
          <w:sz w:val="24"/>
          <w:szCs w:val="24"/>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Class A common stock, par value $0.0001 per share (“Class A Common Stock”), is listed on The Nasdaq Capital Market (“Nasdaq”) under the symbol “SOUN.” The last reported closing price for our Class A Common Stock on Nasdaq on May 12, 2023 was $2.48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119380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15 of the Prospectus for a discussion of information that should be considered in connection with an investment in our securities.</w:t>
      </w:r>
    </w:p>
    <w:p>
      <w:pPr>
        <w:spacing w:after="0" w:line="162" w:lineRule="exact"/>
        <w:rPr>
          <w:sz w:val="24"/>
          <w:szCs w:val="24"/>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accuracy or adequacy of the disclosures in the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102235</wp:posOffset>
            </wp:positionV>
            <wp:extent cx="70980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3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May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FORM 10-Q</w:t>
      </w:r>
    </w:p>
    <w:p>
      <w:pPr>
        <w:spacing w:after="0" w:line="18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(Mark One)</w:t>
      </w:r>
    </w:p>
    <w:p>
      <w:pPr>
        <w:spacing w:after="0" w:line="221" w:lineRule="exact"/>
        <w:rPr>
          <w:sz w:val="20"/>
          <w:szCs w:val="20"/>
          <w:color w:val="auto"/>
        </w:rPr>
      </w:pPr>
    </w:p>
    <w:p>
      <w:pPr>
        <w:jc w:val="center"/>
        <w:spacing w:after="0" w:line="461"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QUARTERLY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8"/>
          <w:szCs w:val="18"/>
          <w:b w:val="1"/>
          <w:bCs w:val="1"/>
          <w:color w:val="auto"/>
        </w:rPr>
        <w:t>For the quarterly period ended March 31,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transition period from________to________</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001-40193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3"/>
          </w:tcPr>
          <w:p>
            <w:pPr>
              <w:ind w:left="2420"/>
              <w:spacing w:after="0"/>
              <w:rPr>
                <w:sz w:val="20"/>
                <w:szCs w:val="20"/>
                <w:color w:val="auto"/>
              </w:rPr>
            </w:pPr>
            <w:r>
              <w:rPr>
                <w:rFonts w:ascii="Arial" w:cs="Arial" w:eastAsia="Arial" w:hAnsi="Arial"/>
                <w:sz w:val="18"/>
                <w:szCs w:val="18"/>
                <w:b w:val="1"/>
                <w:bCs w:val="1"/>
                <w:color w:val="auto"/>
              </w:rPr>
              <w:t>Delaware</w:t>
            </w:r>
          </w:p>
        </w:tc>
        <w:tc>
          <w:tcPr>
            <w:tcW w:w="3580" w:type="dxa"/>
            <w:vAlign w:val="bottom"/>
          </w:tcPr>
          <w:p>
            <w:pPr>
              <w:jc w:val="right"/>
              <w:ind w:right="2250"/>
              <w:spacing w:after="0"/>
              <w:rPr>
                <w:sz w:val="20"/>
                <w:szCs w:val="20"/>
                <w:color w:val="auto"/>
              </w:rPr>
            </w:pPr>
            <w:r>
              <w:rPr>
                <w:rFonts w:ascii="Arial" w:cs="Arial" w:eastAsia="Arial" w:hAnsi="Arial"/>
                <w:sz w:val="18"/>
                <w:szCs w:val="18"/>
                <w:b w:val="1"/>
                <w:bCs w:val="1"/>
                <w:color w:val="auto"/>
              </w:rPr>
              <w:t>86-1286799</w:t>
            </w:r>
          </w:p>
        </w:tc>
      </w:tr>
      <w:tr>
        <w:trPr>
          <w:trHeight w:val="27"/>
        </w:trPr>
        <w:tc>
          <w:tcPr>
            <w:tcW w:w="5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22"/>
        </w:trPr>
        <w:tc>
          <w:tcPr>
            <w:tcW w:w="7660" w:type="dxa"/>
            <w:vAlign w:val="bottom"/>
            <w:gridSpan w:val="3"/>
          </w:tcPr>
          <w:p>
            <w:pPr>
              <w:ind w:left="1740"/>
              <w:spacing w:after="0"/>
              <w:rPr>
                <w:sz w:val="20"/>
                <w:szCs w:val="20"/>
                <w:color w:val="auto"/>
              </w:rPr>
            </w:pPr>
            <w:r>
              <w:rPr>
                <w:rFonts w:ascii="Arial" w:cs="Arial" w:eastAsia="Arial" w:hAnsi="Arial"/>
                <w:sz w:val="18"/>
                <w:szCs w:val="18"/>
                <w:color w:val="auto"/>
              </w:rPr>
              <w:t>(State or other jurisdiction of</w:t>
            </w:r>
          </w:p>
        </w:tc>
        <w:tc>
          <w:tcPr>
            <w:tcW w:w="3580" w:type="dxa"/>
            <w:vAlign w:val="bottom"/>
          </w:tcPr>
          <w:p>
            <w:pPr>
              <w:jc w:val="center"/>
              <w:ind w:right="1890"/>
              <w:spacing w:after="0"/>
              <w:rPr>
                <w:sz w:val="20"/>
                <w:szCs w:val="20"/>
                <w:color w:val="auto"/>
              </w:rPr>
            </w:pPr>
            <w:r>
              <w:rPr>
                <w:rFonts w:ascii="Arial" w:cs="Arial" w:eastAsia="Arial" w:hAnsi="Arial"/>
                <w:sz w:val="18"/>
                <w:szCs w:val="18"/>
                <w:color w:val="auto"/>
                <w:w w:val="93"/>
              </w:rPr>
              <w:t>(I.R.S. Employer</w:t>
            </w:r>
          </w:p>
        </w:tc>
      </w:tr>
      <w:tr>
        <w:trPr>
          <w:trHeight w:val="230"/>
        </w:trPr>
        <w:tc>
          <w:tcPr>
            <w:tcW w:w="7660" w:type="dxa"/>
            <w:vAlign w:val="bottom"/>
            <w:gridSpan w:val="3"/>
          </w:tcPr>
          <w:p>
            <w:pPr>
              <w:ind w:left="1740"/>
              <w:spacing w:after="0"/>
              <w:rPr>
                <w:sz w:val="20"/>
                <w:szCs w:val="20"/>
                <w:color w:val="auto"/>
              </w:rPr>
            </w:pPr>
            <w:r>
              <w:rPr>
                <w:rFonts w:ascii="Arial" w:cs="Arial" w:eastAsia="Arial" w:hAnsi="Arial"/>
                <w:sz w:val="18"/>
                <w:szCs w:val="18"/>
                <w:color w:val="auto"/>
              </w:rPr>
              <w:t>incorporation or organization)</w:t>
            </w:r>
          </w:p>
        </w:tc>
        <w:tc>
          <w:tcPr>
            <w:tcW w:w="3580" w:type="dxa"/>
            <w:vAlign w:val="bottom"/>
          </w:tcPr>
          <w:p>
            <w:pPr>
              <w:ind w:left="140"/>
              <w:spacing w:after="0"/>
              <w:rPr>
                <w:sz w:val="20"/>
                <w:szCs w:val="20"/>
                <w:color w:val="auto"/>
              </w:rPr>
            </w:pPr>
            <w:r>
              <w:rPr>
                <w:rFonts w:ascii="Arial" w:cs="Arial" w:eastAsia="Arial" w:hAnsi="Arial"/>
                <w:sz w:val="18"/>
                <w:szCs w:val="18"/>
                <w:color w:val="auto"/>
              </w:rPr>
              <w:t>Identification No.)</w:t>
            </w:r>
          </w:p>
        </w:tc>
      </w:tr>
      <w:tr>
        <w:trPr>
          <w:trHeight w:val="574"/>
        </w:trPr>
        <w:tc>
          <w:tcPr>
            <w:tcW w:w="7660" w:type="dxa"/>
            <w:vAlign w:val="bottom"/>
            <w:tcBorders>
              <w:bottom w:val="single" w:sz="8" w:color="auto"/>
            </w:tcBorders>
            <w:gridSpan w:val="3"/>
          </w:tcPr>
          <w:p>
            <w:pPr>
              <w:jc w:val="center"/>
              <w:ind w:left="3490"/>
              <w:spacing w:after="0"/>
              <w:rPr>
                <w:sz w:val="20"/>
                <w:szCs w:val="20"/>
                <w:color w:val="auto"/>
              </w:rPr>
            </w:pPr>
            <w:r>
              <w:rPr>
                <w:rFonts w:ascii="Arial" w:cs="Arial" w:eastAsia="Arial" w:hAnsi="Arial"/>
                <w:sz w:val="18"/>
                <w:szCs w:val="18"/>
                <w:b w:val="1"/>
                <w:bCs w:val="1"/>
                <w:color w:val="auto"/>
                <w:w w:val="90"/>
              </w:rPr>
              <w:t>5400 Betsy Ross Drive, Santa Clara, CA 95054</w:t>
            </w:r>
          </w:p>
        </w:tc>
        <w:tc>
          <w:tcPr>
            <w:tcW w:w="3580" w:type="dxa"/>
            <w:vAlign w:val="bottom"/>
            <w:tcBorders>
              <w:bottom w:val="single" w:sz="8" w:color="auto"/>
            </w:tcBorders>
          </w:tcPr>
          <w:p>
            <w:pPr>
              <w:spacing w:after="0"/>
              <w:rPr>
                <w:sz w:val="24"/>
                <w:szCs w:val="24"/>
                <w:color w:val="auto"/>
              </w:rPr>
            </w:pPr>
          </w:p>
        </w:tc>
      </w:tr>
      <w:tr>
        <w:trPr>
          <w:trHeight w:val="243"/>
        </w:trPr>
        <w:tc>
          <w:tcPr>
            <w:tcW w:w="7660" w:type="dxa"/>
            <w:vAlign w:val="bottom"/>
            <w:gridSpan w:val="3"/>
          </w:tcPr>
          <w:p>
            <w:pPr>
              <w:jc w:val="center"/>
              <w:ind w:left="3510"/>
              <w:spacing w:after="0"/>
              <w:rPr>
                <w:sz w:val="20"/>
                <w:szCs w:val="20"/>
                <w:color w:val="auto"/>
              </w:rPr>
            </w:pPr>
            <w:r>
              <w:rPr>
                <w:rFonts w:ascii="Arial" w:cs="Arial" w:eastAsia="Arial" w:hAnsi="Arial"/>
                <w:sz w:val="18"/>
                <w:szCs w:val="18"/>
                <w:color w:val="auto"/>
                <w:w w:val="92"/>
              </w:rPr>
              <w:t>(Address of principal executive offices) (Zip Code)</w:t>
            </w:r>
          </w:p>
        </w:tc>
        <w:tc>
          <w:tcPr>
            <w:tcW w:w="3580" w:type="dxa"/>
            <w:vAlign w:val="bottom"/>
          </w:tcPr>
          <w:p>
            <w:pPr>
              <w:spacing w:after="0"/>
              <w:rPr>
                <w:sz w:val="21"/>
                <w:szCs w:val="21"/>
                <w:color w:val="auto"/>
              </w:rPr>
            </w:pPr>
          </w:p>
        </w:tc>
      </w:tr>
      <w:tr>
        <w:trPr>
          <w:trHeight w:val="574"/>
        </w:trPr>
        <w:tc>
          <w:tcPr>
            <w:tcW w:w="7660" w:type="dxa"/>
            <w:vAlign w:val="bottom"/>
            <w:tcBorders>
              <w:bottom w:val="single" w:sz="8" w:color="auto"/>
            </w:tcBorders>
            <w:gridSpan w:val="3"/>
          </w:tcPr>
          <w:p>
            <w:pPr>
              <w:jc w:val="center"/>
              <w:ind w:left="3490"/>
              <w:spacing w:after="0"/>
              <w:rPr>
                <w:sz w:val="20"/>
                <w:szCs w:val="20"/>
                <w:color w:val="auto"/>
              </w:rPr>
            </w:pPr>
            <w:r>
              <w:rPr>
                <w:rFonts w:ascii="Arial" w:cs="Arial" w:eastAsia="Arial" w:hAnsi="Arial"/>
                <w:sz w:val="18"/>
                <w:szCs w:val="18"/>
                <w:b w:val="1"/>
                <w:bCs w:val="1"/>
                <w:color w:val="auto"/>
                <w:w w:val="90"/>
              </w:rPr>
              <w:t>(408) 441-3200</w:t>
            </w:r>
          </w:p>
        </w:tc>
        <w:tc>
          <w:tcPr>
            <w:tcW w:w="3580" w:type="dxa"/>
            <w:vAlign w:val="bottom"/>
            <w:tcBorders>
              <w:bottom w:val="single" w:sz="8" w:color="auto"/>
            </w:tcBorders>
          </w:tcPr>
          <w:p>
            <w:pPr>
              <w:spacing w:after="0"/>
              <w:rPr>
                <w:sz w:val="24"/>
                <w:szCs w:val="24"/>
                <w:color w:val="auto"/>
              </w:rPr>
            </w:pPr>
          </w:p>
        </w:tc>
      </w:tr>
      <w:tr>
        <w:trPr>
          <w:trHeight w:val="243"/>
        </w:trPr>
        <w:tc>
          <w:tcPr>
            <w:tcW w:w="7660" w:type="dxa"/>
            <w:vAlign w:val="bottom"/>
            <w:gridSpan w:val="3"/>
          </w:tcPr>
          <w:p>
            <w:pPr>
              <w:jc w:val="center"/>
              <w:ind w:left="3490"/>
              <w:spacing w:after="0"/>
              <w:rPr>
                <w:sz w:val="20"/>
                <w:szCs w:val="20"/>
                <w:color w:val="auto"/>
              </w:rPr>
            </w:pPr>
            <w:r>
              <w:rPr>
                <w:rFonts w:ascii="Arial" w:cs="Arial" w:eastAsia="Arial" w:hAnsi="Arial"/>
                <w:sz w:val="18"/>
                <w:szCs w:val="18"/>
                <w:color w:val="auto"/>
                <w:w w:val="89"/>
              </w:rPr>
              <w:t>(Registrant’s telephone number, including area code)</w:t>
            </w:r>
          </w:p>
        </w:tc>
        <w:tc>
          <w:tcPr>
            <w:tcW w:w="3580" w:type="dxa"/>
            <w:vAlign w:val="bottom"/>
          </w:tcPr>
          <w:p>
            <w:pPr>
              <w:spacing w:after="0"/>
              <w:rPr>
                <w:sz w:val="21"/>
                <w:szCs w:val="2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50"/>
        </w:trPr>
        <w:tc>
          <w:tcPr>
            <w:tcW w:w="3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60" w:type="dxa"/>
            <w:vAlign w:val="bottom"/>
          </w:tcPr>
          <w:p>
            <w:pPr>
              <w:spacing w:after="0"/>
              <w:rPr>
                <w:sz w:val="21"/>
                <w:szCs w:val="21"/>
                <w:color w:val="auto"/>
              </w:rPr>
            </w:pPr>
          </w:p>
        </w:tc>
      </w:tr>
      <w:tr>
        <w:trPr>
          <w:trHeight w:val="229"/>
        </w:trPr>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par value $0.0001 per</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SOUN</w:t>
            </w:r>
          </w:p>
        </w:tc>
        <w:tc>
          <w:tcPr>
            <w:tcW w:w="12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7"/>
        </w:trPr>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share</w:t>
            </w:r>
          </w:p>
        </w:tc>
        <w:tc>
          <w:tcPr>
            <w:tcW w:w="10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r>
      <w:tr>
        <w:trPr>
          <w:trHeight w:val="270"/>
        </w:trPr>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3"/>
                <w:szCs w:val="23"/>
                <w:color w:val="auto"/>
              </w:rPr>
            </w:pPr>
          </w:p>
        </w:tc>
      </w:tr>
      <w:tr>
        <w:trPr>
          <w:trHeight w:val="243"/>
        </w:trPr>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Redeemable Warrants</w:t>
            </w:r>
          </w:p>
        </w:tc>
        <w:tc>
          <w:tcPr>
            <w:tcW w:w="100" w:type="dxa"/>
            <w:vAlign w:val="bottom"/>
            <w:shd w:val="clear" w:color="auto" w:fill="CCEEFF"/>
          </w:tcPr>
          <w:p>
            <w:pPr>
              <w:spacing w:after="0"/>
              <w:rPr>
                <w:sz w:val="21"/>
                <w:szCs w:val="21"/>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SOUNW</w:t>
            </w:r>
          </w:p>
        </w:tc>
        <w:tc>
          <w:tcPr>
            <w:tcW w:w="120" w:type="dxa"/>
            <w:vAlign w:val="bottom"/>
            <w:shd w:val="clear" w:color="auto" w:fill="CCEEFF"/>
          </w:tcPr>
          <w:p>
            <w:pPr>
              <w:spacing w:after="0"/>
              <w:rPr>
                <w:sz w:val="21"/>
                <w:szCs w:val="21"/>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7"/>
        </w:trPr>
        <w:tc>
          <w:tcPr>
            <w:tcW w:w="3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o</w:t>
            </w:r>
          </w:p>
        </w:tc>
        <w:tc>
          <w:tcPr>
            <w:tcW w:w="3560" w:type="dxa"/>
            <w:vAlign w:val="bottom"/>
          </w:tcPr>
          <w:p>
            <w:pPr>
              <w:ind w:left="120"/>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820"/>
              <w:spacing w:after="0"/>
              <w:rPr>
                <w:sz w:val="20"/>
                <w:szCs w:val="20"/>
                <w:color w:val="auto"/>
              </w:rPr>
            </w:pPr>
            <w:r>
              <w:rPr>
                <w:rFonts w:ascii="Arial" w:cs="Arial" w:eastAsia="Arial" w:hAnsi="Arial"/>
                <w:sz w:val="18"/>
                <w:szCs w:val="18"/>
                <w:color w:val="auto"/>
              </w:rPr>
              <w:t>o</w:t>
            </w:r>
          </w:p>
        </w:tc>
        <w:tc>
          <w:tcPr>
            <w:tcW w:w="2100" w:type="dxa"/>
            <w:vAlign w:val="bottom"/>
          </w:tcPr>
          <w:p>
            <w:pPr>
              <w:ind w:left="140"/>
              <w:spacing w:after="0"/>
              <w:rPr>
                <w:sz w:val="20"/>
                <w:szCs w:val="20"/>
                <w:color w:val="auto"/>
              </w:rPr>
            </w:pPr>
            <w:r>
              <w:rPr>
                <w:rFonts w:ascii="Arial" w:cs="Arial" w:eastAsia="Arial" w:hAnsi="Arial"/>
                <w:sz w:val="18"/>
                <w:szCs w:val="18"/>
                <w:color w:val="auto"/>
              </w:rPr>
              <w:t>Accelerated filer</w:t>
            </w:r>
          </w:p>
        </w:tc>
      </w:tr>
      <w:tr>
        <w:trPr>
          <w:trHeight w:val="270"/>
        </w:trPr>
        <w:tc>
          <w:tcPr>
            <w:tcW w:w="240" w:type="dxa"/>
            <w:vAlign w:val="bottom"/>
          </w:tcPr>
          <w:p>
            <w:pPr>
              <w:spacing w:after="0"/>
              <w:rPr>
                <w:sz w:val="20"/>
                <w:szCs w:val="20"/>
                <w:color w:val="auto"/>
              </w:rPr>
            </w:pPr>
            <w:r>
              <w:rPr>
                <w:rFonts w:ascii="Arial" w:cs="Arial" w:eastAsia="Arial" w:hAnsi="Arial"/>
                <w:sz w:val="18"/>
                <w:szCs w:val="18"/>
                <w:color w:val="auto"/>
              </w:rPr>
              <w:t>x</w:t>
            </w:r>
          </w:p>
        </w:tc>
        <w:tc>
          <w:tcPr>
            <w:tcW w:w="3560" w:type="dxa"/>
            <w:vAlign w:val="bottom"/>
          </w:tcPr>
          <w:p>
            <w:pPr>
              <w:ind w:left="120"/>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820"/>
              <w:spacing w:after="0"/>
              <w:rPr>
                <w:sz w:val="20"/>
                <w:szCs w:val="20"/>
                <w:color w:val="auto"/>
              </w:rPr>
            </w:pPr>
            <w:r>
              <w:rPr>
                <w:rFonts w:ascii="Arial" w:cs="Arial" w:eastAsia="Arial" w:hAnsi="Arial"/>
                <w:sz w:val="18"/>
                <w:szCs w:val="18"/>
                <w:color w:val="auto"/>
              </w:rPr>
              <w:t>x</w:t>
            </w:r>
          </w:p>
        </w:tc>
        <w:tc>
          <w:tcPr>
            <w:tcW w:w="2100" w:type="dxa"/>
            <w:vAlign w:val="bottom"/>
          </w:tcPr>
          <w:p>
            <w:pPr>
              <w:ind w:left="140"/>
              <w:spacing w:after="0"/>
              <w:rPr>
                <w:sz w:val="20"/>
                <w:szCs w:val="20"/>
                <w:color w:val="auto"/>
              </w:rPr>
            </w:pPr>
            <w:r>
              <w:rPr>
                <w:rFonts w:ascii="Arial" w:cs="Arial" w:eastAsia="Arial" w:hAnsi="Arial"/>
                <w:sz w:val="18"/>
                <w:szCs w:val="18"/>
                <w:color w:val="auto"/>
                <w:w w:val="90"/>
              </w:rPr>
              <w:t>Smaller reporting company</w:t>
            </w:r>
          </w:p>
        </w:tc>
      </w:tr>
      <w:tr>
        <w:trPr>
          <w:trHeight w:val="270"/>
        </w:trPr>
        <w:tc>
          <w:tcPr>
            <w:tcW w:w="2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040" w:type="dxa"/>
            <w:vAlign w:val="bottom"/>
          </w:tcPr>
          <w:p>
            <w:pPr>
              <w:ind w:left="1820"/>
              <w:spacing w:after="0"/>
              <w:rPr>
                <w:sz w:val="20"/>
                <w:szCs w:val="20"/>
                <w:color w:val="auto"/>
              </w:rPr>
            </w:pPr>
            <w:r>
              <w:rPr>
                <w:rFonts w:ascii="Arial" w:cs="Arial" w:eastAsia="Arial" w:hAnsi="Arial"/>
                <w:sz w:val="18"/>
                <w:szCs w:val="18"/>
                <w:color w:val="auto"/>
              </w:rPr>
              <w:t>x</w:t>
            </w:r>
          </w:p>
        </w:tc>
        <w:tc>
          <w:tcPr>
            <w:tcW w:w="2100" w:type="dxa"/>
            <w:vAlign w:val="bottom"/>
          </w:tcPr>
          <w:p>
            <w:pPr>
              <w:ind w:left="140"/>
              <w:spacing w:after="0"/>
              <w:rPr>
                <w:sz w:val="20"/>
                <w:szCs w:val="20"/>
                <w:color w:val="auto"/>
              </w:rPr>
            </w:pPr>
            <w:r>
              <w:rPr>
                <w:rFonts w:ascii="Arial" w:cs="Arial" w:eastAsia="Arial" w:hAnsi="Arial"/>
                <w:sz w:val="18"/>
                <w:szCs w:val="18"/>
                <w:color w:val="auto"/>
                <w:w w:val="90"/>
              </w:rPr>
              <w:t>Emerging growth company</w:t>
            </w:r>
          </w:p>
        </w:tc>
      </w:tr>
    </w:tbl>
    <w:p>
      <w:pPr>
        <w:sectPr>
          <w:pgSz w:w="11900" w:h="16838" w:orient="portrait"/>
          <w:cols w:equalWidth="0" w:num="1">
            <w:col w:w="11240"/>
          </w:cols>
          <w:pgMar w:left="320" w:top="688" w:right="339" w:bottom="163" w:gutter="0" w:footer="0" w:header="0"/>
        </w:sectPr>
      </w:pPr>
    </w:p>
    <w:bookmarkStart w:id="2" w:name="page3"/>
    <w:bookmarkEnd w:id="2"/>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May 9, 2023, there were 177,215,906 shares of the Company’s Class A common stock, $0.0001 par value per share, issued and outstanding, and 39,735,408 shares of the Company’s Class B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790575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shd w:val="clear" w:color="auto" w:fill="CCEEFF"/>
          </w:tcPr>
          <w:p>
            <w:pPr>
              <w:spacing w:after="0"/>
              <w:rPr>
                <w:sz w:val="22"/>
                <w:szCs w:val="22"/>
                <w:color w:val="auto"/>
              </w:rPr>
            </w:pPr>
          </w:p>
        </w:tc>
        <w:tc>
          <w:tcPr>
            <w:tcW w:w="10280" w:type="dxa"/>
            <w:vAlign w:val="bottom"/>
            <w:gridSpan w:val="21"/>
            <w:shd w:val="clear" w:color="auto" w:fill="CCEEFF"/>
          </w:tcPr>
          <w:p>
            <w:pPr>
              <w:spacing w:after="0"/>
              <w:rPr>
                <w:sz w:val="20"/>
                <w:szCs w:val="20"/>
                <w:color w:val="auto"/>
              </w:rPr>
            </w:pPr>
            <w:r>
              <w:rPr>
                <w:rFonts w:ascii="Arial" w:cs="Arial" w:eastAsia="Arial" w:hAnsi="Arial"/>
                <w:sz w:val="18"/>
                <w:szCs w:val="18"/>
                <w:color w:val="0000FF"/>
              </w:rPr>
              <w:t>PART I. FINANCIAL INFORMATION</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440" w:type="dxa"/>
            <w:vAlign w:val="bottom"/>
            <w:gridSpan w:val="20"/>
            <w:shd w:val="clear" w:color="auto" w:fill="CCEEFF"/>
          </w:tcPr>
          <w:p>
            <w:pPr>
              <w:ind w:left="200"/>
              <w:spacing w:after="0" w:line="202" w:lineRule="exact"/>
              <w:rPr>
                <w:sz w:val="20"/>
                <w:szCs w:val="20"/>
                <w:color w:val="auto"/>
              </w:rPr>
            </w:pPr>
            <w:r>
              <w:rPr>
                <w:rFonts w:ascii="Arial" w:cs="Arial" w:eastAsia="Arial" w:hAnsi="Arial"/>
                <w:sz w:val="18"/>
                <w:szCs w:val="18"/>
                <w:color w:val="0000FF"/>
              </w:rPr>
              <w:t>Condensed Consolidated Financial Statements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440" w:type="dxa"/>
            <w:vAlign w:val="bottom"/>
            <w:gridSpan w:val="20"/>
            <w:shd w:val="clear" w:color="auto" w:fill="CCEEFF"/>
          </w:tcPr>
          <w:p>
            <w:pPr>
              <w:ind w:left="200"/>
              <w:spacing w:after="0" w:line="202" w:lineRule="exact"/>
              <w:rPr>
                <w:sz w:val="20"/>
                <w:szCs w:val="20"/>
                <w:color w:val="auto"/>
              </w:rPr>
            </w:pPr>
            <w:r>
              <w:rPr>
                <w:rFonts w:ascii="Arial" w:cs="Arial" w:eastAsia="Arial" w:hAnsi="Arial"/>
                <w:sz w:val="18"/>
                <w:szCs w:val="18"/>
                <w:color w:val="0000FF"/>
              </w:rPr>
              <w:t>Condensed Consolidated Balance Sheets as of March 31, 2023 (unaudited) and December 31, 2022</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440" w:type="dxa"/>
            <w:vAlign w:val="bottom"/>
            <w:gridSpan w:val="20"/>
            <w:shd w:val="clear" w:color="auto" w:fill="CCEEFF"/>
          </w:tcPr>
          <w:p>
            <w:pPr>
              <w:ind w:left="200"/>
              <w:spacing w:after="0" w:line="202" w:lineRule="exact"/>
              <w:rPr>
                <w:sz w:val="20"/>
                <w:szCs w:val="20"/>
                <w:color w:val="auto"/>
              </w:rPr>
            </w:pPr>
            <w:r>
              <w:rPr>
                <w:rFonts w:ascii="Arial" w:cs="Arial" w:eastAsia="Arial" w:hAnsi="Arial"/>
                <w:sz w:val="18"/>
                <w:szCs w:val="18"/>
                <w:color w:val="0000FF"/>
                <w:w w:val="98"/>
              </w:rPr>
              <w:t>Condensed Consolidated Statements of Operations for the three months ended March 31, 2023 and 2022 (unaudited)</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2</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40" w:type="dxa"/>
            <w:vAlign w:val="bottom"/>
            <w:gridSpan w:val="19"/>
            <w:shd w:val="clear" w:color="auto" w:fill="CCEEFF"/>
          </w:tcPr>
          <w:p>
            <w:pPr>
              <w:spacing w:after="0" w:line="202" w:lineRule="exact"/>
              <w:rPr>
                <w:sz w:val="20"/>
                <w:szCs w:val="20"/>
                <w:color w:val="auto"/>
              </w:rPr>
            </w:pPr>
            <w:r>
              <w:rPr>
                <w:rFonts w:ascii="Arial" w:cs="Arial" w:eastAsia="Arial" w:hAnsi="Arial"/>
                <w:sz w:val="18"/>
                <w:szCs w:val="18"/>
                <w:color w:val="0000FF"/>
                <w:w w:val="94"/>
              </w:rPr>
              <w:t>Condensed Consolidated Statements of Redeemable Convertible Preferred Stock and Stockholders’ Equity (Deficit) for the</w:t>
            </w:r>
          </w:p>
        </w:tc>
        <w:tc>
          <w:tcPr>
            <w:tcW w:w="940" w:type="dxa"/>
            <w:vAlign w:val="bottom"/>
            <w:shd w:val="clear" w:color="auto" w:fill="CCEEFF"/>
          </w:tcPr>
          <w:p>
            <w:pPr>
              <w:spacing w:after="0"/>
              <w:rPr>
                <w:sz w:val="17"/>
                <w:szCs w:val="17"/>
                <w:color w:val="auto"/>
              </w:rPr>
            </w:pPr>
          </w:p>
        </w:tc>
      </w:tr>
      <w:tr>
        <w:trPr>
          <w:trHeight w:val="243"/>
        </w:trPr>
        <w:tc>
          <w:tcPr>
            <w:tcW w:w="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0000FF"/>
            </w:tcBorders>
            <w:shd w:val="clear" w:color="auto" w:fill="CCEEFF"/>
          </w:tcPr>
          <w:p>
            <w:pPr>
              <w:spacing w:after="0"/>
              <w:rPr>
                <w:sz w:val="21"/>
                <w:szCs w:val="21"/>
                <w:color w:val="auto"/>
              </w:rPr>
            </w:pPr>
          </w:p>
        </w:tc>
        <w:tc>
          <w:tcPr>
            <w:tcW w:w="8800" w:type="dxa"/>
            <w:vAlign w:val="bottom"/>
            <w:tcBorders>
              <w:top w:val="single" w:sz="8" w:color="0000FF"/>
            </w:tcBorders>
            <w:gridSpan w:val="17"/>
            <w:shd w:val="clear" w:color="auto" w:fill="CCEEFF"/>
          </w:tcPr>
          <w:p>
            <w:pPr>
              <w:ind w:left="100"/>
              <w:spacing w:after="0" w:line="196" w:lineRule="exact"/>
              <w:rPr>
                <w:sz w:val="20"/>
                <w:szCs w:val="20"/>
                <w:color w:val="auto"/>
              </w:rPr>
            </w:pPr>
            <w:r>
              <w:rPr>
                <w:rFonts w:ascii="Arial" w:cs="Arial" w:eastAsia="Arial" w:hAnsi="Arial"/>
                <w:sz w:val="18"/>
                <w:szCs w:val="18"/>
                <w:color w:val="0000FF"/>
              </w:rPr>
              <w:t>three months ended March 31, 2023 and 2022 (unaudited)</w:t>
            </w:r>
          </w:p>
        </w:tc>
        <w:tc>
          <w:tcPr>
            <w:tcW w:w="38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440" w:type="dxa"/>
            <w:vAlign w:val="bottom"/>
            <w:gridSpan w:val="20"/>
            <w:shd w:val="clear" w:color="auto" w:fill="CCEEFF"/>
          </w:tcPr>
          <w:p>
            <w:pPr>
              <w:ind w:left="200"/>
              <w:spacing w:after="0" w:line="202" w:lineRule="exact"/>
              <w:rPr>
                <w:sz w:val="20"/>
                <w:szCs w:val="20"/>
                <w:color w:val="auto"/>
              </w:rPr>
            </w:pPr>
            <w:r>
              <w:rPr>
                <w:rFonts w:ascii="Arial" w:cs="Arial" w:eastAsia="Arial" w:hAnsi="Arial"/>
                <w:sz w:val="18"/>
                <w:szCs w:val="18"/>
                <w:color w:val="0000FF"/>
                <w:w w:val="97"/>
              </w:rPr>
              <w:t>Condensed Consolidated Statements of Cash Flows for the three months ended March 31, 2023 and 2022 (unaudited)</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4</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440" w:type="dxa"/>
            <w:vAlign w:val="bottom"/>
            <w:gridSpan w:val="20"/>
            <w:shd w:val="clear" w:color="auto" w:fill="CCEEFF"/>
          </w:tcPr>
          <w:p>
            <w:pPr>
              <w:ind w:left="200"/>
              <w:spacing w:after="0" w:line="202" w:lineRule="exact"/>
              <w:rPr>
                <w:sz w:val="20"/>
                <w:szCs w:val="20"/>
                <w:color w:val="auto"/>
              </w:rPr>
            </w:pPr>
            <w:r>
              <w:rPr>
                <w:rFonts w:ascii="Arial" w:cs="Arial" w:eastAsia="Arial" w:hAnsi="Arial"/>
                <w:sz w:val="18"/>
                <w:szCs w:val="18"/>
                <w:color w:val="0000FF"/>
              </w:rPr>
              <w:t>Notes to Condensed Consolidated Financial Statements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5</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2.</w:t>
            </w:r>
          </w:p>
        </w:tc>
        <w:tc>
          <w:tcPr>
            <w:tcW w:w="9440" w:type="dxa"/>
            <w:vAlign w:val="bottom"/>
            <w:gridSpan w:val="20"/>
            <w:shd w:val="clear" w:color="auto" w:fill="CCEEFF"/>
          </w:tcPr>
          <w:p>
            <w:pPr>
              <w:ind w:left="200"/>
              <w:spacing w:after="0" w:line="20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28</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3.</w:t>
            </w:r>
          </w:p>
        </w:tc>
        <w:tc>
          <w:tcPr>
            <w:tcW w:w="9440" w:type="dxa"/>
            <w:vAlign w:val="bottom"/>
            <w:gridSpan w:val="20"/>
            <w:shd w:val="clear" w:color="auto" w:fill="CCEEFF"/>
          </w:tcPr>
          <w:p>
            <w:pPr>
              <w:ind w:left="200"/>
              <w:spacing w:after="0" w:line="202" w:lineRule="exact"/>
              <w:rPr>
                <w:sz w:val="20"/>
                <w:szCs w:val="20"/>
                <w:color w:val="auto"/>
              </w:rPr>
            </w:pPr>
            <w:r>
              <w:rPr>
                <w:rFonts w:ascii="Arial" w:cs="Arial" w:eastAsia="Arial" w:hAnsi="Arial"/>
                <w:sz w:val="18"/>
                <w:szCs w:val="18"/>
                <w:color w:val="0000FF"/>
              </w:rPr>
              <w:t>Quantitative and Qualitative Disclosures About Market Risk</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40</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4.</w:t>
            </w:r>
          </w:p>
        </w:tc>
        <w:tc>
          <w:tcPr>
            <w:tcW w:w="9440" w:type="dxa"/>
            <w:vAlign w:val="bottom"/>
            <w:gridSpan w:val="20"/>
            <w:shd w:val="clear" w:color="auto" w:fill="CCEEFF"/>
          </w:tcPr>
          <w:p>
            <w:pPr>
              <w:ind w:left="200"/>
              <w:spacing w:after="0" w:line="202" w:lineRule="exact"/>
              <w:rPr>
                <w:sz w:val="20"/>
                <w:szCs w:val="20"/>
                <w:color w:val="auto"/>
              </w:rPr>
            </w:pPr>
            <w:r>
              <w:rPr>
                <w:rFonts w:ascii="Arial" w:cs="Arial" w:eastAsia="Arial" w:hAnsi="Arial"/>
                <w:sz w:val="18"/>
                <w:szCs w:val="18"/>
                <w:color w:val="0000FF"/>
              </w:rPr>
              <w:t>Controls and Procedures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40</w:t>
            </w:r>
          </w:p>
        </w:tc>
      </w:tr>
      <w:tr>
        <w:trPr>
          <w:trHeight w:val="270"/>
        </w:trPr>
        <w:tc>
          <w:tcPr>
            <w:tcW w:w="2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gridSpan w:val="2"/>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1028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0000FF"/>
              </w:rPr>
              <w:t>PART II. OTHER INFORMATION</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440" w:type="dxa"/>
            <w:vAlign w:val="bottom"/>
            <w:gridSpan w:val="20"/>
            <w:shd w:val="clear" w:color="auto" w:fill="CCEEFF"/>
          </w:tcPr>
          <w:p>
            <w:pPr>
              <w:ind w:left="200"/>
              <w:spacing w:after="0" w:line="202" w:lineRule="exact"/>
              <w:rPr>
                <w:sz w:val="20"/>
                <w:szCs w:val="20"/>
                <w:color w:val="auto"/>
              </w:rPr>
            </w:pPr>
            <w:r>
              <w:rPr>
                <w:rFonts w:ascii="Arial" w:cs="Arial" w:eastAsia="Arial" w:hAnsi="Arial"/>
                <w:sz w:val="18"/>
                <w:szCs w:val="18"/>
                <w:color w:val="0000FF"/>
              </w:rPr>
              <w:t>Legal Proceedings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1A.</w:t>
            </w:r>
          </w:p>
        </w:tc>
        <w:tc>
          <w:tcPr>
            <w:tcW w:w="9440" w:type="dxa"/>
            <w:vAlign w:val="bottom"/>
            <w:gridSpan w:val="20"/>
            <w:shd w:val="clear" w:color="auto" w:fill="CCEEFF"/>
          </w:tcPr>
          <w:p>
            <w:pPr>
              <w:ind w:left="200"/>
              <w:spacing w:after="0" w:line="202" w:lineRule="exact"/>
              <w:rPr>
                <w:sz w:val="20"/>
                <w:szCs w:val="20"/>
                <w:color w:val="auto"/>
              </w:rPr>
            </w:pPr>
            <w:r>
              <w:rPr>
                <w:rFonts w:ascii="Arial" w:cs="Arial" w:eastAsia="Arial" w:hAnsi="Arial"/>
                <w:sz w:val="18"/>
                <w:szCs w:val="18"/>
                <w:color w:val="0000FF"/>
              </w:rPr>
              <w:t>Risk Factors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2.</w:t>
            </w:r>
          </w:p>
        </w:tc>
        <w:tc>
          <w:tcPr>
            <w:tcW w:w="9440" w:type="dxa"/>
            <w:vAlign w:val="bottom"/>
            <w:gridSpan w:val="20"/>
            <w:shd w:val="clear" w:color="auto" w:fill="CCEEFF"/>
          </w:tcPr>
          <w:p>
            <w:pPr>
              <w:ind w:left="200"/>
              <w:spacing w:after="0" w:line="202" w:lineRule="exact"/>
              <w:rPr>
                <w:sz w:val="20"/>
                <w:szCs w:val="20"/>
                <w:color w:val="auto"/>
              </w:rPr>
            </w:pPr>
            <w:r>
              <w:rPr>
                <w:rFonts w:ascii="Arial" w:cs="Arial" w:eastAsia="Arial" w:hAnsi="Arial"/>
                <w:sz w:val="18"/>
                <w:szCs w:val="18"/>
                <w:color w:val="0000FF"/>
              </w:rPr>
              <w:t>Unregistered Sales of Equity Securities and Use of Proceeds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3.</w:t>
            </w:r>
          </w:p>
        </w:tc>
        <w:tc>
          <w:tcPr>
            <w:tcW w:w="9440" w:type="dxa"/>
            <w:vAlign w:val="bottom"/>
            <w:gridSpan w:val="20"/>
            <w:shd w:val="clear" w:color="auto" w:fill="CCEEFF"/>
          </w:tcPr>
          <w:p>
            <w:pPr>
              <w:ind w:left="200"/>
              <w:spacing w:after="0" w:line="202" w:lineRule="exact"/>
              <w:rPr>
                <w:sz w:val="20"/>
                <w:szCs w:val="20"/>
                <w:color w:val="auto"/>
              </w:rPr>
            </w:pPr>
            <w:r>
              <w:rPr>
                <w:rFonts w:ascii="Arial" w:cs="Arial" w:eastAsia="Arial" w:hAnsi="Arial"/>
                <w:sz w:val="18"/>
                <w:szCs w:val="18"/>
                <w:color w:val="0000FF"/>
              </w:rPr>
              <w:t>Defaults Upon Senior Securities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4.</w:t>
            </w:r>
          </w:p>
        </w:tc>
        <w:tc>
          <w:tcPr>
            <w:tcW w:w="9440" w:type="dxa"/>
            <w:vAlign w:val="bottom"/>
            <w:gridSpan w:val="20"/>
            <w:shd w:val="clear" w:color="auto" w:fill="CCEEFF"/>
          </w:tcPr>
          <w:p>
            <w:pPr>
              <w:ind w:left="200"/>
              <w:spacing w:after="0" w:line="202" w:lineRule="exact"/>
              <w:rPr>
                <w:sz w:val="20"/>
                <w:szCs w:val="20"/>
                <w:color w:val="auto"/>
              </w:rPr>
            </w:pPr>
            <w:r>
              <w:rPr>
                <w:rFonts w:ascii="Arial" w:cs="Arial" w:eastAsia="Arial" w:hAnsi="Arial"/>
                <w:sz w:val="18"/>
                <w:szCs w:val="18"/>
                <w:color w:val="0000FF"/>
              </w:rPr>
              <w:t>Mine Safety Disclosures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5.</w:t>
            </w:r>
          </w:p>
        </w:tc>
        <w:tc>
          <w:tcPr>
            <w:tcW w:w="9440" w:type="dxa"/>
            <w:vAlign w:val="bottom"/>
            <w:gridSpan w:val="20"/>
            <w:shd w:val="clear" w:color="auto" w:fill="CCEEFF"/>
          </w:tcPr>
          <w:p>
            <w:pPr>
              <w:ind w:left="200"/>
              <w:spacing w:after="0" w:line="202" w:lineRule="exact"/>
              <w:rPr>
                <w:sz w:val="20"/>
                <w:szCs w:val="20"/>
                <w:color w:val="auto"/>
              </w:rPr>
            </w:pPr>
            <w:r>
              <w:rPr>
                <w:rFonts w:ascii="Arial" w:cs="Arial" w:eastAsia="Arial" w:hAnsi="Arial"/>
                <w:sz w:val="18"/>
                <w:szCs w:val="18"/>
                <w:color w:val="0000FF"/>
              </w:rPr>
              <w:t>Other Information</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6.</w:t>
            </w:r>
          </w:p>
        </w:tc>
        <w:tc>
          <w:tcPr>
            <w:tcW w:w="9440" w:type="dxa"/>
            <w:vAlign w:val="bottom"/>
            <w:gridSpan w:val="20"/>
            <w:shd w:val="clear" w:color="auto" w:fill="CCEEFF"/>
          </w:tcPr>
          <w:p>
            <w:pPr>
              <w:ind w:left="200"/>
              <w:spacing w:after="0" w:line="202" w:lineRule="exact"/>
              <w:rPr>
                <w:sz w:val="20"/>
                <w:szCs w:val="20"/>
                <w:color w:val="auto"/>
              </w:rPr>
            </w:pPr>
            <w:r>
              <w:rPr>
                <w:rFonts w:ascii="Arial" w:cs="Arial" w:eastAsia="Arial" w:hAnsi="Arial"/>
                <w:sz w:val="18"/>
                <w:szCs w:val="18"/>
                <w:color w:val="0000FF"/>
              </w:rPr>
              <w:t>Exhibits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42</w:t>
            </w:r>
          </w:p>
        </w:tc>
      </w:tr>
      <w:tr>
        <w:trPr>
          <w:trHeight w:val="270"/>
        </w:trPr>
        <w:tc>
          <w:tcPr>
            <w:tcW w:w="2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gridSpan w:val="2"/>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02"/>
        </w:trPr>
        <w:tc>
          <w:tcPr>
            <w:tcW w:w="20" w:type="dxa"/>
            <w:vAlign w:val="bottom"/>
            <w:shd w:val="clear" w:color="auto" w:fill="CCEEFF"/>
          </w:tcPr>
          <w:p>
            <w:pPr>
              <w:spacing w:after="0"/>
              <w:rPr>
                <w:sz w:val="17"/>
                <w:szCs w:val="17"/>
                <w:color w:val="auto"/>
              </w:rPr>
            </w:pPr>
          </w:p>
        </w:tc>
        <w:tc>
          <w:tcPr>
            <w:tcW w:w="1028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0000FF"/>
              </w:rPr>
              <w:t>SIGNATURES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43</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Quarterly Report on Form 10-Q (this “report”) of SoundHound AI, Inc. (“we,” “us,” “our,” “SoundHound,” or the “Company”) contains “forward-looking statements” (as defined in Section 27A of the Securities Act of 1933, as amended, and Section 21E of the Securities Exchange Act of 1934, as amended) that reflect our current expectations and views of future events. The forward-looking statements are contained principally in the section of this report entitled “Management’s Discussion and Analysis of Financial Condition and Results of Operations.” Readers are cautioned that significant known and unknown risks, uncertainties and other important factors (including those over which we may have no control and others listed in this report and in the “Risk Factors” section of our annual report on Form 10-K, which was filed with the Securities and Exchange Commission on March 28, 2023 (the "Form 10-K")) may cause our actual results, performance or achievements to be materially different from those expressed or implied by the forward-looking statements. 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82" w:lineRule="exact"/>
        <w:rPr>
          <w:sz w:val="20"/>
          <w:szCs w:val="20"/>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execution of our business strategy, including launching new product offerings and expanding information and technology capabilities, particularly following our recent restructuring efforts;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market opportunity and our ability to acquire new customers and retain existing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and impact of our growth initiatives on our future financial performance;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trade secrets;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obtain additional capital, including equity or debt financing, on terms that are acceptable to us, if at all, particularly in light of inflationary pressures and resulting increases in the cost of borrowing;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applicable laws or regulations and extensive and evolving government regulations that impact our operations and business;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attract or maintain a qualified workforce, particularly following our recent restructuring efforts;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of product service failures that could lead our customers to use competitors’ services;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regulatory or legal proceedings, including with respect to our AI technology;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effects of the COVID-19 pandemic or any similar public health developments on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relating to uncertainty of our estimates of market opportunity and forecasts of market growth;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maintain the listing of our Class A Common Stock on the Nasdaq Global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titled “Risk Factors” of our Form 10-K.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forward-looking statements involve numerous and significant risks and uncertainties.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Important risks and factors that could cause our actual results to be materially different from our expectations are generally set forth in the “Management’s Discussion and Analysis of Financial Condition and Results of Operation,” section contain in this report and in the “Business,” “Risk Factors” and other sections of the Form 10-K. You should thoroughly read this report and the documents that we refer to with the understanding that our actual future results may be materially different from, and worse than, what we expect. We qualify all of our forward-looking statements by these cautionary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160" w:type="dxa"/>
            <w:vAlign w:val="bottom"/>
          </w:tcPr>
          <w:p>
            <w:pPr>
              <w:spacing w:after="0"/>
              <w:rPr>
                <w:sz w:val="11"/>
                <w:szCs w:val="11"/>
                <w:color w:val="auto"/>
              </w:rPr>
            </w:pPr>
          </w:p>
        </w:tc>
        <w:tc>
          <w:tcPr>
            <w:tcW w:w="1040" w:type="dxa"/>
            <w:vAlign w:val="bottom"/>
          </w:tcPr>
          <w:p>
            <w:pPr>
              <w:jc w:val="center"/>
              <w:ind w:left="406"/>
              <w:spacing w:after="0"/>
              <w:rPr>
                <w:sz w:val="20"/>
                <w:szCs w:val="20"/>
                <w:color w:val="auto"/>
              </w:rPr>
            </w:pPr>
            <w:r>
              <w:rPr>
                <w:rFonts w:ascii="Arial" w:cs="Arial" w:eastAsia="Arial" w:hAnsi="Arial"/>
                <w:sz w:val="11"/>
                <w:szCs w:val="11"/>
                <w:b w:val="1"/>
                <w:bCs w:val="1"/>
                <w:color w:val="auto"/>
                <w:w w:val="90"/>
              </w:rPr>
              <w:t>March 31,</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386"/>
              <w:spacing w:after="0"/>
              <w:rPr>
                <w:sz w:val="20"/>
                <w:szCs w:val="20"/>
                <w:color w:val="auto"/>
              </w:rPr>
            </w:pPr>
            <w:r>
              <w:rPr>
                <w:rFonts w:ascii="Arial" w:cs="Arial" w:eastAsia="Arial" w:hAnsi="Arial"/>
                <w:sz w:val="11"/>
                <w:szCs w:val="11"/>
                <w:b w:val="1"/>
                <w:bCs w:val="1"/>
                <w:color w:val="auto"/>
              </w:rPr>
              <w:t>December 31,</w:t>
            </w:r>
          </w:p>
        </w:tc>
      </w:tr>
      <w:tr>
        <w:trPr>
          <w:trHeight w:val="140"/>
        </w:trPr>
        <w:tc>
          <w:tcPr>
            <w:tcW w:w="8160" w:type="dxa"/>
            <w:vAlign w:val="bottom"/>
          </w:tcPr>
          <w:p>
            <w:pPr>
              <w:spacing w:after="0"/>
              <w:rPr>
                <w:sz w:val="12"/>
                <w:szCs w:val="12"/>
                <w:color w:val="auto"/>
              </w:rPr>
            </w:pPr>
          </w:p>
        </w:tc>
        <w:tc>
          <w:tcPr>
            <w:tcW w:w="1040" w:type="dxa"/>
            <w:vAlign w:val="bottom"/>
          </w:tcPr>
          <w:p>
            <w:pPr>
              <w:jc w:val="center"/>
              <w:ind w:left="406"/>
              <w:spacing w:after="0"/>
              <w:rPr>
                <w:sz w:val="20"/>
                <w:szCs w:val="20"/>
                <w:color w:val="auto"/>
              </w:rPr>
            </w:pPr>
            <w:r>
              <w:rPr>
                <w:rFonts w:ascii="Arial" w:cs="Arial" w:eastAsia="Arial" w:hAnsi="Arial"/>
                <w:sz w:val="11"/>
                <w:szCs w:val="11"/>
                <w:b w:val="1"/>
                <w:bCs w:val="1"/>
                <w:color w:val="auto"/>
                <w:w w:val="89"/>
              </w:rPr>
              <w:t>2023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86"/>
              <w:spacing w:after="0"/>
              <w:rPr>
                <w:sz w:val="20"/>
                <w:szCs w:val="20"/>
                <w:color w:val="auto"/>
              </w:rPr>
            </w:pPr>
            <w:r>
              <w:rPr>
                <w:rFonts w:ascii="Arial" w:cs="Arial" w:eastAsia="Arial" w:hAnsi="Arial"/>
                <w:sz w:val="11"/>
                <w:szCs w:val="11"/>
                <w:b w:val="1"/>
                <w:bCs w:val="1"/>
                <w:color w:val="auto"/>
              </w:rPr>
              <w:t>2022</w:t>
            </w:r>
          </w:p>
        </w:tc>
      </w:tr>
      <w:tr>
        <w:trPr>
          <w:trHeight w:val="22"/>
        </w:trPr>
        <w:tc>
          <w:tcPr>
            <w:tcW w:w="8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7"/>
        </w:trPr>
        <w:tc>
          <w:tcPr>
            <w:tcW w:w="8160" w:type="dxa"/>
            <w:vAlign w:val="bottom"/>
          </w:tcPr>
          <w:p>
            <w:pPr>
              <w:spacing w:after="0"/>
              <w:rPr>
                <w:sz w:val="12"/>
                <w:szCs w:val="12"/>
                <w:color w:val="auto"/>
              </w:rPr>
            </w:pPr>
          </w:p>
        </w:tc>
        <w:tc>
          <w:tcPr>
            <w:tcW w:w="1040" w:type="dxa"/>
            <w:vAlign w:val="bottom"/>
          </w:tcPr>
          <w:p>
            <w:pPr>
              <w:jc w:val="center"/>
              <w:ind w:left="386"/>
              <w:spacing w:after="0"/>
              <w:rPr>
                <w:sz w:val="20"/>
                <w:szCs w:val="20"/>
                <w:color w:val="auto"/>
              </w:rPr>
            </w:pPr>
            <w:r>
              <w:rPr>
                <w:rFonts w:ascii="Arial" w:cs="Arial" w:eastAsia="Arial" w:hAnsi="Arial"/>
                <w:sz w:val="11"/>
                <w:szCs w:val="11"/>
                <w:b w:val="1"/>
                <w:bCs w:val="1"/>
                <w:color w:val="auto"/>
                <w:w w:val="91"/>
              </w:rPr>
              <w:t>(Unaudited)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36"/>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56"/>
        </w:trPr>
        <w:tc>
          <w:tcPr>
            <w:tcW w:w="8160" w:type="dxa"/>
            <w:vAlign w:val="bottom"/>
            <w:tcBorders>
              <w:bottom w:val="single" w:sz="8" w:color="CCEEFF"/>
            </w:tcBorders>
            <w:shd w:val="clear" w:color="auto" w:fill="CCEEFF"/>
          </w:tcPr>
          <w:p>
            <w:pPr>
              <w:ind w:left="3880"/>
              <w:spacing w:after="0"/>
              <w:rPr>
                <w:sz w:val="20"/>
                <w:szCs w:val="20"/>
                <w:color w:val="auto"/>
              </w:rPr>
            </w:pPr>
            <w:r>
              <w:rPr>
                <w:rFonts w:ascii="Arial" w:cs="Arial" w:eastAsia="Arial" w:hAnsi="Arial"/>
                <w:sz w:val="11"/>
                <w:szCs w:val="11"/>
                <w:b w:val="1"/>
                <w:bCs w:val="1"/>
                <w:color w:val="auto"/>
              </w:rPr>
              <w:t>ASSETS</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54"/>
        </w:trPr>
        <w:tc>
          <w:tcPr>
            <w:tcW w:w="8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16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Current assets:</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r>
      <w:tr>
        <w:trPr>
          <w:trHeight w:val="153"/>
        </w:trPr>
        <w:tc>
          <w:tcPr>
            <w:tcW w:w="8160" w:type="dxa"/>
            <w:vAlign w:val="bottom"/>
          </w:tcPr>
          <w:p>
            <w:pPr>
              <w:ind w:left="100"/>
              <w:spacing w:after="0"/>
              <w:rPr>
                <w:sz w:val="20"/>
                <w:szCs w:val="20"/>
                <w:color w:val="auto"/>
              </w:rPr>
            </w:pPr>
            <w:r>
              <w:rPr>
                <w:rFonts w:ascii="Arial" w:cs="Arial" w:eastAsia="Arial" w:hAnsi="Arial"/>
                <w:sz w:val="11"/>
                <w:szCs w:val="11"/>
                <w:color w:val="auto"/>
              </w:rPr>
              <w:t>Cash and cash equivalents</w:t>
            </w:r>
          </w:p>
        </w:tc>
        <w:tc>
          <w:tcPr>
            <w:tcW w:w="1040" w:type="dxa"/>
            <w:vAlign w:val="bottom"/>
          </w:tcPr>
          <w:p>
            <w:pPr>
              <w:jc w:val="right"/>
              <w:ind w:right="90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46,331</w:t>
            </w:r>
          </w:p>
        </w:tc>
        <w:tc>
          <w:tcPr>
            <w:tcW w:w="360" w:type="dxa"/>
            <w:vAlign w:val="bottom"/>
            <w:gridSpan w:val="2"/>
          </w:tcPr>
          <w:p>
            <w:pPr>
              <w:jc w:val="right"/>
              <w:ind w:right="131"/>
              <w:spacing w:after="0"/>
              <w:rPr>
                <w:sz w:val="20"/>
                <w:szCs w:val="20"/>
                <w:color w:val="auto"/>
              </w:rPr>
            </w:pPr>
            <w:r>
              <w:rPr>
                <w:rFonts w:ascii="Arial" w:cs="Arial" w:eastAsia="Arial" w:hAnsi="Arial"/>
                <w:sz w:val="11"/>
                <w:szCs w:val="11"/>
                <w:color w:val="auto"/>
              </w:rPr>
              <w:t>$</w:t>
            </w: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9,245</w:t>
            </w:r>
          </w:p>
        </w:tc>
      </w:tr>
      <w:tr>
        <w:trPr>
          <w:trHeight w:val="36"/>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56"/>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Accounts receivable, net</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2,660</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3,414</w:t>
            </w:r>
          </w:p>
        </w:tc>
      </w:tr>
      <w:tr>
        <w:trPr>
          <w:trHeight w:val="153"/>
        </w:trPr>
        <w:tc>
          <w:tcPr>
            <w:tcW w:w="8160" w:type="dxa"/>
            <w:vAlign w:val="bottom"/>
          </w:tcPr>
          <w:p>
            <w:pPr>
              <w:ind w:left="100"/>
              <w:spacing w:after="0"/>
              <w:rPr>
                <w:sz w:val="20"/>
                <w:szCs w:val="20"/>
                <w:color w:val="auto"/>
              </w:rPr>
            </w:pPr>
            <w:r>
              <w:rPr>
                <w:rFonts w:ascii="Arial" w:cs="Arial" w:eastAsia="Arial" w:hAnsi="Arial"/>
                <w:sz w:val="11"/>
                <w:szCs w:val="11"/>
                <w:color w:val="auto"/>
              </w:rPr>
              <w:t>Prepaid expenses</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1,651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2,514</w:t>
            </w:r>
          </w:p>
        </w:tc>
      </w:tr>
      <w:tr>
        <w:trPr>
          <w:trHeight w:val="36"/>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55"/>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Contract assets</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1,546</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1,671</w:t>
            </w:r>
          </w:p>
        </w:tc>
      </w:tr>
      <w:tr>
        <w:trPr>
          <w:trHeight w:val="167"/>
        </w:trPr>
        <w:tc>
          <w:tcPr>
            <w:tcW w:w="8160" w:type="dxa"/>
            <w:vAlign w:val="bottom"/>
          </w:tcPr>
          <w:p>
            <w:pPr>
              <w:ind w:left="100"/>
              <w:spacing w:after="0"/>
              <w:rPr>
                <w:sz w:val="20"/>
                <w:szCs w:val="20"/>
                <w:color w:val="auto"/>
              </w:rPr>
            </w:pPr>
            <w:r>
              <w:rPr>
                <w:rFonts w:ascii="Arial" w:cs="Arial" w:eastAsia="Arial" w:hAnsi="Arial"/>
                <w:sz w:val="11"/>
                <w:szCs w:val="11"/>
                <w:color w:val="auto"/>
              </w:rPr>
              <w:t>Other current assets</w:t>
            </w:r>
          </w:p>
        </w:tc>
        <w:tc>
          <w:tcPr>
            <w:tcW w:w="10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1,069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859</w:t>
            </w: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3"/>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Total current assets</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53,257</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17,703</w:t>
            </w:r>
          </w:p>
        </w:tc>
      </w:tr>
      <w:tr>
        <w:trPr>
          <w:trHeight w:val="153"/>
        </w:trPr>
        <w:tc>
          <w:tcPr>
            <w:tcW w:w="8160" w:type="dxa"/>
            <w:vAlign w:val="bottom"/>
          </w:tcPr>
          <w:p>
            <w:pPr>
              <w:ind w:left="20"/>
              <w:spacing w:after="0"/>
              <w:rPr>
                <w:sz w:val="20"/>
                <w:szCs w:val="20"/>
                <w:color w:val="auto"/>
              </w:rPr>
            </w:pPr>
            <w:r>
              <w:rPr>
                <w:rFonts w:ascii="Arial" w:cs="Arial" w:eastAsia="Arial" w:hAnsi="Arial"/>
                <w:sz w:val="11"/>
                <w:szCs w:val="11"/>
                <w:color w:val="auto"/>
              </w:rPr>
              <w:t>Restricted cash equivalents, non-current</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230</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Right-of-use assets</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7,393</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8,119</w:t>
            </w:r>
          </w:p>
        </w:tc>
      </w:tr>
      <w:tr>
        <w:trPr>
          <w:trHeight w:val="153"/>
        </w:trPr>
        <w:tc>
          <w:tcPr>
            <w:tcW w:w="8160" w:type="dxa"/>
            <w:vAlign w:val="bottom"/>
          </w:tcPr>
          <w:p>
            <w:pPr>
              <w:ind w:left="20"/>
              <w:spacing w:after="0"/>
              <w:rPr>
                <w:sz w:val="20"/>
                <w:szCs w:val="20"/>
                <w:color w:val="auto"/>
              </w:rPr>
            </w:pPr>
            <w:r>
              <w:rPr>
                <w:rFonts w:ascii="Arial" w:cs="Arial" w:eastAsia="Arial" w:hAnsi="Arial"/>
                <w:sz w:val="11"/>
                <w:szCs w:val="11"/>
                <w:color w:val="auto"/>
              </w:rPr>
              <w:t>Property and equipment, net</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2,754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3,447</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Deferred tax asset</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w:t>
            </w:r>
          </w:p>
        </w:tc>
      </w:tr>
      <w:tr>
        <w:trPr>
          <w:trHeight w:val="153"/>
        </w:trPr>
        <w:tc>
          <w:tcPr>
            <w:tcW w:w="8160" w:type="dxa"/>
            <w:vAlign w:val="bottom"/>
          </w:tcPr>
          <w:p>
            <w:pPr>
              <w:ind w:left="20"/>
              <w:spacing w:after="0"/>
              <w:rPr>
                <w:sz w:val="20"/>
                <w:szCs w:val="20"/>
                <w:color w:val="auto"/>
              </w:rPr>
            </w:pPr>
            <w:r>
              <w:rPr>
                <w:rFonts w:ascii="Arial" w:cs="Arial" w:eastAsia="Arial" w:hAnsi="Arial"/>
                <w:sz w:val="11"/>
                <w:szCs w:val="11"/>
                <w:color w:val="auto"/>
              </w:rPr>
              <w:t>Contract assets, non-current</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7,040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7,041</w:t>
            </w:r>
          </w:p>
        </w:tc>
      </w:tr>
      <w:tr>
        <w:trPr>
          <w:trHeight w:val="36"/>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8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non-current assets</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2,074</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1,656</w:t>
            </w:r>
          </w:p>
        </w:tc>
      </w:tr>
      <w:tr>
        <w:trPr>
          <w:trHeight w:val="178"/>
        </w:trPr>
        <w:tc>
          <w:tcPr>
            <w:tcW w:w="8160" w:type="dxa"/>
            <w:vAlign w:val="bottom"/>
            <w:tcBorders>
              <w:top w:val="single" w:sz="8" w:color="CCEEFF"/>
            </w:tcBorders>
          </w:tcPr>
          <w:p>
            <w:pPr>
              <w:ind w:left="260"/>
              <w:spacing w:after="0"/>
              <w:rPr>
                <w:sz w:val="20"/>
                <w:szCs w:val="20"/>
                <w:color w:val="auto"/>
              </w:rPr>
            </w:pPr>
            <w:r>
              <w:rPr>
                <w:rFonts w:ascii="Arial" w:cs="Arial" w:eastAsia="Arial" w:hAnsi="Arial"/>
                <w:sz w:val="11"/>
                <w:szCs w:val="11"/>
                <w:color w:val="auto"/>
              </w:rPr>
              <w:t>Total assets</w:t>
            </w:r>
          </w:p>
        </w:tc>
        <w:tc>
          <w:tcPr>
            <w:tcW w:w="1040" w:type="dxa"/>
            <w:vAlign w:val="bottom"/>
            <w:tcBorders>
              <w:top w:val="single" w:sz="8" w:color="auto"/>
              <w:bottom w:val="single" w:sz="8" w:color="auto"/>
            </w:tcBorders>
          </w:tcPr>
          <w:p>
            <w:pPr>
              <w:jc w:val="right"/>
              <w:ind w:right="906"/>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72,803</w:t>
            </w: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38,251</w:t>
            </w:r>
          </w:p>
        </w:tc>
      </w:tr>
      <w:tr>
        <w:trPr>
          <w:trHeight w:val="50"/>
        </w:trPr>
        <w:tc>
          <w:tcPr>
            <w:tcW w:w="816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54"/>
        </w:trPr>
        <w:tc>
          <w:tcPr>
            <w:tcW w:w="8160" w:type="dxa"/>
            <w:vAlign w:val="bottom"/>
            <w:tcBorders>
              <w:top w:val="single" w:sz="8" w:color="CCEEFF"/>
            </w:tcBorders>
          </w:tcPr>
          <w:p>
            <w:pPr>
              <w:ind w:left="2640"/>
              <w:spacing w:after="0"/>
              <w:rPr>
                <w:sz w:val="20"/>
                <w:szCs w:val="20"/>
                <w:color w:val="auto"/>
              </w:rPr>
            </w:pPr>
            <w:r>
              <w:rPr>
                <w:rFonts w:ascii="Arial" w:cs="Arial" w:eastAsia="Arial" w:hAnsi="Arial"/>
                <w:sz w:val="11"/>
                <w:szCs w:val="11"/>
                <w:b w:val="1"/>
                <w:bCs w:val="1"/>
                <w:color w:val="auto"/>
              </w:rPr>
              <w:t>LIABILITIES AND STOCKHOLDERS’ EQUITY (DEFICIT)</w:t>
            </w:r>
          </w:p>
        </w:tc>
        <w:tc>
          <w:tcPr>
            <w:tcW w:w="104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240" w:type="dxa"/>
            <w:vAlign w:val="bottom"/>
            <w:tcBorders>
              <w:top w:val="single" w:sz="8" w:color="CCEEFF"/>
            </w:tcBorders>
          </w:tcPr>
          <w:p>
            <w:pPr>
              <w:spacing w:after="0"/>
              <w:rPr>
                <w:sz w:val="13"/>
                <w:szCs w:val="13"/>
                <w:color w:val="auto"/>
              </w:rPr>
            </w:pP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r>
      <w:tr>
        <w:trPr>
          <w:trHeight w:val="153"/>
        </w:trPr>
        <w:tc>
          <w:tcPr>
            <w:tcW w:w="8160" w:type="dxa"/>
            <w:vAlign w:val="bottom"/>
          </w:tcPr>
          <w:p>
            <w:pPr>
              <w:ind w:left="100"/>
              <w:spacing w:after="0"/>
              <w:rPr>
                <w:sz w:val="20"/>
                <w:szCs w:val="20"/>
                <w:color w:val="auto"/>
              </w:rPr>
            </w:pPr>
            <w:r>
              <w:rPr>
                <w:rFonts w:ascii="Arial" w:cs="Arial" w:eastAsia="Arial" w:hAnsi="Arial"/>
                <w:sz w:val="11"/>
                <w:szCs w:val="11"/>
                <w:color w:val="auto"/>
              </w:rPr>
              <w:t>Accounts payable</w:t>
            </w:r>
          </w:p>
        </w:tc>
        <w:tc>
          <w:tcPr>
            <w:tcW w:w="1040" w:type="dxa"/>
            <w:vAlign w:val="bottom"/>
          </w:tcPr>
          <w:p>
            <w:pPr>
              <w:jc w:val="right"/>
              <w:ind w:right="90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2,542</w:t>
            </w:r>
          </w:p>
        </w:tc>
        <w:tc>
          <w:tcPr>
            <w:tcW w:w="360" w:type="dxa"/>
            <w:vAlign w:val="bottom"/>
            <w:gridSpan w:val="2"/>
          </w:tcPr>
          <w:p>
            <w:pPr>
              <w:jc w:val="right"/>
              <w:ind w:right="131"/>
              <w:spacing w:after="0"/>
              <w:rPr>
                <w:sz w:val="20"/>
                <w:szCs w:val="20"/>
                <w:color w:val="auto"/>
              </w:rPr>
            </w:pPr>
            <w:r>
              <w:rPr>
                <w:rFonts w:ascii="Arial" w:cs="Arial" w:eastAsia="Arial" w:hAnsi="Arial"/>
                <w:sz w:val="11"/>
                <w:szCs w:val="11"/>
                <w:color w:val="auto"/>
              </w:rPr>
              <w:t>$</w:t>
            </w: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2,798</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Accrued liabilities</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12,306</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7,462</w:t>
            </w:r>
          </w:p>
        </w:tc>
      </w:tr>
      <w:tr>
        <w:trPr>
          <w:trHeight w:val="154"/>
        </w:trPr>
        <w:tc>
          <w:tcPr>
            <w:tcW w:w="8160" w:type="dxa"/>
            <w:vAlign w:val="bottom"/>
          </w:tcPr>
          <w:p>
            <w:pPr>
              <w:ind w:left="100"/>
              <w:spacing w:after="0"/>
              <w:rPr>
                <w:sz w:val="20"/>
                <w:szCs w:val="20"/>
                <w:color w:val="auto"/>
              </w:rPr>
            </w:pPr>
            <w:r>
              <w:rPr>
                <w:rFonts w:ascii="Arial" w:cs="Arial" w:eastAsia="Arial" w:hAnsi="Arial"/>
                <w:sz w:val="11"/>
                <w:szCs w:val="11"/>
                <w:color w:val="auto"/>
              </w:rPr>
              <w:t>Operating lease liabilities</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3,157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3,282</w:t>
            </w:r>
          </w:p>
        </w:tc>
      </w:tr>
      <w:tr>
        <w:trPr>
          <w:trHeight w:val="35"/>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55"/>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Finance lease liabilities</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147</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160</w:t>
            </w:r>
          </w:p>
        </w:tc>
      </w:tr>
      <w:tr>
        <w:trPr>
          <w:trHeight w:val="154"/>
        </w:trPr>
        <w:tc>
          <w:tcPr>
            <w:tcW w:w="8160" w:type="dxa"/>
            <w:vAlign w:val="bottom"/>
          </w:tcPr>
          <w:p>
            <w:pPr>
              <w:ind w:left="100"/>
              <w:spacing w:after="0"/>
              <w:rPr>
                <w:sz w:val="20"/>
                <w:szCs w:val="20"/>
                <w:color w:val="auto"/>
              </w:rPr>
            </w:pPr>
            <w:r>
              <w:rPr>
                <w:rFonts w:ascii="Arial" w:cs="Arial" w:eastAsia="Arial" w:hAnsi="Arial"/>
                <w:sz w:val="11"/>
                <w:szCs w:val="11"/>
                <w:color w:val="auto"/>
              </w:rPr>
              <w:t>Income tax liability</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1,213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1,314</w:t>
            </w:r>
          </w:p>
        </w:tc>
      </w:tr>
      <w:tr>
        <w:trPr>
          <w:trHeight w:val="35"/>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55"/>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Deferred revenue</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5,319</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5,812</w:t>
            </w:r>
          </w:p>
        </w:tc>
      </w:tr>
      <w:tr>
        <w:trPr>
          <w:trHeight w:val="167"/>
        </w:trPr>
        <w:tc>
          <w:tcPr>
            <w:tcW w:w="8160" w:type="dxa"/>
            <w:vAlign w:val="bottom"/>
          </w:tcPr>
          <w:p>
            <w:pPr>
              <w:ind w:left="100"/>
              <w:spacing w:after="0"/>
              <w:rPr>
                <w:sz w:val="20"/>
                <w:szCs w:val="20"/>
                <w:color w:val="auto"/>
              </w:rPr>
            </w:pPr>
            <w:r>
              <w:rPr>
                <w:rFonts w:ascii="Arial" w:cs="Arial" w:eastAsia="Arial" w:hAnsi="Arial"/>
                <w:sz w:val="11"/>
                <w:szCs w:val="11"/>
                <w:color w:val="auto"/>
              </w:rPr>
              <w:t>Notes payable</w:t>
            </w:r>
          </w:p>
        </w:tc>
        <w:tc>
          <w:tcPr>
            <w:tcW w:w="10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16,828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16,668</w:t>
            </w:r>
          </w:p>
        </w:tc>
      </w:tr>
      <w:tr>
        <w:trPr>
          <w:trHeight w:val="22"/>
        </w:trPr>
        <w:tc>
          <w:tcPr>
            <w:tcW w:w="8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3"/>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Total current liabilities</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41,512</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37,496</w:t>
            </w:r>
          </w:p>
        </w:tc>
      </w:tr>
      <w:tr>
        <w:trPr>
          <w:trHeight w:val="54"/>
        </w:trPr>
        <w:tc>
          <w:tcPr>
            <w:tcW w:w="8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15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lease liabilities, net of current portion</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5,045</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5,715</w:t>
            </w:r>
          </w:p>
        </w:tc>
      </w:tr>
      <w:tr>
        <w:trPr>
          <w:trHeight w:val="154"/>
        </w:trPr>
        <w:tc>
          <w:tcPr>
            <w:tcW w:w="8160" w:type="dxa"/>
            <w:vAlign w:val="bottom"/>
          </w:tcPr>
          <w:p>
            <w:pPr>
              <w:ind w:left="20"/>
              <w:spacing w:after="0"/>
              <w:rPr>
                <w:sz w:val="20"/>
                <w:szCs w:val="20"/>
                <w:color w:val="auto"/>
              </w:rPr>
            </w:pPr>
            <w:r>
              <w:rPr>
                <w:rFonts w:ascii="Arial" w:cs="Arial" w:eastAsia="Arial" w:hAnsi="Arial"/>
                <w:sz w:val="11"/>
                <w:szCs w:val="11"/>
                <w:color w:val="auto"/>
              </w:rPr>
              <w:t>Finance lease liabilities, net of current portion</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128</w:t>
            </w:r>
          </w:p>
        </w:tc>
      </w:tr>
      <w:tr>
        <w:trPr>
          <w:trHeight w:val="35"/>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5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Deferred revenue, net of current portion</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5,433</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7,543</w:t>
            </w:r>
          </w:p>
        </w:tc>
      </w:tr>
      <w:tr>
        <w:trPr>
          <w:trHeight w:val="154"/>
        </w:trPr>
        <w:tc>
          <w:tcPr>
            <w:tcW w:w="8160" w:type="dxa"/>
            <w:vAlign w:val="bottom"/>
          </w:tcPr>
          <w:p>
            <w:pPr>
              <w:ind w:left="20"/>
              <w:spacing w:after="0"/>
              <w:rPr>
                <w:sz w:val="20"/>
                <w:szCs w:val="20"/>
                <w:color w:val="auto"/>
              </w:rPr>
            </w:pPr>
            <w:r>
              <w:rPr>
                <w:rFonts w:ascii="Arial" w:cs="Arial" w:eastAsia="Arial" w:hAnsi="Arial"/>
                <w:sz w:val="11"/>
                <w:szCs w:val="11"/>
                <w:color w:val="auto"/>
              </w:rPr>
              <w:t>Notes payable, net of current portion</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14,035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18,299</w:t>
            </w:r>
          </w:p>
        </w:tc>
      </w:tr>
      <w:tr>
        <w:trPr>
          <w:trHeight w:val="35"/>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8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non-current liabilities</w:t>
            </w: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4,294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4,295</w:t>
            </w:r>
          </w:p>
        </w:tc>
      </w:tr>
      <w:tr>
        <w:trPr>
          <w:trHeight w:val="147"/>
        </w:trPr>
        <w:tc>
          <w:tcPr>
            <w:tcW w:w="8160" w:type="dxa"/>
            <w:vAlign w:val="bottom"/>
          </w:tcPr>
          <w:p>
            <w:pPr>
              <w:ind w:left="260"/>
              <w:spacing w:after="0"/>
              <w:rPr>
                <w:sz w:val="20"/>
                <w:szCs w:val="20"/>
                <w:color w:val="auto"/>
              </w:rPr>
            </w:pPr>
            <w:r>
              <w:rPr>
                <w:rFonts w:ascii="Arial" w:cs="Arial" w:eastAsia="Arial" w:hAnsi="Arial"/>
                <w:sz w:val="11"/>
                <w:szCs w:val="11"/>
                <w:color w:val="auto"/>
              </w:rPr>
              <w:t>Total liabilities</w:t>
            </w:r>
          </w:p>
        </w:tc>
        <w:tc>
          <w:tcPr>
            <w:tcW w:w="10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70,421</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73,476</w:t>
            </w:r>
          </w:p>
        </w:tc>
      </w:tr>
      <w:tr>
        <w:trPr>
          <w:trHeight w:val="22"/>
        </w:trPr>
        <w:tc>
          <w:tcPr>
            <w:tcW w:w="8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Commitments and contingencies (Note 6)</w:t>
            </w:r>
          </w:p>
        </w:tc>
        <w:tc>
          <w:tcPr>
            <w:tcW w:w="10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r>
      <w:tr>
        <w:trPr>
          <w:trHeight w:val="54"/>
        </w:trPr>
        <w:tc>
          <w:tcPr>
            <w:tcW w:w="8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16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Stockholders’ equity (deficit):</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r>
      <w:tr>
        <w:trPr>
          <w:trHeight w:val="139"/>
        </w:trPr>
        <w:tc>
          <w:tcPr>
            <w:tcW w:w="8160" w:type="dxa"/>
            <w:vAlign w:val="bottom"/>
          </w:tcPr>
          <w:p>
            <w:pPr>
              <w:ind w:left="180"/>
              <w:spacing w:after="0"/>
              <w:rPr>
                <w:sz w:val="20"/>
                <w:szCs w:val="20"/>
                <w:color w:val="auto"/>
              </w:rPr>
            </w:pPr>
            <w:r>
              <w:rPr>
                <w:rFonts w:ascii="Arial" w:cs="Arial" w:eastAsia="Arial" w:hAnsi="Arial"/>
                <w:sz w:val="11"/>
                <w:szCs w:val="11"/>
                <w:color w:val="auto"/>
                <w:w w:val="87"/>
              </w:rPr>
              <w:t>Series A Preferred Stock, $0.0001 par value; 1,000,000 shares authorized; 835,011 and 0 shares issued and outstanding, aggregate liquidation preference of $25,050 and $0 as of March</w:t>
            </w: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36"/>
        </w:trPr>
        <w:tc>
          <w:tcPr>
            <w:tcW w:w="8160" w:type="dxa"/>
            <w:vAlign w:val="bottom"/>
          </w:tcPr>
          <w:p>
            <w:pPr>
              <w:ind w:left="260"/>
              <w:spacing w:after="0"/>
              <w:rPr>
                <w:sz w:val="20"/>
                <w:szCs w:val="20"/>
                <w:color w:val="auto"/>
              </w:rPr>
            </w:pPr>
            <w:r>
              <w:rPr>
                <w:rFonts w:ascii="Arial" w:cs="Arial" w:eastAsia="Arial" w:hAnsi="Arial"/>
                <w:sz w:val="11"/>
                <w:szCs w:val="11"/>
                <w:color w:val="auto"/>
              </w:rPr>
              <w:t>31, 2023 and December 31, 2022, respectively</w:t>
            </w:r>
          </w:p>
        </w:tc>
        <w:tc>
          <w:tcPr>
            <w:tcW w:w="10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24,942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35"/>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52"/>
        </w:trPr>
        <w:tc>
          <w:tcPr>
            <w:tcW w:w="8160" w:type="dxa"/>
            <w:vAlign w:val="bottom"/>
            <w:shd w:val="clear" w:color="auto" w:fill="CCEEFF"/>
          </w:tcPr>
          <w:p>
            <w:pPr>
              <w:ind w:left="180"/>
              <w:spacing w:after="0"/>
              <w:rPr>
                <w:sz w:val="20"/>
                <w:szCs w:val="20"/>
                <w:color w:val="auto"/>
              </w:rPr>
            </w:pPr>
            <w:r>
              <w:rPr>
                <w:rFonts w:ascii="Arial" w:cs="Arial" w:eastAsia="Arial" w:hAnsi="Arial"/>
                <w:sz w:val="11"/>
                <w:szCs w:val="11"/>
                <w:color w:val="auto"/>
                <w:w w:val="88"/>
              </w:rPr>
              <w:t>Class A Common Stock, $0.0001 par value; 455,000,000 shares authorized; 174,714,741 and 160,297,664 shares issued and outstanding as of March 31, 2023 and December 31, 2022,</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38"/>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respectively</w:t>
            </w:r>
          </w:p>
        </w:tc>
        <w:tc>
          <w:tcPr>
            <w:tcW w:w="10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r>
      <w:tr>
        <w:trPr>
          <w:trHeight w:val="154"/>
        </w:trPr>
        <w:tc>
          <w:tcPr>
            <w:tcW w:w="8160" w:type="dxa"/>
            <w:vAlign w:val="bottom"/>
          </w:tcPr>
          <w:p>
            <w:pPr>
              <w:ind w:left="180"/>
              <w:spacing w:after="0"/>
              <w:rPr>
                <w:sz w:val="20"/>
                <w:szCs w:val="20"/>
                <w:color w:val="auto"/>
              </w:rPr>
            </w:pPr>
            <w:r>
              <w:rPr>
                <w:rFonts w:ascii="Arial" w:cs="Arial" w:eastAsia="Arial" w:hAnsi="Arial"/>
                <w:sz w:val="11"/>
                <w:szCs w:val="11"/>
                <w:color w:val="auto"/>
                <w:w w:val="99"/>
              </w:rPr>
              <w:t>Class B Common Stock, $0.0001 par value; 44,000,000 shares authorized; 39,735,408 shares issued and outstanding as of March 31, 2023 and December 31, 2022</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4</w:t>
            </w:r>
          </w:p>
        </w:tc>
      </w:tr>
      <w:tr>
        <w:trPr>
          <w:trHeight w:val="35"/>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55"/>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Additional paid-in capital</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5"/>
              </w:rPr>
              <w:t>505,889</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466,857</w:t>
            </w:r>
          </w:p>
        </w:tc>
      </w:tr>
      <w:tr>
        <w:trPr>
          <w:trHeight w:val="167"/>
        </w:trPr>
        <w:tc>
          <w:tcPr>
            <w:tcW w:w="8160" w:type="dxa"/>
            <w:vAlign w:val="bottom"/>
          </w:tcPr>
          <w:p>
            <w:pPr>
              <w:ind w:left="180"/>
              <w:spacing w:after="0"/>
              <w:rPr>
                <w:sz w:val="20"/>
                <w:szCs w:val="20"/>
                <w:color w:val="auto"/>
              </w:rPr>
            </w:pPr>
            <w:r>
              <w:rPr>
                <w:rFonts w:ascii="Arial" w:cs="Arial" w:eastAsia="Arial" w:hAnsi="Arial"/>
                <w:sz w:val="11"/>
                <w:szCs w:val="11"/>
                <w:color w:val="auto"/>
              </w:rPr>
              <w:t>Accumulated deficit</w:t>
            </w:r>
          </w:p>
        </w:tc>
        <w:tc>
          <w:tcPr>
            <w:tcW w:w="10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84"/>
              </w:rPr>
              <w:t>(528,471)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(502,102)</w:t>
            </w:r>
          </w:p>
        </w:tc>
      </w:tr>
      <w:tr>
        <w:trPr>
          <w:trHeight w:val="22"/>
        </w:trPr>
        <w:tc>
          <w:tcPr>
            <w:tcW w:w="8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Total stockholders’ equity (deficit)</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2,382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(35,225)</w:t>
            </w:r>
          </w:p>
        </w:tc>
      </w:tr>
      <w:tr>
        <w:trPr>
          <w:trHeight w:val="169"/>
        </w:trPr>
        <w:tc>
          <w:tcPr>
            <w:tcW w:w="8160" w:type="dxa"/>
            <w:vAlign w:val="bottom"/>
          </w:tcPr>
          <w:p>
            <w:pPr>
              <w:ind w:left="260"/>
              <w:spacing w:after="0"/>
              <w:rPr>
                <w:sz w:val="20"/>
                <w:szCs w:val="20"/>
                <w:color w:val="auto"/>
              </w:rPr>
            </w:pPr>
            <w:r>
              <w:rPr>
                <w:rFonts w:ascii="Arial" w:cs="Arial" w:eastAsia="Arial" w:hAnsi="Arial"/>
                <w:sz w:val="11"/>
                <w:szCs w:val="11"/>
                <w:color w:val="auto"/>
              </w:rPr>
              <w:t>Total liabilities and stockholders’ equity (deficit)</w:t>
            </w:r>
          </w:p>
        </w:tc>
        <w:tc>
          <w:tcPr>
            <w:tcW w:w="1040" w:type="dxa"/>
            <w:vAlign w:val="bottom"/>
            <w:tcBorders>
              <w:top w:val="single" w:sz="8" w:color="auto"/>
              <w:bottom w:val="single" w:sz="8" w:color="auto"/>
            </w:tcBorders>
          </w:tcPr>
          <w:p>
            <w:pPr>
              <w:jc w:val="right"/>
              <w:ind w:right="906"/>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72,803</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38,251</w:t>
            </w:r>
          </w:p>
        </w:tc>
      </w:tr>
      <w:tr>
        <w:trPr>
          <w:trHeight w:val="20"/>
        </w:trPr>
        <w:tc>
          <w:tcPr>
            <w:tcW w:w="8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580" w:type="dxa"/>
            <w:vAlign w:val="bottom"/>
            <w:gridSpan w:val="2"/>
          </w:tcPr>
          <w:p>
            <w:pPr>
              <w:spacing w:after="0"/>
              <w:rPr>
                <w:sz w:val="20"/>
                <w:szCs w:val="20"/>
                <w:color w:val="auto"/>
              </w:rPr>
            </w:pPr>
            <w:r>
              <w:rPr>
                <w:rFonts w:ascii="Arial" w:cs="Arial" w:eastAsia="Arial" w:hAnsi="Arial"/>
                <w:sz w:val="18"/>
                <w:szCs w:val="18"/>
                <w:b w:val="1"/>
                <w:bCs w:val="1"/>
                <w:color w:val="0000FF"/>
              </w:rPr>
              <w:t>Table of Contents</w:t>
            </w:r>
          </w:p>
        </w:tc>
        <w:tc>
          <w:tcPr>
            <w:tcW w:w="5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12"/>
        </w:trPr>
        <w:tc>
          <w:tcPr>
            <w:tcW w:w="1360" w:type="dxa"/>
            <w:vAlign w:val="bottom"/>
            <w:tcBorders>
              <w:top w:val="single" w:sz="8" w:color="0000FF"/>
            </w:tcBorders>
          </w:tcPr>
          <w:p>
            <w:pPr>
              <w:spacing w:after="0"/>
              <w:rPr>
                <w:sz w:val="24"/>
                <w:szCs w:val="24"/>
                <w:color w:val="auto"/>
              </w:rPr>
            </w:pPr>
          </w:p>
        </w:tc>
        <w:tc>
          <w:tcPr>
            <w:tcW w:w="1220" w:type="dxa"/>
            <w:vAlign w:val="bottom"/>
          </w:tcPr>
          <w:p>
            <w:pPr>
              <w:spacing w:after="0"/>
              <w:rPr>
                <w:sz w:val="24"/>
                <w:szCs w:val="24"/>
                <w:color w:val="auto"/>
              </w:rPr>
            </w:pPr>
          </w:p>
        </w:tc>
        <w:tc>
          <w:tcPr>
            <w:tcW w:w="59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9"/>
              </w:rPr>
              <w:t>SOUNDHOUND AI, INC.</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1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9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920" w:type="dxa"/>
            <w:vAlign w:val="bottom"/>
            <w:gridSpan w:val="2"/>
          </w:tcPr>
          <w:p>
            <w:pPr>
              <w:jc w:val="center"/>
              <w:ind w:left="90"/>
              <w:spacing w:after="0"/>
              <w:rPr>
                <w:sz w:val="20"/>
                <w:szCs w:val="20"/>
                <w:color w:val="auto"/>
              </w:rPr>
            </w:pPr>
            <w:r>
              <w:rPr>
                <w:rFonts w:ascii="Arial" w:cs="Arial" w:eastAsia="Arial" w:hAnsi="Arial"/>
                <w:sz w:val="18"/>
                <w:szCs w:val="18"/>
                <w:b w:val="1"/>
                <w:bCs w:val="1"/>
                <w:i w:val="1"/>
                <w:iCs w:val="1"/>
                <w:color w:val="auto"/>
                <w:w w:val="86"/>
              </w:rPr>
              <w:t>(In thousands, except share and per share data)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920" w:type="dxa"/>
            <w:vAlign w:val="bottom"/>
            <w:gridSpan w:val="2"/>
          </w:tcPr>
          <w:p>
            <w:pPr>
              <w:jc w:val="center"/>
              <w:ind w:left="90"/>
              <w:spacing w:after="0"/>
              <w:rPr>
                <w:sz w:val="20"/>
                <w:szCs w:val="20"/>
                <w:color w:val="auto"/>
              </w:rPr>
            </w:pPr>
            <w:r>
              <w:rPr>
                <w:rFonts w:ascii="Arial" w:cs="Arial" w:eastAsia="Arial" w:hAnsi="Arial"/>
                <w:sz w:val="18"/>
                <w:szCs w:val="18"/>
                <w:b w:val="1"/>
                <w:bCs w:val="1"/>
                <w:i w:val="1"/>
                <w:iCs w:val="1"/>
                <w:color w:val="auto"/>
                <w:w w:val="89"/>
              </w:rPr>
              <w:t>(Unaudited)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68"/>
        </w:trPr>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4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1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6"/>
              </w:rPr>
              <w:t>March 31,</w:t>
            </w:r>
          </w:p>
        </w:tc>
        <w:tc>
          <w:tcPr>
            <w:tcW w:w="104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7"/>
        </w:trPr>
        <w:tc>
          <w:tcPr>
            <w:tcW w:w="2580" w:type="dxa"/>
            <w:vAlign w:val="bottom"/>
            <w:gridSpan w:val="2"/>
          </w:tcPr>
          <w:p>
            <w:pPr>
              <w:spacing w:after="0"/>
              <w:rPr>
                <w:sz w:val="2"/>
                <w:szCs w:val="2"/>
                <w:color w:val="auto"/>
              </w:rPr>
            </w:pPr>
          </w:p>
        </w:tc>
        <w:tc>
          <w:tcPr>
            <w:tcW w:w="5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5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r>
      <w:tr>
        <w:trPr>
          <w:trHeight w:val="243"/>
        </w:trPr>
        <w:tc>
          <w:tcPr>
            <w:tcW w:w="258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Operating expenses:</w:t>
            </w:r>
          </w:p>
        </w:tc>
        <w:tc>
          <w:tcPr>
            <w:tcW w:w="554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7"/>
        </w:trPr>
        <w:tc>
          <w:tcPr>
            <w:tcW w:w="2580" w:type="dxa"/>
            <w:vAlign w:val="bottom"/>
            <w:gridSpan w:val="2"/>
          </w:tcPr>
          <w:p>
            <w:pPr>
              <w:spacing w:after="0"/>
              <w:rPr>
                <w:sz w:val="2"/>
                <w:szCs w:val="2"/>
                <w:color w:val="auto"/>
              </w:rPr>
            </w:pPr>
          </w:p>
        </w:tc>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55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43"/>
        </w:trPr>
        <w:tc>
          <w:tcPr>
            <w:tcW w:w="25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5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2,581</w:t>
            </w:r>
          </w:p>
        </w:tc>
      </w:tr>
      <w:tr>
        <w:trPr>
          <w:trHeight w:val="27"/>
        </w:trPr>
        <w:tc>
          <w:tcPr>
            <w:tcW w:w="2580" w:type="dxa"/>
            <w:vAlign w:val="bottom"/>
            <w:gridSpan w:val="2"/>
          </w:tcPr>
          <w:p>
            <w:pPr>
              <w:spacing w:after="0"/>
              <w:rPr>
                <w:sz w:val="2"/>
                <w:szCs w:val="2"/>
                <w:color w:val="auto"/>
              </w:rPr>
            </w:pPr>
          </w:p>
        </w:tc>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5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16,650</w:t>
            </w:r>
          </w:p>
        </w:tc>
      </w:tr>
      <w:tr>
        <w:trPr>
          <w:trHeight w:val="243"/>
        </w:trPr>
        <w:tc>
          <w:tcPr>
            <w:tcW w:w="258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5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4,003</w:t>
            </w:r>
          </w:p>
        </w:tc>
      </w:tr>
      <w:tr>
        <w:trPr>
          <w:trHeight w:val="27"/>
        </w:trPr>
        <w:tc>
          <w:tcPr>
            <w:tcW w:w="2580" w:type="dxa"/>
            <w:vAlign w:val="bottom"/>
            <w:gridSpan w:val="2"/>
          </w:tcPr>
          <w:p>
            <w:pPr>
              <w:spacing w:after="0"/>
              <w:rPr>
                <w:sz w:val="2"/>
                <w:szCs w:val="2"/>
                <w:color w:val="auto"/>
              </w:rPr>
            </w:pPr>
          </w:p>
        </w:tc>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55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58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55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31,745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25,007</w:t>
            </w:r>
          </w:p>
        </w:tc>
      </w:tr>
      <w:tr>
        <w:trPr>
          <w:trHeight w:val="27"/>
        </w:trPr>
        <w:tc>
          <w:tcPr>
            <w:tcW w:w="2580" w:type="dxa"/>
            <w:vAlign w:val="bottom"/>
            <w:tcBorders>
              <w:bottom w:val="single" w:sz="8" w:color="CCEEFF"/>
            </w:tcBorders>
            <w:gridSpan w:val="2"/>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55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(20,717)</w:t>
            </w:r>
          </w:p>
        </w:tc>
      </w:tr>
      <w:tr>
        <w:trPr>
          <w:trHeight w:val="250"/>
        </w:trPr>
        <w:tc>
          <w:tcPr>
            <w:tcW w:w="1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5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55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5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5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(2,977)</w:t>
            </w:r>
          </w:p>
        </w:tc>
      </w:tr>
      <w:tr>
        <w:trPr>
          <w:trHeight w:val="27"/>
        </w:trPr>
        <w:tc>
          <w:tcPr>
            <w:tcW w:w="2580" w:type="dxa"/>
            <w:vAlign w:val="bottom"/>
            <w:gridSpan w:val="2"/>
          </w:tcPr>
          <w:p>
            <w:pPr>
              <w:spacing w:after="0"/>
              <w:rPr>
                <w:sz w:val="2"/>
                <w:szCs w:val="2"/>
                <w:color w:val="auto"/>
              </w:rPr>
            </w:pPr>
          </w:p>
        </w:tc>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3"/>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55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57"/>
        </w:trPr>
        <w:tc>
          <w:tcPr>
            <w:tcW w:w="2580" w:type="dxa"/>
            <w:vAlign w:val="bottom"/>
            <w:gridSpan w:val="2"/>
          </w:tcPr>
          <w:p>
            <w:pPr>
              <w:ind w:left="360"/>
              <w:spacing w:after="0"/>
              <w:rPr>
                <w:sz w:val="20"/>
                <w:szCs w:val="20"/>
                <w:color w:val="auto"/>
              </w:rPr>
            </w:pPr>
            <w:r>
              <w:rPr>
                <w:rFonts w:ascii="Arial" w:cs="Arial" w:eastAsia="Arial" w:hAnsi="Arial"/>
                <w:sz w:val="18"/>
                <w:szCs w:val="18"/>
                <w:color w:val="auto"/>
              </w:rPr>
              <w:t>Total other expense, net</w:t>
            </w:r>
          </w:p>
        </w:tc>
        <w:tc>
          <w:tcPr>
            <w:tcW w:w="5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before provision for income taxes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per share:</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(26,040)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(24,751)</w:t>
            </w:r>
          </w:p>
        </w:tc>
      </w:tr>
      <w:tr>
        <w:trPr>
          <w:trHeight w:val="270"/>
        </w:trPr>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(26,369)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(25,103)</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50"/>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50"/>
        </w:trPr>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205,082,328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69,604,188</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120"/>
          </w:cols>
          <w:pgMar w:left="320" w:top="324" w:right="339" w:bottom="1440" w:gutter="0" w:footer="0" w:header="0"/>
          <w:type w:val="continuous"/>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CONDENSED CONSOLIDATED STATEMENTS OF REDEEMABLE CONVERTIBLE PREFERRED</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STOCK AND STOCKHOLDERS’ EQUITY (DEFICIT)</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i w:val="1"/>
          <w:iCs w:val="1"/>
          <w:color w:val="auto"/>
        </w:rPr>
        <w:t>(Unaudited)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549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540" w:type="dxa"/>
            <w:vAlign w:val="bottom"/>
            <w:gridSpan w:val="4"/>
            <w:vMerge w:val="restart"/>
          </w:tcPr>
          <w:p>
            <w:pPr>
              <w:jc w:val="right"/>
              <w:ind w:right="57"/>
              <w:spacing w:after="0"/>
              <w:rPr>
                <w:sz w:val="20"/>
                <w:szCs w:val="20"/>
                <w:color w:val="auto"/>
              </w:rPr>
            </w:pPr>
            <w:r>
              <w:rPr>
                <w:rFonts w:ascii="Arial" w:cs="Arial" w:eastAsia="Arial" w:hAnsi="Arial"/>
                <w:sz w:val="13"/>
                <w:szCs w:val="13"/>
                <w:b w:val="1"/>
                <w:bCs w:val="1"/>
                <w:color w:val="auto"/>
                <w:w w:val="91"/>
              </w:rPr>
              <w:t>Series A Preferred Stock</w:t>
            </w:r>
          </w:p>
        </w:tc>
        <w:tc>
          <w:tcPr>
            <w:tcW w:w="80" w:type="dxa"/>
            <w:vAlign w:val="bottom"/>
          </w:tcPr>
          <w:p>
            <w:pPr>
              <w:spacing w:after="0"/>
              <w:rPr>
                <w:sz w:val="14"/>
                <w:szCs w:val="14"/>
                <w:color w:val="auto"/>
              </w:rPr>
            </w:pPr>
          </w:p>
        </w:tc>
        <w:tc>
          <w:tcPr>
            <w:tcW w:w="1540" w:type="dxa"/>
            <w:vAlign w:val="bottom"/>
            <w:gridSpan w:val="4"/>
            <w:vMerge w:val="restart"/>
          </w:tcPr>
          <w:p>
            <w:pPr>
              <w:jc w:val="right"/>
              <w:ind w:right="77"/>
              <w:spacing w:after="0"/>
              <w:rPr>
                <w:sz w:val="20"/>
                <w:szCs w:val="20"/>
                <w:color w:val="auto"/>
              </w:rPr>
            </w:pPr>
            <w:r>
              <w:rPr>
                <w:rFonts w:ascii="Arial" w:cs="Arial" w:eastAsia="Arial" w:hAnsi="Arial"/>
                <w:sz w:val="13"/>
                <w:szCs w:val="13"/>
                <w:b w:val="1"/>
                <w:bCs w:val="1"/>
                <w:color w:val="auto"/>
                <w:w w:val="94"/>
              </w:rPr>
              <w:t>Class A Common Stock</w:t>
            </w:r>
          </w:p>
        </w:tc>
        <w:tc>
          <w:tcPr>
            <w:tcW w:w="80" w:type="dxa"/>
            <w:vAlign w:val="bottom"/>
          </w:tcPr>
          <w:p>
            <w:pPr>
              <w:spacing w:after="0"/>
              <w:rPr>
                <w:sz w:val="14"/>
                <w:szCs w:val="14"/>
                <w:color w:val="auto"/>
              </w:rPr>
            </w:pPr>
          </w:p>
        </w:tc>
        <w:tc>
          <w:tcPr>
            <w:tcW w:w="1540" w:type="dxa"/>
            <w:vAlign w:val="bottom"/>
            <w:gridSpan w:val="4"/>
            <w:vMerge w:val="restart"/>
          </w:tcPr>
          <w:p>
            <w:pPr>
              <w:jc w:val="right"/>
              <w:ind w:right="77"/>
              <w:spacing w:after="0"/>
              <w:rPr>
                <w:sz w:val="20"/>
                <w:szCs w:val="20"/>
                <w:color w:val="auto"/>
              </w:rPr>
            </w:pPr>
            <w:r>
              <w:rPr>
                <w:rFonts w:ascii="Arial" w:cs="Arial" w:eastAsia="Arial" w:hAnsi="Arial"/>
                <w:sz w:val="13"/>
                <w:szCs w:val="13"/>
                <w:b w:val="1"/>
                <w:bCs w:val="1"/>
                <w:color w:val="auto"/>
                <w:w w:val="94"/>
              </w:rPr>
              <w:t>Class B Common 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04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ind w:right="118"/>
              <w:spacing w:after="0" w:line="106" w:lineRule="exact"/>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8"/>
                <w:szCs w:val="8"/>
                <w:color w:val="auto"/>
              </w:rPr>
            </w:pPr>
          </w:p>
        </w:tc>
        <w:tc>
          <w:tcPr>
            <w:tcW w:w="780" w:type="dxa"/>
            <w:vAlign w:val="bottom"/>
            <w:gridSpan w:val="2"/>
            <w:vMerge w:val="restart"/>
          </w:tcPr>
          <w:p>
            <w:pPr>
              <w:ind w:left="40"/>
              <w:spacing w:after="0" w:line="106" w:lineRule="exact"/>
              <w:rPr>
                <w:sz w:val="20"/>
                <w:szCs w:val="20"/>
                <w:color w:val="auto"/>
              </w:rPr>
            </w:pPr>
            <w:r>
              <w:rPr>
                <w:rFonts w:ascii="Arial" w:cs="Arial" w:eastAsia="Arial" w:hAnsi="Arial"/>
                <w:sz w:val="12"/>
                <w:szCs w:val="12"/>
                <w:b w:val="1"/>
                <w:bCs w:val="1"/>
                <w:color w:val="auto"/>
                <w:w w:val="95"/>
              </w:rPr>
              <w:t>Accumulated</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0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04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57"/>
              <w:spacing w:after="0"/>
              <w:rPr>
                <w:sz w:val="20"/>
                <w:szCs w:val="20"/>
                <w:color w:val="auto"/>
              </w:rPr>
            </w:pPr>
            <w:r>
              <w:rPr>
                <w:rFonts w:ascii="Arial" w:cs="Arial" w:eastAsia="Arial" w:hAnsi="Arial"/>
                <w:sz w:val="13"/>
                <w:szCs w:val="13"/>
                <w:b w:val="1"/>
                <w:bCs w:val="1"/>
                <w:color w:val="auto"/>
                <w:w w:val="95"/>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9"/>
        </w:trPr>
        <w:tc>
          <w:tcPr>
            <w:tcW w:w="30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as of December 31, 2022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160,297,664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39,735,408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466,857</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(502,102)</w:t>
            </w:r>
          </w:p>
        </w:tc>
        <w:tc>
          <w:tcPr>
            <w:tcW w:w="24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(35,225)</w:t>
            </w:r>
          </w:p>
        </w:tc>
        <w:tc>
          <w:tcPr>
            <w:tcW w:w="0" w:type="dxa"/>
            <w:vAlign w:val="bottom"/>
          </w:tcPr>
          <w:p>
            <w:pPr>
              <w:spacing w:after="0"/>
              <w:rPr>
                <w:sz w:val="1"/>
                <w:szCs w:val="1"/>
                <w:color w:val="auto"/>
              </w:rPr>
            </w:pPr>
          </w:p>
        </w:tc>
      </w:tr>
      <w:tr>
        <w:trPr>
          <w:trHeight w:val="161"/>
        </w:trPr>
        <w:tc>
          <w:tcPr>
            <w:tcW w:w="3040" w:type="dxa"/>
            <w:vAlign w:val="bottom"/>
          </w:tcPr>
          <w:p>
            <w:pPr>
              <w:ind w:left="20"/>
              <w:spacing w:after="0"/>
              <w:rPr>
                <w:sz w:val="20"/>
                <w:szCs w:val="20"/>
                <w:color w:val="auto"/>
              </w:rPr>
            </w:pPr>
            <w:r>
              <w:rPr>
                <w:rFonts w:ascii="Arial" w:cs="Arial" w:eastAsia="Arial" w:hAnsi="Arial"/>
                <w:sz w:val="13"/>
                <w:szCs w:val="13"/>
                <w:color w:val="auto"/>
                <w:w w:val="96"/>
              </w:rPr>
              <w:t>Issuance of Class A common shares upon exercise of</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40" w:type="dxa"/>
            <w:vAlign w:val="bottom"/>
          </w:tcPr>
          <w:p>
            <w:pPr>
              <w:ind w:left="180"/>
              <w:spacing w:after="0"/>
              <w:rPr>
                <w:sz w:val="20"/>
                <w:szCs w:val="20"/>
                <w:color w:val="auto"/>
              </w:rPr>
            </w:pPr>
            <w:r>
              <w:rPr>
                <w:rFonts w:ascii="Arial" w:cs="Arial" w:eastAsia="Arial" w:hAnsi="Arial"/>
                <w:sz w:val="13"/>
                <w:szCs w:val="13"/>
                <w:color w:val="auto"/>
              </w:rPr>
              <w:t>stock options</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1,209,302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2,425</w:t>
            </w:r>
          </w:p>
        </w:tc>
        <w:tc>
          <w:tcPr>
            <w:tcW w:w="0" w:type="dxa"/>
            <w:vAlign w:val="bottom"/>
          </w:tcPr>
          <w:p>
            <w:pPr>
              <w:spacing w:after="0"/>
              <w:rPr>
                <w:sz w:val="1"/>
                <w:szCs w:val="1"/>
                <w:color w:val="auto"/>
              </w:rPr>
            </w:pPr>
          </w:p>
        </w:tc>
      </w:tr>
      <w:tr>
        <w:trPr>
          <w:trHeight w:val="43"/>
        </w:trPr>
        <w:tc>
          <w:tcPr>
            <w:tcW w:w="3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Issuance of Class A common shares upon vesting of</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restricted stock units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2,259,223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040" w:type="dxa"/>
            <w:vAlign w:val="bottom"/>
          </w:tcPr>
          <w:p>
            <w:pPr>
              <w:ind w:left="20"/>
              <w:spacing w:after="0"/>
              <w:rPr>
                <w:sz w:val="20"/>
                <w:szCs w:val="20"/>
                <w:color w:val="auto"/>
              </w:rPr>
            </w:pPr>
            <w:r>
              <w:rPr>
                <w:rFonts w:ascii="Arial" w:cs="Arial" w:eastAsia="Arial" w:hAnsi="Arial"/>
                <w:sz w:val="13"/>
                <w:szCs w:val="13"/>
                <w:color w:val="auto"/>
                <w:w w:val="97"/>
              </w:rPr>
              <w:t>Issuance of Class A common shares under the ELOC</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40" w:type="dxa"/>
            <w:vAlign w:val="bottom"/>
          </w:tcPr>
          <w:p>
            <w:pPr>
              <w:ind w:left="20"/>
              <w:spacing w:after="0"/>
              <w:rPr>
                <w:sz w:val="20"/>
                <w:szCs w:val="20"/>
                <w:color w:val="auto"/>
              </w:rPr>
            </w:pPr>
            <w:r>
              <w:rPr>
                <w:rFonts w:ascii="Arial" w:cs="Arial" w:eastAsia="Arial" w:hAnsi="Arial"/>
                <w:sz w:val="13"/>
                <w:szCs w:val="13"/>
                <w:color w:val="auto"/>
              </w:rPr>
              <w:t>program</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10,948,552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28,358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28,360</w:t>
            </w:r>
          </w:p>
        </w:tc>
        <w:tc>
          <w:tcPr>
            <w:tcW w:w="0" w:type="dxa"/>
            <w:vAlign w:val="bottom"/>
          </w:tcPr>
          <w:p>
            <w:pPr>
              <w:spacing w:after="0"/>
              <w:rPr>
                <w:sz w:val="1"/>
                <w:szCs w:val="1"/>
                <w:color w:val="auto"/>
              </w:rPr>
            </w:pPr>
          </w:p>
        </w:tc>
      </w:tr>
      <w:tr>
        <w:trPr>
          <w:trHeight w:val="29"/>
        </w:trPr>
        <w:tc>
          <w:tcPr>
            <w:tcW w:w="3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Issuance of Series A Preferred Stock</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835,011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24,942</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24,942</w:t>
            </w:r>
          </w:p>
        </w:tc>
        <w:tc>
          <w:tcPr>
            <w:tcW w:w="0" w:type="dxa"/>
            <w:vAlign w:val="bottom"/>
          </w:tcPr>
          <w:p>
            <w:pPr>
              <w:spacing w:after="0"/>
              <w:rPr>
                <w:sz w:val="1"/>
                <w:szCs w:val="1"/>
                <w:color w:val="auto"/>
              </w:rPr>
            </w:pPr>
          </w:p>
        </w:tc>
      </w:tr>
      <w:tr>
        <w:trPr>
          <w:trHeight w:val="173"/>
        </w:trPr>
        <w:tc>
          <w:tcPr>
            <w:tcW w:w="30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8,249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8,249</w:t>
            </w:r>
          </w:p>
        </w:tc>
        <w:tc>
          <w:tcPr>
            <w:tcW w:w="0" w:type="dxa"/>
            <w:vAlign w:val="bottom"/>
          </w:tcPr>
          <w:p>
            <w:pPr>
              <w:spacing w:after="0"/>
              <w:rPr>
                <w:sz w:val="1"/>
                <w:szCs w:val="1"/>
                <w:color w:val="auto"/>
              </w:rPr>
            </w:pPr>
          </w:p>
        </w:tc>
      </w:tr>
      <w:tr>
        <w:trPr>
          <w:trHeight w:val="29"/>
        </w:trPr>
        <w:tc>
          <w:tcPr>
            <w:tcW w:w="3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(26,369)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(26,369)</w:t>
            </w:r>
          </w:p>
        </w:tc>
        <w:tc>
          <w:tcPr>
            <w:tcW w:w="0" w:type="dxa"/>
            <w:vAlign w:val="bottom"/>
          </w:tcPr>
          <w:p>
            <w:pPr>
              <w:spacing w:after="0"/>
              <w:rPr>
                <w:sz w:val="1"/>
                <w:szCs w:val="1"/>
                <w:color w:val="auto"/>
              </w:rPr>
            </w:pPr>
          </w:p>
        </w:tc>
      </w:tr>
      <w:tr>
        <w:trPr>
          <w:trHeight w:val="195"/>
        </w:trPr>
        <w:tc>
          <w:tcPr>
            <w:tcW w:w="3040" w:type="dxa"/>
            <w:vAlign w:val="bottom"/>
          </w:tcPr>
          <w:p>
            <w:pPr>
              <w:ind w:left="20"/>
              <w:spacing w:after="0"/>
              <w:rPr>
                <w:sz w:val="20"/>
                <w:szCs w:val="20"/>
                <w:color w:val="auto"/>
              </w:rPr>
            </w:pPr>
            <w:r>
              <w:rPr>
                <w:rFonts w:ascii="Arial" w:cs="Arial" w:eastAsia="Arial" w:hAnsi="Arial"/>
                <w:sz w:val="13"/>
                <w:szCs w:val="13"/>
                <w:b w:val="1"/>
                <w:bCs w:val="1"/>
                <w:color w:val="auto"/>
              </w:rPr>
              <w:t>Balances as of March 31, 2023</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835,011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24,942</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174,714,741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39,735,408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505,889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(528,471)</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2,382</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5233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56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Legacy SoundHound</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56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Redeemable Convertible</w:t>
            </w:r>
          </w:p>
        </w:tc>
        <w:tc>
          <w:tcPr>
            <w:tcW w:w="100" w:type="dxa"/>
            <w:vAlign w:val="bottom"/>
          </w:tcPr>
          <w:p>
            <w:pPr>
              <w:spacing w:after="0"/>
              <w:rPr>
                <w:sz w:val="12"/>
                <w:szCs w:val="12"/>
                <w:color w:val="auto"/>
              </w:rPr>
            </w:pPr>
          </w:p>
        </w:tc>
        <w:tc>
          <w:tcPr>
            <w:tcW w:w="1540" w:type="dxa"/>
            <w:vAlign w:val="bottom"/>
            <w:gridSpan w:val="4"/>
          </w:tcPr>
          <w:p>
            <w:pPr>
              <w:jc w:val="right"/>
              <w:ind w:right="157"/>
              <w:spacing w:after="0"/>
              <w:rPr>
                <w:sz w:val="20"/>
                <w:szCs w:val="20"/>
                <w:color w:val="auto"/>
              </w:rPr>
            </w:pPr>
            <w:r>
              <w:rPr>
                <w:rFonts w:ascii="Arial" w:cs="Arial" w:eastAsia="Arial" w:hAnsi="Arial"/>
                <w:sz w:val="13"/>
                <w:szCs w:val="13"/>
                <w:b w:val="1"/>
                <w:bCs w:val="1"/>
                <w:color w:val="auto"/>
                <w:w w:val="99"/>
              </w:rPr>
              <w:t>Legacy SoundHound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100" w:type="dxa"/>
            <w:vAlign w:val="bottom"/>
          </w:tcPr>
          <w:p>
            <w:pPr>
              <w:spacing w:after="0"/>
              <w:rPr>
                <w:sz w:val="5"/>
                <w:szCs w:val="5"/>
                <w:color w:val="auto"/>
              </w:rPr>
            </w:pPr>
          </w:p>
        </w:tc>
        <w:tc>
          <w:tcPr>
            <w:tcW w:w="1540" w:type="dxa"/>
            <w:vAlign w:val="bottom"/>
            <w:gridSpan w:val="4"/>
            <w:vMerge w:val="restart"/>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5"/>
                <w:szCs w:val="5"/>
                <w:color w:val="auto"/>
              </w:rPr>
            </w:pPr>
          </w:p>
        </w:tc>
        <w:tc>
          <w:tcPr>
            <w:tcW w:w="144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w w:val="91"/>
              </w:rPr>
              <w:t>Class A Common Stock</w:t>
            </w:r>
          </w:p>
        </w:tc>
        <w:tc>
          <w:tcPr>
            <w:tcW w:w="80" w:type="dxa"/>
            <w:vAlign w:val="bottom"/>
          </w:tcPr>
          <w:p>
            <w:pPr>
              <w:spacing w:after="0"/>
              <w:rPr>
                <w:sz w:val="5"/>
                <w:szCs w:val="5"/>
                <w:color w:val="auto"/>
              </w:rPr>
            </w:pPr>
          </w:p>
        </w:tc>
        <w:tc>
          <w:tcPr>
            <w:tcW w:w="138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88"/>
              </w:rPr>
              <w:t>Class B Common Stock</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1620" w:type="dxa"/>
            <w:vAlign w:val="bottom"/>
          </w:tcPr>
          <w:p>
            <w:pPr>
              <w:spacing w:after="0"/>
              <w:rPr>
                <w:sz w:val="8"/>
                <w:szCs w:val="8"/>
                <w:color w:val="auto"/>
              </w:rPr>
            </w:pPr>
          </w:p>
        </w:tc>
        <w:tc>
          <w:tcPr>
            <w:tcW w:w="156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jc w:val="center"/>
              <w:spacing w:after="0" w:line="140"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8"/>
                <w:szCs w:val="8"/>
                <w:color w:val="auto"/>
              </w:rPr>
            </w:pPr>
          </w:p>
        </w:tc>
        <w:tc>
          <w:tcPr>
            <w:tcW w:w="760" w:type="dxa"/>
            <w:vAlign w:val="bottom"/>
            <w:gridSpan w:val="2"/>
            <w:vMerge w:val="restart"/>
          </w:tcPr>
          <w:p>
            <w:pPr>
              <w:ind w:left="20"/>
              <w:spacing w:after="0" w:line="140"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16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62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0"/>
        </w:trPr>
        <w:tc>
          <w:tcPr>
            <w:tcW w:w="16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6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Balances as of December</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31, 2021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19,248,537</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279,503</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12,280,051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w w:val="91"/>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43,491</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(386,729)</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(343,237)</w:t>
            </w:r>
          </w:p>
        </w:tc>
        <w:tc>
          <w:tcPr>
            <w:tcW w:w="0" w:type="dxa"/>
            <w:vAlign w:val="bottom"/>
          </w:tcPr>
          <w:p>
            <w:pPr>
              <w:spacing w:after="0"/>
              <w:rPr>
                <w:sz w:val="1"/>
                <w:szCs w:val="1"/>
                <w:color w:val="auto"/>
              </w:rPr>
            </w:pPr>
          </w:p>
        </w:tc>
      </w:tr>
      <w:tr>
        <w:trPr>
          <w:trHeight w:val="161"/>
        </w:trPr>
        <w:tc>
          <w:tcPr>
            <w:tcW w:w="1620" w:type="dxa"/>
            <w:vAlign w:val="bottom"/>
          </w:tcPr>
          <w:p>
            <w:pPr>
              <w:ind w:left="20"/>
              <w:spacing w:after="0"/>
              <w:rPr>
                <w:sz w:val="20"/>
                <w:szCs w:val="20"/>
                <w:color w:val="auto"/>
              </w:rPr>
            </w:pPr>
            <w:r>
              <w:rPr>
                <w:rFonts w:ascii="Arial" w:cs="Arial" w:eastAsia="Arial" w:hAnsi="Arial"/>
                <w:sz w:val="13"/>
                <w:szCs w:val="13"/>
                <w:color w:val="auto"/>
              </w:rPr>
              <w:t>Retroactive application of</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180"/>
              <w:spacing w:after="0"/>
              <w:rPr>
                <w:sz w:val="20"/>
                <w:szCs w:val="20"/>
                <w:color w:val="auto"/>
              </w:rPr>
            </w:pPr>
            <w:r>
              <w:rPr>
                <w:rFonts w:ascii="Arial" w:cs="Arial" w:eastAsia="Arial" w:hAnsi="Arial"/>
                <w:sz w:val="13"/>
                <w:szCs w:val="13"/>
                <w:color w:val="auto"/>
              </w:rPr>
              <w:t>Business Combination</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180"/>
              <w:spacing w:after="0"/>
              <w:rPr>
                <w:sz w:val="20"/>
                <w:szCs w:val="20"/>
                <w:color w:val="auto"/>
              </w:rPr>
            </w:pPr>
            <w:r>
              <w:rPr>
                <w:rFonts w:ascii="Arial" w:cs="Arial" w:eastAsia="Arial" w:hAnsi="Arial"/>
                <w:sz w:val="13"/>
                <w:szCs w:val="13"/>
                <w:color w:val="auto"/>
              </w:rPr>
              <w:t>(Note 3)</w:t>
            </w:r>
          </w:p>
        </w:tc>
        <w:tc>
          <w:tcPr>
            <w:tcW w:w="760" w:type="dxa"/>
            <w:vAlign w:val="bottom"/>
          </w:tcPr>
          <w:p>
            <w:pPr>
              <w:jc w:val="right"/>
              <w:spacing w:after="0"/>
              <w:rPr>
                <w:sz w:val="20"/>
                <w:szCs w:val="20"/>
                <w:color w:val="auto"/>
              </w:rPr>
            </w:pPr>
            <w:r>
              <w:rPr>
                <w:rFonts w:ascii="Arial" w:cs="Arial" w:eastAsia="Arial" w:hAnsi="Arial"/>
                <w:sz w:val="13"/>
                <w:szCs w:val="13"/>
                <w:color w:val="auto"/>
              </w:rPr>
              <w:t>87,700,789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55,978,505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Pr>
          <w:p>
            <w:pPr>
              <w:ind w:left="4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6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6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Adjusted balances,</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beginning of period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106,949,326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279,503</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68,258,556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43,491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(386,729)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(343,237)</w:t>
            </w:r>
          </w:p>
        </w:tc>
        <w:tc>
          <w:tcPr>
            <w:tcW w:w="0" w:type="dxa"/>
            <w:vAlign w:val="bottom"/>
          </w:tcPr>
          <w:p>
            <w:pPr>
              <w:spacing w:after="0"/>
              <w:rPr>
                <w:sz w:val="1"/>
                <w:szCs w:val="1"/>
                <w:color w:val="auto"/>
              </w:rPr>
            </w:pPr>
          </w:p>
        </w:tc>
      </w:tr>
      <w:tr>
        <w:trPr>
          <w:trHeight w:val="161"/>
        </w:trPr>
        <w:tc>
          <w:tcPr>
            <w:tcW w:w="162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180"/>
              <w:spacing w:after="0"/>
              <w:rPr>
                <w:sz w:val="20"/>
                <w:szCs w:val="20"/>
                <w:color w:val="auto"/>
              </w:rPr>
            </w:pPr>
            <w:r>
              <w:rPr>
                <w:rFonts w:ascii="Arial" w:cs="Arial" w:eastAsia="Arial" w:hAnsi="Arial"/>
                <w:sz w:val="13"/>
                <w:szCs w:val="13"/>
                <w:color w:val="auto"/>
              </w:rPr>
              <w:t>upon exercise of stock</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180"/>
              <w:spacing w:after="0"/>
              <w:rPr>
                <w:sz w:val="20"/>
                <w:szCs w:val="20"/>
                <w:color w:val="auto"/>
              </w:rPr>
            </w:pPr>
            <w:r>
              <w:rPr>
                <w:rFonts w:ascii="Arial" w:cs="Arial" w:eastAsia="Arial" w:hAnsi="Arial"/>
                <w:sz w:val="13"/>
                <w:szCs w:val="13"/>
                <w:color w:val="auto"/>
              </w:rPr>
              <w:t>options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2,429,625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Pr>
          <w:p>
            <w:pPr>
              <w:ind w:left="4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2,474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2,474</w:t>
            </w:r>
          </w:p>
        </w:tc>
        <w:tc>
          <w:tcPr>
            <w:tcW w:w="0" w:type="dxa"/>
            <w:vAlign w:val="bottom"/>
          </w:tcPr>
          <w:p>
            <w:pPr>
              <w:spacing w:after="0"/>
              <w:rPr>
                <w:sz w:val="1"/>
                <w:szCs w:val="1"/>
                <w:color w:val="auto"/>
              </w:rPr>
            </w:pPr>
          </w:p>
        </w:tc>
      </w:tr>
      <w:tr>
        <w:trPr>
          <w:trHeight w:val="30"/>
        </w:trPr>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2,464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2,464</w:t>
            </w:r>
          </w:p>
        </w:tc>
        <w:tc>
          <w:tcPr>
            <w:tcW w:w="0" w:type="dxa"/>
            <w:vAlign w:val="bottom"/>
          </w:tcPr>
          <w:p>
            <w:pPr>
              <w:spacing w:after="0"/>
              <w:rPr>
                <w:sz w:val="1"/>
                <w:szCs w:val="1"/>
                <w:color w:val="auto"/>
              </w:rPr>
            </w:pPr>
          </w:p>
        </w:tc>
      </w:tr>
      <w:tr>
        <w:trPr>
          <w:trHeight w:val="186"/>
        </w:trPr>
        <w:tc>
          <w:tcPr>
            <w:tcW w:w="1620" w:type="dxa"/>
            <w:vAlign w:val="bottom"/>
          </w:tcPr>
          <w:p>
            <w:pPr>
              <w:ind w:left="20"/>
              <w:spacing w:after="0"/>
              <w:rPr>
                <w:sz w:val="20"/>
                <w:szCs w:val="20"/>
                <w:color w:val="auto"/>
              </w:rPr>
            </w:pPr>
            <w:r>
              <w:rPr>
                <w:rFonts w:ascii="Arial" w:cs="Arial" w:eastAsia="Arial" w:hAnsi="Arial"/>
                <w:sz w:val="13"/>
                <w:szCs w:val="13"/>
                <w:color w:val="auto"/>
              </w:rPr>
              <w:t>Net loss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80" w:type="dxa"/>
            <w:vAlign w:val="bottom"/>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20" w:type="dxa"/>
            <w:vAlign w:val="bottom"/>
          </w:tcPr>
          <w:p>
            <w:pPr>
              <w:ind w:left="4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(25,103)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(25,103)</w:t>
            </w:r>
          </w:p>
        </w:tc>
        <w:tc>
          <w:tcPr>
            <w:tcW w:w="0" w:type="dxa"/>
            <w:vAlign w:val="bottom"/>
          </w:tcPr>
          <w:p>
            <w:pPr>
              <w:spacing w:after="0"/>
              <w:rPr>
                <w:sz w:val="1"/>
                <w:szCs w:val="1"/>
                <w:color w:val="auto"/>
              </w:rPr>
            </w:pPr>
          </w:p>
        </w:tc>
      </w:tr>
      <w:tr>
        <w:trPr>
          <w:trHeight w:val="30"/>
        </w:trPr>
        <w:tc>
          <w:tcPr>
            <w:tcW w:w="16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6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Balances as of March 31,</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9"/>
              </w:rPr>
              <w:t>106,949,326</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279,503</w:t>
            </w:r>
          </w:p>
        </w:tc>
        <w:tc>
          <w:tcPr>
            <w:tcW w:w="100" w:type="dxa"/>
            <w:vAlign w:val="bottom"/>
            <w:tcBorders>
              <w:right w:val="single" w:sz="8" w:color="auto"/>
            </w:tcBorders>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70,688,181</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ind w:left="480"/>
              <w:spacing w:after="0"/>
              <w:rPr>
                <w:sz w:val="20"/>
                <w:szCs w:val="20"/>
                <w:color w:val="auto"/>
              </w:rPr>
            </w:pPr>
            <w:r>
              <w:rPr>
                <w:rFonts w:ascii="Arial" w:cs="Arial" w:eastAsia="Arial" w:hAnsi="Arial"/>
                <w:sz w:val="13"/>
                <w:szCs w:val="13"/>
                <w:color w:val="auto"/>
                <w:w w:val="91"/>
              </w:rPr>
              <w:t>—</w:t>
            </w:r>
          </w:p>
        </w:tc>
        <w:tc>
          <w:tcPr>
            <w:tcW w:w="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48,429</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(411,832)</w:t>
            </w:r>
          </w:p>
        </w:tc>
        <w:tc>
          <w:tcPr>
            <w:tcW w:w="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6"/>
              </w:rPr>
              <w:t>(363,402)</w:t>
            </w:r>
          </w:p>
        </w:tc>
        <w:tc>
          <w:tcPr>
            <w:tcW w:w="0" w:type="dxa"/>
            <w:vAlign w:val="bottom"/>
          </w:tcPr>
          <w:p>
            <w:pPr>
              <w:spacing w:after="0"/>
              <w:rPr>
                <w:sz w:val="1"/>
                <w:szCs w:val="1"/>
                <w:color w:val="auto"/>
              </w:rPr>
            </w:pPr>
          </w:p>
        </w:tc>
      </w:tr>
      <w:tr>
        <w:trPr>
          <w:trHeight w:val="185"/>
        </w:trPr>
        <w:tc>
          <w:tcPr>
            <w:tcW w:w="1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2022</w:t>
            </w:r>
          </w:p>
        </w:tc>
        <w:tc>
          <w:tcPr>
            <w:tcW w:w="760" w:type="dxa"/>
            <w:vAlign w:val="bottom"/>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20" w:top="337" w:right="1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65" w:lineRule="exact"/>
        <w:rPr>
          <w:sz w:val="20"/>
          <w:szCs w:val="20"/>
          <w:color w:val="auto"/>
        </w:rPr>
      </w:pPr>
    </w:p>
    <w:p>
      <w:pPr>
        <w:jc w:val="center"/>
        <w:ind w:left="8140"/>
        <w:spacing w:after="0"/>
        <w:rPr>
          <w:sz w:val="20"/>
          <w:szCs w:val="20"/>
          <w:color w:val="auto"/>
        </w:rPr>
      </w:pPr>
      <w:r>
        <w:rPr>
          <w:rFonts w:ascii="Arial" w:cs="Arial" w:eastAsia="Arial" w:hAnsi="Arial"/>
          <w:sz w:val="11"/>
          <w:szCs w:val="11"/>
          <w:b w:val="1"/>
          <w:bCs w:val="1"/>
          <w:color w:val="auto"/>
        </w:rPr>
        <w:t>Three Months Ended</w:t>
      </w:r>
    </w:p>
    <w:p>
      <w:pPr>
        <w:spacing w:after="0" w:line="14" w:lineRule="exact"/>
        <w:rPr>
          <w:sz w:val="20"/>
          <w:szCs w:val="20"/>
          <w:color w:val="auto"/>
        </w:rPr>
      </w:pPr>
    </w:p>
    <w:p>
      <w:pPr>
        <w:jc w:val="center"/>
        <w:ind w:left="8140"/>
        <w:spacing w:after="0"/>
        <w:rPr>
          <w:sz w:val="20"/>
          <w:szCs w:val="20"/>
          <w:color w:val="auto"/>
        </w:rPr>
      </w:pPr>
      <w:r>
        <w:rPr>
          <w:rFonts w:ascii="Arial" w:cs="Arial" w:eastAsia="Arial" w:hAnsi="Arial"/>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19685</wp:posOffset>
            </wp:positionV>
            <wp:extent cx="1954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160" w:type="dxa"/>
            <w:vAlign w:val="bottom"/>
          </w:tcPr>
          <w:p>
            <w:pPr>
              <w:spacing w:after="0"/>
              <w:rPr>
                <w:sz w:val="12"/>
                <w:szCs w:val="12"/>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b w:val="1"/>
                <w:bCs w:val="1"/>
                <w:color w:val="auto"/>
              </w:rPr>
              <w:t>2023</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8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36"/>
        </w:trPr>
        <w:tc>
          <w:tcPr>
            <w:tcW w:w="8160" w:type="dxa"/>
            <w:vAlign w:val="bottom"/>
            <w:vMerge w:val="restart"/>
          </w:tcPr>
          <w:p>
            <w:pPr>
              <w:ind w:left="20"/>
              <w:spacing w:after="0"/>
              <w:rPr>
                <w:sz w:val="20"/>
                <w:szCs w:val="20"/>
                <w:color w:val="auto"/>
              </w:rPr>
            </w:pPr>
            <w:r>
              <w:rPr>
                <w:rFonts w:ascii="Arial" w:cs="Arial" w:eastAsia="Arial" w:hAnsi="Arial"/>
                <w:sz w:val="11"/>
                <w:szCs w:val="11"/>
                <w:color w:val="auto"/>
              </w:rPr>
              <w:t>Cash flows from operating activities:</w:t>
            </w: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816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8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Net loss</w:t>
            </w:r>
          </w:p>
        </w:tc>
        <w:tc>
          <w:tcPr>
            <w:tcW w:w="980" w:type="dxa"/>
            <w:vAlign w:val="bottom"/>
            <w:tcBorders>
              <w:bottom w:val="single" w:sz="8" w:color="CCEEFF"/>
            </w:tcBorders>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(26,369)</w:t>
            </w:r>
          </w:p>
        </w:tc>
        <w:tc>
          <w:tcPr>
            <w:tcW w:w="440" w:type="dxa"/>
            <w:vAlign w:val="bottom"/>
            <w:tcBorders>
              <w:bottom w:val="single" w:sz="8" w:color="CCEEFF"/>
            </w:tcBorders>
            <w:gridSpan w:val="2"/>
            <w:shd w:val="clear" w:color="auto" w:fill="CCEEFF"/>
          </w:tcPr>
          <w:p>
            <w:pPr>
              <w:jc w:val="right"/>
              <w:ind w:right="231"/>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(25,103)</w:t>
            </w:r>
          </w:p>
        </w:tc>
        <w:tc>
          <w:tcPr>
            <w:tcW w:w="0" w:type="dxa"/>
            <w:vAlign w:val="bottom"/>
          </w:tcPr>
          <w:p>
            <w:pPr>
              <w:spacing w:after="0"/>
              <w:rPr>
                <w:sz w:val="1"/>
                <w:szCs w:val="1"/>
                <w:color w:val="auto"/>
              </w:rPr>
            </w:pPr>
          </w:p>
        </w:tc>
      </w:tr>
      <w:tr>
        <w:trPr>
          <w:trHeight w:val="153"/>
        </w:trPr>
        <w:tc>
          <w:tcPr>
            <w:tcW w:w="8160" w:type="dxa"/>
            <w:vAlign w:val="bottom"/>
          </w:tcPr>
          <w:p>
            <w:pPr>
              <w:ind w:left="100"/>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8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Depreciation and amortization</w:t>
            </w:r>
          </w:p>
        </w:tc>
        <w:tc>
          <w:tcPr>
            <w:tcW w:w="9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708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1,292</w:t>
            </w: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Arial" w:cs="Arial" w:eastAsia="Arial" w:hAnsi="Arial"/>
                <w:sz w:val="11"/>
                <w:szCs w:val="11"/>
                <w:color w:val="auto"/>
              </w:rPr>
              <w:t>Stock-based compensation</w:t>
            </w:r>
          </w:p>
        </w:tc>
        <w:tc>
          <w:tcPr>
            <w:tcW w:w="98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8,249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2,464</w:t>
            </w: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Change in fair value of derivative and warrant liability</w:t>
            </w:r>
          </w:p>
        </w:tc>
        <w:tc>
          <w:tcPr>
            <w:tcW w:w="9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592</w:t>
            </w: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Arial" w:cs="Arial" w:eastAsia="Arial" w:hAnsi="Arial"/>
                <w:sz w:val="11"/>
                <w:szCs w:val="11"/>
                <w:color w:val="auto"/>
              </w:rPr>
              <w:t>Amortization of debt issuance cost</w:t>
            </w:r>
          </w:p>
        </w:tc>
        <w:tc>
          <w:tcPr>
            <w:tcW w:w="98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1,742</w:t>
            </w: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Non-cash lease amortization</w:t>
            </w:r>
          </w:p>
        </w:tc>
        <w:tc>
          <w:tcPr>
            <w:tcW w:w="9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894</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846</w:t>
            </w: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Arial" w:cs="Arial" w:eastAsia="Arial" w:hAnsi="Arial"/>
                <w:sz w:val="11"/>
                <w:szCs w:val="11"/>
                <w:color w:val="auto"/>
              </w:rPr>
              <w:t>Changes in operating assets and liabilities:</w:t>
            </w: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8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Accounts receivable, net</w:t>
            </w:r>
          </w:p>
        </w:tc>
        <w:tc>
          <w:tcPr>
            <w:tcW w:w="9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754</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728</w:t>
            </w:r>
          </w:p>
        </w:tc>
        <w:tc>
          <w:tcPr>
            <w:tcW w:w="0" w:type="dxa"/>
            <w:vAlign w:val="bottom"/>
          </w:tcPr>
          <w:p>
            <w:pPr>
              <w:spacing w:after="0"/>
              <w:rPr>
                <w:sz w:val="1"/>
                <w:szCs w:val="1"/>
                <w:color w:val="auto"/>
              </w:rPr>
            </w:pPr>
          </w:p>
        </w:tc>
      </w:tr>
      <w:tr>
        <w:trPr>
          <w:trHeight w:val="153"/>
        </w:trPr>
        <w:tc>
          <w:tcPr>
            <w:tcW w:w="8160" w:type="dxa"/>
            <w:vAlign w:val="bottom"/>
          </w:tcPr>
          <w:p>
            <w:pPr>
              <w:ind w:left="260"/>
              <w:spacing w:after="0"/>
              <w:rPr>
                <w:sz w:val="20"/>
                <w:szCs w:val="20"/>
                <w:color w:val="auto"/>
              </w:rPr>
            </w:pPr>
            <w:r>
              <w:rPr>
                <w:rFonts w:ascii="Arial" w:cs="Arial" w:eastAsia="Arial" w:hAnsi="Arial"/>
                <w:sz w:val="11"/>
                <w:szCs w:val="11"/>
                <w:color w:val="auto"/>
              </w:rPr>
              <w:t>Prepaid expenses</w:t>
            </w:r>
          </w:p>
        </w:tc>
        <w:tc>
          <w:tcPr>
            <w:tcW w:w="98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863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(543)</w:t>
            </w:r>
          </w:p>
        </w:tc>
        <w:tc>
          <w:tcPr>
            <w:tcW w:w="0" w:type="dxa"/>
            <w:vAlign w:val="bottom"/>
          </w:tcPr>
          <w:p>
            <w:pPr>
              <w:spacing w:after="0"/>
              <w:rPr>
                <w:sz w:val="1"/>
                <w:szCs w:val="1"/>
                <w:color w:val="auto"/>
              </w:rPr>
            </w:pPr>
          </w:p>
        </w:tc>
      </w:tr>
      <w:tr>
        <w:trPr>
          <w:trHeight w:val="36"/>
        </w:trPr>
        <w:tc>
          <w:tcPr>
            <w:tcW w:w="8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Other current assets</w:t>
            </w:r>
          </w:p>
        </w:tc>
        <w:tc>
          <w:tcPr>
            <w:tcW w:w="9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(210)</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53"/>
        </w:trPr>
        <w:tc>
          <w:tcPr>
            <w:tcW w:w="8160" w:type="dxa"/>
            <w:vAlign w:val="bottom"/>
          </w:tcPr>
          <w:p>
            <w:pPr>
              <w:ind w:left="260"/>
              <w:spacing w:after="0"/>
              <w:rPr>
                <w:sz w:val="20"/>
                <w:szCs w:val="20"/>
                <w:color w:val="auto"/>
              </w:rPr>
            </w:pPr>
            <w:r>
              <w:rPr>
                <w:rFonts w:ascii="Arial" w:cs="Arial" w:eastAsia="Arial" w:hAnsi="Arial"/>
                <w:sz w:val="11"/>
                <w:szCs w:val="11"/>
                <w:color w:val="auto"/>
              </w:rPr>
              <w:t>Contract assets</w:t>
            </w:r>
          </w:p>
        </w:tc>
        <w:tc>
          <w:tcPr>
            <w:tcW w:w="98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126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6"/>
        </w:trPr>
        <w:tc>
          <w:tcPr>
            <w:tcW w:w="8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Other non-current assets</w:t>
            </w:r>
          </w:p>
        </w:tc>
        <w:tc>
          <w:tcPr>
            <w:tcW w:w="9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(1,942)</w:t>
            </w:r>
          </w:p>
        </w:tc>
        <w:tc>
          <w:tcPr>
            <w:tcW w:w="0" w:type="dxa"/>
            <w:vAlign w:val="bottom"/>
          </w:tcPr>
          <w:p>
            <w:pPr>
              <w:spacing w:after="0"/>
              <w:rPr>
                <w:sz w:val="1"/>
                <w:szCs w:val="1"/>
                <w:color w:val="auto"/>
              </w:rPr>
            </w:pPr>
          </w:p>
        </w:tc>
      </w:tr>
      <w:tr>
        <w:trPr>
          <w:trHeight w:val="153"/>
        </w:trPr>
        <w:tc>
          <w:tcPr>
            <w:tcW w:w="8160" w:type="dxa"/>
            <w:vAlign w:val="bottom"/>
          </w:tcPr>
          <w:p>
            <w:pPr>
              <w:ind w:left="260"/>
              <w:spacing w:after="0"/>
              <w:rPr>
                <w:sz w:val="20"/>
                <w:szCs w:val="20"/>
                <w:color w:val="auto"/>
              </w:rPr>
            </w:pPr>
            <w:r>
              <w:rPr>
                <w:rFonts w:ascii="Arial" w:cs="Arial" w:eastAsia="Arial" w:hAnsi="Arial"/>
                <w:sz w:val="11"/>
                <w:szCs w:val="11"/>
                <w:color w:val="auto"/>
              </w:rPr>
              <w:t>Accounts payable</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(256)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3,178</w:t>
            </w: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Accrued liabilities</w:t>
            </w:r>
          </w:p>
        </w:tc>
        <w:tc>
          <w:tcPr>
            <w:tcW w:w="9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4,306</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4,398</w:t>
            </w:r>
          </w:p>
        </w:tc>
        <w:tc>
          <w:tcPr>
            <w:tcW w:w="0" w:type="dxa"/>
            <w:vAlign w:val="bottom"/>
          </w:tcPr>
          <w:p>
            <w:pPr>
              <w:spacing w:after="0"/>
              <w:rPr>
                <w:sz w:val="1"/>
                <w:szCs w:val="1"/>
                <w:color w:val="auto"/>
              </w:rPr>
            </w:pPr>
          </w:p>
        </w:tc>
      </w:tr>
      <w:tr>
        <w:trPr>
          <w:trHeight w:val="153"/>
        </w:trPr>
        <w:tc>
          <w:tcPr>
            <w:tcW w:w="8160" w:type="dxa"/>
            <w:vAlign w:val="bottom"/>
          </w:tcPr>
          <w:p>
            <w:pPr>
              <w:ind w:left="260"/>
              <w:spacing w:after="0"/>
              <w:rPr>
                <w:sz w:val="20"/>
                <w:szCs w:val="20"/>
                <w:color w:val="auto"/>
              </w:rPr>
            </w:pPr>
            <w:r>
              <w:rPr>
                <w:rFonts w:ascii="Arial" w:cs="Arial" w:eastAsia="Arial" w:hAnsi="Arial"/>
                <w:sz w:val="11"/>
                <w:szCs w:val="11"/>
                <w:color w:val="auto"/>
              </w:rPr>
              <w:t>Operating lease liabilities</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(963)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(1,080)</w:t>
            </w: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Deferred revenue</w:t>
            </w:r>
          </w:p>
        </w:tc>
        <w:tc>
          <w:tcPr>
            <w:tcW w:w="9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(2,603)</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(1,623)</w:t>
            </w:r>
          </w:p>
        </w:tc>
        <w:tc>
          <w:tcPr>
            <w:tcW w:w="0" w:type="dxa"/>
            <w:vAlign w:val="bottom"/>
          </w:tcPr>
          <w:p>
            <w:pPr>
              <w:spacing w:after="0"/>
              <w:rPr>
                <w:sz w:val="1"/>
                <w:szCs w:val="1"/>
                <w:color w:val="auto"/>
              </w:rPr>
            </w:pPr>
          </w:p>
        </w:tc>
      </w:tr>
      <w:tr>
        <w:trPr>
          <w:trHeight w:val="153"/>
        </w:trPr>
        <w:tc>
          <w:tcPr>
            <w:tcW w:w="8160" w:type="dxa"/>
            <w:vAlign w:val="bottom"/>
          </w:tcPr>
          <w:p>
            <w:pPr>
              <w:ind w:left="260"/>
              <w:spacing w:after="0"/>
              <w:rPr>
                <w:sz w:val="20"/>
                <w:szCs w:val="20"/>
                <w:color w:val="auto"/>
              </w:rPr>
            </w:pPr>
            <w:r>
              <w:rPr>
                <w:rFonts w:ascii="Arial" w:cs="Arial" w:eastAsia="Arial" w:hAnsi="Arial"/>
                <w:sz w:val="11"/>
                <w:szCs w:val="11"/>
                <w:color w:val="auto"/>
              </w:rPr>
              <w:t>Other non-current liabilities</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36"/>
        </w:trPr>
        <w:tc>
          <w:tcPr>
            <w:tcW w:w="81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8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rPr>
              <w:t>Net cash used in operating activities</w:t>
            </w:r>
          </w:p>
        </w:tc>
        <w:tc>
          <w:tcPr>
            <w:tcW w:w="9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(14,467)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(14,989)</w:t>
            </w:r>
          </w:p>
        </w:tc>
        <w:tc>
          <w:tcPr>
            <w:tcW w:w="0" w:type="dxa"/>
            <w:vAlign w:val="bottom"/>
          </w:tcPr>
          <w:p>
            <w:pPr>
              <w:spacing w:after="0"/>
              <w:rPr>
                <w:sz w:val="1"/>
                <w:szCs w:val="1"/>
                <w:color w:val="auto"/>
              </w:rPr>
            </w:pPr>
          </w:p>
        </w:tc>
      </w:tr>
      <w:tr>
        <w:trPr>
          <w:trHeight w:val="48"/>
        </w:trPr>
        <w:tc>
          <w:tcPr>
            <w:tcW w:w="8160" w:type="dxa"/>
            <w:vAlign w:val="bottom"/>
            <w:tcBorders>
              <w:top w:val="single" w:sz="8" w:color="CCEEFF"/>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flows from investing activities:</w:t>
            </w:r>
          </w:p>
        </w:tc>
        <w:tc>
          <w:tcPr>
            <w:tcW w:w="9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160" w:type="dxa"/>
            <w:vAlign w:val="bottom"/>
          </w:tcPr>
          <w:p>
            <w:pPr>
              <w:ind w:left="100"/>
              <w:spacing w:after="0"/>
              <w:rPr>
                <w:sz w:val="20"/>
                <w:szCs w:val="20"/>
                <w:color w:val="auto"/>
              </w:rPr>
            </w:pPr>
            <w:r>
              <w:rPr>
                <w:rFonts w:ascii="Arial" w:cs="Arial" w:eastAsia="Arial" w:hAnsi="Arial"/>
                <w:sz w:val="11"/>
                <w:szCs w:val="11"/>
                <w:color w:val="auto"/>
              </w:rPr>
              <w:t>Purchases of property and equipment</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(611)</w:t>
            </w:r>
          </w:p>
        </w:tc>
        <w:tc>
          <w:tcPr>
            <w:tcW w:w="0" w:type="dxa"/>
            <w:vAlign w:val="bottom"/>
          </w:tcPr>
          <w:p>
            <w:pPr>
              <w:spacing w:after="0"/>
              <w:rPr>
                <w:sz w:val="1"/>
                <w:szCs w:val="1"/>
                <w:color w:val="auto"/>
              </w:rPr>
            </w:pP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8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rPr>
              <w:t>Net cash used in investing activities</w:t>
            </w:r>
          </w:p>
        </w:tc>
        <w:tc>
          <w:tcPr>
            <w:tcW w:w="9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(611)</w:t>
            </w:r>
          </w:p>
        </w:tc>
        <w:tc>
          <w:tcPr>
            <w:tcW w:w="0" w:type="dxa"/>
            <w:vAlign w:val="bottom"/>
          </w:tcPr>
          <w:p>
            <w:pPr>
              <w:spacing w:after="0"/>
              <w:rPr>
                <w:sz w:val="1"/>
                <w:szCs w:val="1"/>
                <w:color w:val="auto"/>
              </w:rPr>
            </w:pPr>
          </w:p>
        </w:tc>
      </w:tr>
      <w:tr>
        <w:trPr>
          <w:trHeight w:val="48"/>
        </w:trPr>
        <w:tc>
          <w:tcPr>
            <w:tcW w:w="8160" w:type="dxa"/>
            <w:vAlign w:val="bottom"/>
            <w:tcBorders>
              <w:top w:val="single" w:sz="8" w:color="CCEEFF"/>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flows from financing activities:</w:t>
            </w:r>
          </w:p>
        </w:tc>
        <w:tc>
          <w:tcPr>
            <w:tcW w:w="9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160" w:type="dxa"/>
            <w:vAlign w:val="bottom"/>
          </w:tcPr>
          <w:p>
            <w:pPr>
              <w:ind w:left="100"/>
              <w:spacing w:after="0"/>
              <w:rPr>
                <w:sz w:val="20"/>
                <w:szCs w:val="20"/>
                <w:color w:val="auto"/>
              </w:rPr>
            </w:pPr>
            <w:r>
              <w:rPr>
                <w:rFonts w:ascii="Arial" w:cs="Arial" w:eastAsia="Arial" w:hAnsi="Arial"/>
                <w:sz w:val="11"/>
                <w:szCs w:val="11"/>
                <w:color w:val="auto"/>
              </w:rPr>
              <w:t>Proceeds from the issuance of Series A Preferred Stock, net of issuance costs</w:t>
            </w:r>
          </w:p>
        </w:tc>
        <w:tc>
          <w:tcPr>
            <w:tcW w:w="98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24,942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Proceeds from sales of common stock under the ELOC program, net of issuance costs</w:t>
            </w:r>
          </w:p>
        </w:tc>
        <w:tc>
          <w:tcPr>
            <w:tcW w:w="9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28,360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8160" w:type="dxa"/>
            <w:vAlign w:val="bottom"/>
          </w:tcPr>
          <w:p>
            <w:pPr>
              <w:ind w:left="100"/>
              <w:spacing w:after="0"/>
              <w:rPr>
                <w:sz w:val="20"/>
                <w:szCs w:val="20"/>
                <w:color w:val="auto"/>
              </w:rPr>
            </w:pPr>
            <w:r>
              <w:rPr>
                <w:rFonts w:ascii="Arial" w:cs="Arial" w:eastAsia="Arial" w:hAnsi="Arial"/>
                <w:sz w:val="11"/>
                <w:szCs w:val="11"/>
                <w:color w:val="auto"/>
              </w:rPr>
              <w:t>Proceeds from the issuance of common stock upon exercise of options</w:t>
            </w:r>
          </w:p>
        </w:tc>
        <w:tc>
          <w:tcPr>
            <w:tcW w:w="98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2,425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2,474</w:t>
            </w: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Payments on notes payable</w:t>
            </w:r>
          </w:p>
        </w:tc>
        <w:tc>
          <w:tcPr>
            <w:tcW w:w="9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(4,120)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8160" w:type="dxa"/>
            <w:vAlign w:val="bottom"/>
          </w:tcPr>
          <w:p>
            <w:pPr>
              <w:ind w:left="100"/>
              <w:spacing w:after="0"/>
              <w:rPr>
                <w:sz w:val="20"/>
                <w:szCs w:val="20"/>
                <w:color w:val="auto"/>
              </w:rPr>
            </w:pPr>
            <w:r>
              <w:rPr>
                <w:rFonts w:ascii="Arial" w:cs="Arial" w:eastAsia="Arial" w:hAnsi="Arial"/>
                <w:sz w:val="11"/>
                <w:szCs w:val="11"/>
                <w:color w:val="auto"/>
              </w:rPr>
              <w:t>Payments on finance leases</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(519)</w:t>
            </w:r>
          </w:p>
        </w:tc>
        <w:tc>
          <w:tcPr>
            <w:tcW w:w="0" w:type="dxa"/>
            <w:vAlign w:val="bottom"/>
          </w:tcPr>
          <w:p>
            <w:pPr>
              <w:spacing w:after="0"/>
              <w:rPr>
                <w:sz w:val="1"/>
                <w:szCs w:val="1"/>
                <w:color w:val="auto"/>
              </w:rPr>
            </w:pPr>
          </w:p>
        </w:tc>
      </w:tr>
      <w:tr>
        <w:trPr>
          <w:trHeight w:val="35"/>
        </w:trPr>
        <w:tc>
          <w:tcPr>
            <w:tcW w:w="81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8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rPr>
              <w:t>Net cash provided by financing activities</w:t>
            </w:r>
          </w:p>
        </w:tc>
        <w:tc>
          <w:tcPr>
            <w:tcW w:w="9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51,568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1,955</w:t>
            </w:r>
          </w:p>
        </w:tc>
        <w:tc>
          <w:tcPr>
            <w:tcW w:w="0" w:type="dxa"/>
            <w:vAlign w:val="bottom"/>
          </w:tcPr>
          <w:p>
            <w:pPr>
              <w:spacing w:after="0"/>
              <w:rPr>
                <w:sz w:val="1"/>
                <w:szCs w:val="1"/>
                <w:color w:val="auto"/>
              </w:rPr>
            </w:pPr>
          </w:p>
        </w:tc>
      </w:tr>
      <w:tr>
        <w:trPr>
          <w:trHeight w:val="147"/>
        </w:trPr>
        <w:tc>
          <w:tcPr>
            <w:tcW w:w="8160" w:type="dxa"/>
            <w:vAlign w:val="bottom"/>
            <w:tcBorders>
              <w:top w:val="single" w:sz="8" w:color="CCEEFF"/>
            </w:tcBorders>
          </w:tcPr>
          <w:p>
            <w:pPr>
              <w:ind w:left="440"/>
              <w:spacing w:after="0"/>
              <w:rPr>
                <w:sz w:val="20"/>
                <w:szCs w:val="20"/>
                <w:color w:val="auto"/>
              </w:rPr>
            </w:pPr>
            <w:r>
              <w:rPr>
                <w:rFonts w:ascii="Arial" w:cs="Arial" w:eastAsia="Arial" w:hAnsi="Arial"/>
                <w:sz w:val="11"/>
                <w:szCs w:val="11"/>
                <w:color w:val="auto"/>
              </w:rPr>
              <w:t>Net change in cash, cash equivalents, and restricted cash equivalents</w:t>
            </w:r>
          </w:p>
        </w:tc>
        <w:tc>
          <w:tcPr>
            <w:tcW w:w="9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37,086</w:t>
            </w:r>
          </w:p>
        </w:tc>
        <w:tc>
          <w:tcPr>
            <w:tcW w:w="10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(13,645)</w:t>
            </w:r>
          </w:p>
        </w:tc>
        <w:tc>
          <w:tcPr>
            <w:tcW w:w="0" w:type="dxa"/>
            <w:vAlign w:val="bottom"/>
          </w:tcPr>
          <w:p>
            <w:pPr>
              <w:spacing w:after="0"/>
              <w:rPr>
                <w:sz w:val="1"/>
                <w:szCs w:val="1"/>
                <w:color w:val="auto"/>
              </w:rPr>
            </w:pPr>
          </w:p>
        </w:tc>
      </w:tr>
      <w:tr>
        <w:trPr>
          <w:trHeight w:val="35"/>
        </w:trPr>
        <w:tc>
          <w:tcPr>
            <w:tcW w:w="8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cash equivalents, and restricted cash equivalents, beginning of period</w:t>
            </w:r>
          </w:p>
        </w:tc>
        <w:tc>
          <w:tcPr>
            <w:tcW w:w="9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9,475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22,822</w:t>
            </w:r>
          </w:p>
        </w:tc>
        <w:tc>
          <w:tcPr>
            <w:tcW w:w="0" w:type="dxa"/>
            <w:vAlign w:val="bottom"/>
          </w:tcPr>
          <w:p>
            <w:pPr>
              <w:spacing w:after="0"/>
              <w:rPr>
                <w:sz w:val="1"/>
                <w:szCs w:val="1"/>
                <w:color w:val="auto"/>
              </w:rPr>
            </w:pPr>
          </w:p>
        </w:tc>
      </w:tr>
      <w:tr>
        <w:trPr>
          <w:trHeight w:val="178"/>
        </w:trPr>
        <w:tc>
          <w:tcPr>
            <w:tcW w:w="816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Cash, cash equivalents, and restricted cash equivalents, end of period</w:t>
            </w:r>
          </w:p>
        </w:tc>
        <w:tc>
          <w:tcPr>
            <w:tcW w:w="980" w:type="dxa"/>
            <w:vAlign w:val="bottom"/>
            <w:tcBorders>
              <w:top w:val="single" w:sz="8" w:color="auto"/>
              <w:bottom w:val="single" w:sz="8" w:color="auto"/>
            </w:tcBorders>
          </w:tcPr>
          <w:p>
            <w:pPr>
              <w:jc w:val="right"/>
              <w:ind w:right="846"/>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46,561</w:t>
            </w: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9,177</w:t>
            </w:r>
          </w:p>
        </w:tc>
        <w:tc>
          <w:tcPr>
            <w:tcW w:w="0" w:type="dxa"/>
            <w:vAlign w:val="bottom"/>
          </w:tcPr>
          <w:p>
            <w:pPr>
              <w:spacing w:after="0"/>
              <w:rPr>
                <w:sz w:val="1"/>
                <w:szCs w:val="1"/>
                <w:color w:val="auto"/>
              </w:rPr>
            </w:pPr>
          </w:p>
        </w:tc>
      </w:tr>
      <w:tr>
        <w:trPr>
          <w:trHeight w:val="50"/>
        </w:trPr>
        <w:tc>
          <w:tcPr>
            <w:tcW w:w="81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816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Reconciliation to amounts on the condensed consolidated balance sheets:</w:t>
            </w:r>
          </w:p>
        </w:tc>
        <w:tc>
          <w:tcPr>
            <w:tcW w:w="98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Cash and cash equivalents</w:t>
            </w:r>
          </w:p>
        </w:tc>
        <w:tc>
          <w:tcPr>
            <w:tcW w:w="980" w:type="dxa"/>
            <w:vAlign w:val="bottom"/>
            <w:tcBorders>
              <w:bottom w:val="single" w:sz="8" w:color="CCEEFF"/>
            </w:tcBorders>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46,331</w:t>
            </w:r>
          </w:p>
        </w:tc>
        <w:tc>
          <w:tcPr>
            <w:tcW w:w="440" w:type="dxa"/>
            <w:vAlign w:val="bottom"/>
            <w:tcBorders>
              <w:bottom w:val="single" w:sz="8" w:color="CCEEFF"/>
            </w:tcBorders>
            <w:gridSpan w:val="2"/>
            <w:shd w:val="clear" w:color="auto" w:fill="CCEEFF"/>
          </w:tcPr>
          <w:p>
            <w:pPr>
              <w:jc w:val="right"/>
              <w:ind w:right="231"/>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8,211</w:t>
            </w:r>
          </w:p>
        </w:tc>
        <w:tc>
          <w:tcPr>
            <w:tcW w:w="0" w:type="dxa"/>
            <w:vAlign w:val="bottom"/>
          </w:tcPr>
          <w:p>
            <w:pPr>
              <w:spacing w:after="0"/>
              <w:rPr>
                <w:sz w:val="1"/>
                <w:szCs w:val="1"/>
                <w:color w:val="auto"/>
              </w:rPr>
            </w:pPr>
          </w:p>
        </w:tc>
      </w:tr>
      <w:tr>
        <w:trPr>
          <w:trHeight w:val="154"/>
        </w:trPr>
        <w:tc>
          <w:tcPr>
            <w:tcW w:w="8160" w:type="dxa"/>
            <w:vAlign w:val="bottom"/>
          </w:tcPr>
          <w:p>
            <w:pPr>
              <w:ind w:left="100"/>
              <w:spacing w:after="0"/>
              <w:rPr>
                <w:sz w:val="20"/>
                <w:szCs w:val="20"/>
                <w:color w:val="auto"/>
              </w:rPr>
            </w:pPr>
            <w:r>
              <w:rPr>
                <w:rFonts w:ascii="Arial" w:cs="Arial" w:eastAsia="Arial" w:hAnsi="Arial"/>
                <w:sz w:val="11"/>
                <w:szCs w:val="11"/>
                <w:color w:val="auto"/>
              </w:rPr>
              <w:t>Current portion of restricted cash equivalents</w:t>
            </w:r>
          </w:p>
        </w:tc>
        <w:tc>
          <w:tcPr>
            <w:tcW w:w="98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35"/>
        </w:trPr>
        <w:tc>
          <w:tcPr>
            <w:tcW w:w="8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Non-current portion of restricted cash equivalents</w:t>
            </w:r>
          </w:p>
        </w:tc>
        <w:tc>
          <w:tcPr>
            <w:tcW w:w="9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736</w:t>
            </w:r>
          </w:p>
        </w:tc>
        <w:tc>
          <w:tcPr>
            <w:tcW w:w="0" w:type="dxa"/>
            <w:vAlign w:val="bottom"/>
          </w:tcPr>
          <w:p>
            <w:pPr>
              <w:spacing w:after="0"/>
              <w:rPr>
                <w:sz w:val="1"/>
                <w:szCs w:val="1"/>
                <w:color w:val="auto"/>
              </w:rPr>
            </w:pPr>
          </w:p>
        </w:tc>
      </w:tr>
      <w:tr>
        <w:trPr>
          <w:trHeight w:val="178"/>
        </w:trPr>
        <w:tc>
          <w:tcPr>
            <w:tcW w:w="8160" w:type="dxa"/>
            <w:vAlign w:val="bottom"/>
            <w:tcBorders>
              <w:top w:val="single" w:sz="8" w:color="CCEEFF"/>
            </w:tcBorders>
          </w:tcPr>
          <w:p>
            <w:pPr>
              <w:ind w:left="360"/>
              <w:spacing w:after="0"/>
              <w:rPr>
                <w:sz w:val="20"/>
                <w:szCs w:val="20"/>
                <w:color w:val="auto"/>
              </w:rPr>
            </w:pPr>
            <w:r>
              <w:rPr>
                <w:rFonts w:ascii="Arial" w:cs="Arial" w:eastAsia="Arial" w:hAnsi="Arial"/>
                <w:sz w:val="11"/>
                <w:szCs w:val="11"/>
                <w:color w:val="auto"/>
              </w:rPr>
              <w:t>Total cash, cash equivalents, and restricted cash equivalents shown in the condensed consolidated statements of cash flows</w:t>
            </w:r>
          </w:p>
        </w:tc>
        <w:tc>
          <w:tcPr>
            <w:tcW w:w="980" w:type="dxa"/>
            <w:vAlign w:val="bottom"/>
            <w:tcBorders>
              <w:top w:val="single" w:sz="8" w:color="auto"/>
              <w:bottom w:val="single" w:sz="8" w:color="auto"/>
            </w:tcBorders>
          </w:tcPr>
          <w:p>
            <w:pPr>
              <w:jc w:val="right"/>
              <w:ind w:right="846"/>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46,561</w:t>
            </w: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9,177</w:t>
            </w:r>
          </w:p>
        </w:tc>
        <w:tc>
          <w:tcPr>
            <w:tcW w:w="0" w:type="dxa"/>
            <w:vAlign w:val="bottom"/>
          </w:tcPr>
          <w:p>
            <w:pPr>
              <w:spacing w:after="0"/>
              <w:rPr>
                <w:sz w:val="1"/>
                <w:szCs w:val="1"/>
                <w:color w:val="auto"/>
              </w:rPr>
            </w:pPr>
          </w:p>
        </w:tc>
      </w:tr>
      <w:tr>
        <w:trPr>
          <w:trHeight w:val="50"/>
        </w:trPr>
        <w:tc>
          <w:tcPr>
            <w:tcW w:w="81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816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Supplemental disclosures of cash flow information:</w:t>
            </w:r>
          </w:p>
        </w:tc>
        <w:tc>
          <w:tcPr>
            <w:tcW w:w="98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Cash paid for interest</w:t>
            </w:r>
          </w:p>
        </w:tc>
        <w:tc>
          <w:tcPr>
            <w:tcW w:w="98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1,074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1,013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60" w:type="dxa"/>
            <w:vAlign w:val="bottom"/>
          </w:tcPr>
          <w:p>
            <w:pPr>
              <w:ind w:left="260"/>
              <w:spacing w:after="0"/>
              <w:rPr>
                <w:sz w:val="20"/>
                <w:szCs w:val="20"/>
                <w:color w:val="auto"/>
              </w:rPr>
            </w:pPr>
            <w:r>
              <w:rPr>
                <w:rFonts w:ascii="Arial" w:cs="Arial" w:eastAsia="Arial" w:hAnsi="Arial"/>
                <w:sz w:val="11"/>
                <w:szCs w:val="11"/>
                <w:color w:val="auto"/>
              </w:rPr>
              <w:t>Cash paid for income taxes</w:t>
            </w:r>
          </w:p>
        </w:tc>
        <w:tc>
          <w:tcPr>
            <w:tcW w:w="980" w:type="dxa"/>
            <w:vAlign w:val="bottom"/>
          </w:tcPr>
          <w:p>
            <w:pPr>
              <w:jc w:val="right"/>
              <w:ind w:right="84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550</w:t>
            </w:r>
          </w:p>
        </w:tc>
        <w:tc>
          <w:tcPr>
            <w:tcW w:w="440" w:type="dxa"/>
            <w:vAlign w:val="bottom"/>
            <w:gridSpan w:val="2"/>
          </w:tcPr>
          <w:p>
            <w:pPr>
              <w:jc w:val="right"/>
              <w:ind w:right="231"/>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50"/>
        </w:trPr>
        <w:tc>
          <w:tcPr>
            <w:tcW w:w="8160" w:type="dxa"/>
            <w:vAlign w:val="bottom"/>
            <w:tcBorders>
              <w:bottom w:val="single" w:sz="8" w:color="CCEEFF"/>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8160" w:type="dxa"/>
            <w:vAlign w:val="bottom"/>
            <w:tcBorders>
              <w:top w:val="single" w:sz="8" w:color="CCEEFF"/>
            </w:tcBorders>
          </w:tcPr>
          <w:p>
            <w:pPr>
              <w:ind w:left="100"/>
              <w:spacing w:after="0"/>
              <w:rPr>
                <w:sz w:val="20"/>
                <w:szCs w:val="20"/>
                <w:color w:val="auto"/>
              </w:rPr>
            </w:pPr>
            <w:r>
              <w:rPr>
                <w:rFonts w:ascii="Arial" w:cs="Arial" w:eastAsia="Arial" w:hAnsi="Arial"/>
                <w:sz w:val="11"/>
                <w:szCs w:val="11"/>
                <w:color w:val="auto"/>
              </w:rPr>
              <w:t>Noncash investing and financing activities:</w:t>
            </w:r>
          </w:p>
        </w:tc>
        <w:tc>
          <w:tcPr>
            <w:tcW w:w="98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Unpaid issuance costs in connection with the ELOC program</w:t>
            </w:r>
          </w:p>
        </w:tc>
        <w:tc>
          <w:tcPr>
            <w:tcW w:w="98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437</w:t>
            </w:r>
          </w:p>
        </w:tc>
        <w:tc>
          <w:tcPr>
            <w:tcW w:w="440" w:type="dxa"/>
            <w:vAlign w:val="bottom"/>
            <w:tcBorders>
              <w:bottom w:val="single" w:sz="8" w:color="auto"/>
            </w:tcBorders>
            <w:gridSpan w:val="2"/>
            <w:shd w:val="clear" w:color="auto" w:fill="CCEEFF"/>
          </w:tcPr>
          <w:p>
            <w:pPr>
              <w:jc w:val="right"/>
              <w:ind w:right="231"/>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160" w:type="dxa"/>
            <w:vAlign w:val="bottom"/>
          </w:tcPr>
          <w:p>
            <w:pPr>
              <w:ind w:left="260"/>
              <w:spacing w:after="0"/>
              <w:rPr>
                <w:sz w:val="20"/>
                <w:szCs w:val="20"/>
                <w:color w:val="auto"/>
              </w:rPr>
            </w:pPr>
            <w:r>
              <w:rPr>
                <w:rFonts w:ascii="Arial" w:cs="Arial" w:eastAsia="Arial" w:hAnsi="Arial"/>
                <w:sz w:val="11"/>
                <w:szCs w:val="11"/>
                <w:color w:val="auto"/>
              </w:rPr>
              <w:t>Deferred offering costs reclassified to additional paid-in capital</w:t>
            </w:r>
          </w:p>
        </w:tc>
        <w:tc>
          <w:tcPr>
            <w:tcW w:w="980" w:type="dxa"/>
            <w:vAlign w:val="bottom"/>
          </w:tcPr>
          <w:p>
            <w:pPr>
              <w:jc w:val="right"/>
              <w:ind w:right="84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323</w:t>
            </w:r>
          </w:p>
        </w:tc>
        <w:tc>
          <w:tcPr>
            <w:tcW w:w="440" w:type="dxa"/>
            <w:vAlign w:val="bottom"/>
            <w:gridSpan w:val="2"/>
          </w:tcPr>
          <w:p>
            <w:pPr>
              <w:jc w:val="right"/>
              <w:ind w:right="231"/>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1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Operating lease liabilities arising from obtaining right-of-use assets</w:t>
            </w:r>
          </w:p>
        </w:tc>
        <w:tc>
          <w:tcPr>
            <w:tcW w:w="980" w:type="dxa"/>
            <w:vAlign w:val="bottom"/>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231"/>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650</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9600" w:firstLine="8"/>
        <w:spacing w:after="0" w:line="566" w:lineRule="auto"/>
        <w:tabs>
          <w:tab w:leader="none" w:pos="1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ORGANIZATION </w:t>
      </w:r>
      <w:r>
        <w:rPr>
          <w:rFonts w:ascii="Arial" w:cs="Arial" w:eastAsia="Arial" w:hAnsi="Arial"/>
          <w:sz w:val="16"/>
          <w:szCs w:val="16"/>
          <w:b w:val="1"/>
          <w:bCs w:val="1"/>
          <w:u w:val="single" w:color="auto"/>
          <w:color w:val="auto"/>
        </w:rPr>
        <w:t>Nature of Operations</w:t>
      </w:r>
    </w:p>
    <w:p>
      <w:pPr>
        <w:jc w:val="both"/>
        <w:spacing w:after="0" w:line="288" w:lineRule="auto"/>
        <w:rPr>
          <w:sz w:val="20"/>
          <w:szCs w:val="20"/>
          <w:color w:val="auto"/>
        </w:rPr>
      </w:pPr>
      <w:r>
        <w:rPr>
          <w:rFonts w:ascii="Arial" w:cs="Arial" w:eastAsia="Arial" w:hAnsi="Arial"/>
          <w:sz w:val="16"/>
          <w:szCs w:val="16"/>
          <w:color w:val="auto"/>
        </w:rPr>
        <w:t>SoundHound AI, Inc. (“we," "us," "our,"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SoundHound's voice AI platform enables product creators to develop their own voice interfaces with their customers. The SoundHound Chat AI voice assistant allows businesses and brands to provide a next-generation voice experience for their users, seamlessly integrating Generative AI and a mix of real-time information domains. Houndify is an open-access platform that allows developers to leverage SoundHound’s Voice AI technology. We have developed a range of proprietary technologies on our voice AI platform, including Speech-to-Meaning, Deep Meaning Understanding, Collective AI, Dynamic Interaction and SoundHound Chat AI. The SoundHound music app allows customers to identify and play songs by singing or humming into the smartphone’s microphone, or by identifying the sound playing in the background from external sources. We also provide Edge+Cloud connectivity solutions that allow brands to optimize their voice-enabled products and devices with options ranging from fully-embedded to exclusively cloud-connected</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certain of the Company's warrants commenced trading on the Nasdaq Global Market (“Nasdaq”) under the symbols “SOUN” and “SOUNW,” respectively, on April 28, 2022. Refer to Note 3 to these condensed consolidated financial statements for more information on the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Legacy SoundHound determined that it was the accounting acquirer in the Business Combination based on an analysis of the criteria outlined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Accounting Standards Codification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determination was primarily based on the following facts:</w:t>
      </w:r>
    </w:p>
    <w:p>
      <w:pPr>
        <w:spacing w:after="0" w:line="21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Former Legacy SoundHound stockholders have a controlling voting interest in the Company;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board of directors immediately after the closing of the Business Combination was comprised of five board members, primarily from the board of directors of Legacy SoundHound;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Legacy SoundHound’s management continues to hold executive management roles for the Company following the Business Combination and are responsible for the day-to-day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certain warrants that were deemed to be equity upon Closing of the Business Combination. No goodwill or other intangible assets were recorded as a result of the Business Combination.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ATSP was the legal acquirer in the Business Combination, because Legacy SoundHound was deemed the accounting acquirer, the historical financial statements of Legacy SoundHound became the historical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combined company upon the consummation of the Business Combination. As a result, the financial statements included in this report reflect (i) the historical operating results of Legacy SoundHound prior to the 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accordance with guidance applicable to these circumstances,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earnings per share related to Legacy SoundHound Preferred Stock and Legacy SoundHound Common Stock prior to the Business Combination have been retroactively restated as shares reflecting the conversion ratio established in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inception, the Company has generated recurring losses as well as negative operating cash flows and reported a net loss of $26.4 million for the three months ended March 31, 2023. As of March 31, 2023, the Company had an accumulated deficit of $528.5 million. Management expects to continue to incur additional substantial losses in the foreseeable future primarily as a result of research and development activities. The Company has historically funded its operations primarily through equity or debt financings.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Total cash and cash equivalents on hand as of March 31, 2023 was $46.3 million. Although the Company has incurred recurring losses each year since its inception, the Company expects it will be able to fund its operations for at least the next twelve months. The Company may seek funding through additional debt or equity financing arrangements, implement incremental expense reduction measures or a combination thereof to continue financing its operations. The Company's condensed consolidated financial statements have been prepared assuming the Company will continue as a going concern, which contemplates, among other things, the realization of assets and satisfaction of liabilities in the normal course of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Risk and Uncertainties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COVID-19 outbreak in the United States caused business disruption through mandated and voluntary closings of businesses and shelter in place orders. In response, the U.S. Government enacted the CARES Act, which includes significant provisions to provide relief and assistance to affected organizations. There is considerable uncertainty around potential future closings, shelter in place orders, containment of the recent COVID-19 variants and the ultimate impact of the CARES Act and other government initiatives. The duration and extent to which the COVID-19 pandemic will impact our future results remains uncertain.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 been materially impacted by the ongoing military conflict between Russian and Ukraine to date,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pacing w:after="0" w:line="183" w:lineRule="exact"/>
        <w:rPr>
          <w:sz w:val="20"/>
          <w:szCs w:val="20"/>
          <w:color w:val="auto"/>
        </w:rPr>
      </w:pPr>
    </w:p>
    <w:p>
      <w:pPr>
        <w:ind w:right="368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b w:val="1"/>
          <w:bCs w:val="1"/>
          <w:u w:val="single" w:color="auto"/>
          <w:color w:val="auto"/>
        </w:rPr>
        <w:t>Basis of Presentation and Significant Accounting Policies</w:t>
      </w:r>
    </w:p>
    <w:p>
      <w:pPr>
        <w:jc w:val="both"/>
        <w:spacing w:after="0" w:line="289" w:lineRule="auto"/>
        <w:rPr>
          <w:sz w:val="20"/>
          <w:szCs w:val="20"/>
          <w:color w:val="auto"/>
        </w:rPr>
      </w:pPr>
      <w:r>
        <w:rPr>
          <w:rFonts w:ascii="Arial" w:cs="Arial" w:eastAsia="Arial" w:hAnsi="Arial"/>
          <w:sz w:val="16"/>
          <w:szCs w:val="16"/>
          <w:color w:val="auto"/>
        </w:rPr>
        <w:t>The (a) condensed consolidated balance sheet as of December 31, 2022, which has been derived from audited financial statements as filed in the Company’s Form 10-K, which was originally filed with the Securities and Exchange Commission ("SEC") on March 28, 2023 and (b) the unaudited interim condensed consolidated financial statements have been prepared in accordance with U.S. generally accepted accounting principles (“U.S. GAAP”) and applicable rules and regulations of the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presentation of the financial statements have been included. The results of operations for the three months ended March 31, 2023 are not necessarily indicative of the results for the fiscal year ending December 31, 2023 or any future interim period.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Principles of Consolidation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condensed consolidated financial statements include the accounts of the Company and its wholly owned subsidiaries. All intercompany accounts and transactions have been eliminated in consolidation.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period balances have been reclassified to conform to the current year presentation. Such changes include reclassifications or combinations of certain accounts on the condensed consolidated balance sheets.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reclassifications had no impact on total assets, total liabilities, net loss or accumulated deficit in the previously reported consolidated financial statements for the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Currency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three months ended March 31, 2023 and 2022, the Company recognized net losses related to foreign currency transactions and remeasurements of $0.1 million and $0.5 million, respectively, in the condensed consolidated statements of operations and comprehensive loss as other income (expense), net.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judgments that affect the amounts reported and disclosures in the condensed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Emerging Growth Company Status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Concentrations of Credit Risk and Other Risks and Uncertainties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principally of cash and cash equivalents. The Company regularly monitors its credit risk exposure and takes steps to mitigate the likelihood of these exposures resulting in actual loss.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2023, accounts receivable balances due from four customers collectively totaled 71% of the Company’s condensed consolidated accounts receivable balance. As of December 31, 2022, accounts receivable balances due from two customers collectively totaled 75% of the Company’s condensed consolidated accounts receivable balance.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2023, the Company had four customers that accounted for 77% of revenue, and for the three months ended March 31, 2022, the Company had four customers that accounted for 59% of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Issuance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financing, these costs are recorded as a reduction of the proceeds received from the equity financing. If a planned equity financing is abandoned, the deferred offering costs are expensed immediately as a charge to operating expenses in the condensed consolidated statements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revenue under Accounting Standards Codification Topic 606 (“ASC 606”), Revenue from Contracts with Customers,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contract(s) with a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Determination of the transaction price, including the constraint on variable consideration;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condensed consolidated balance sheet.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(3) monetization and (4) licensing.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Warrants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taken or expected to be taken in a tax return. The Company records a liability for the difference between the benefit recognized and measured and the tax position taken or expected to be taken on the Company’s tax return.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classifies interest and penalties related to uncertain tax positions in income tax expense, if applicable. There has been no interest expense or penalties related to unrecognized tax benefits recorded through March 31,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accounts for forfeitures as they occur. The Company uses the Black-Scholes option-pricing model to determine the fair value of stock options and employee stock purchase plan ("ESPP") shares. The Black-Scholes option-pricing model requires the use of highly subjective and complex assumptions to determine the fair value of the awards, including the expected term of the award and the price volatility of the underlying stock. The Company calculates the fair value of the awards granted by using the Black-Scholes option-pricing model with the following assumptions:</w:t>
      </w:r>
    </w:p>
    <w:p>
      <w:pPr>
        <w:spacing w:after="0" w:line="177"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The Company estimates volatility for the awards by evaluating the average historical volatility of a peer group of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period immediately preceding the award grant for a term that is approximately equal to the awards’ expected term.</w:t>
      </w:r>
    </w:p>
    <w:p>
      <w:pPr>
        <w:spacing w:after="0" w:line="14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the Company’s awards represents the period that the stock-based awards are expected to be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 For the valuation of ESPP shares, the Company, uses the period of time from the valuation date to the purchase date.</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implied yield currently available on U.S. Treasury zero-coupon issues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term that is equal to the awards’ expected term at the grant date.</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Company has not declared or paid dividends to date and does not anticipate declaring dividends.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yield is zero.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Units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issues restricted stock unit awards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issues RSUs with vesting conditions tied to certain performance criteria (“Performance-Based RSUs”). Stock-based compensation related to Performance-Based RSUs is recognized to the extent it is determined that performance is probable of being achieved.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8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condensed consolidated statements of operations and comprehensive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Preferred Stock</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Legacy SoundHound Preferred Stock did not have a mandatory redemption date and were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Legacy SoundHound Preferred Stock was redeemable upon a deemed liquidation event which the Company determined was not solely within its control and thus has classified shares of Legacy SoundHound Preferred Stock as temporary equity. Since the occurrence of a deemed liquidation event was not probable, the carrying values of the shares of Legacy SoundHound Preferred Stock were not being accreted to their redemption values.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Business Combination, the shares of Legacy SoundHound Preferred Stock outstanding immediately prior to the effective time of the Business Combination (the “Effective Time”) were converted into 106,949,326 shares of the Company’s Class A Common Stock.</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or around January 20, 2023, the Company entered into Preferred Stock Purchase Agreements (the “Purchase Agreements”) with certain investors (the “Investors”) pursuant to which the Company issued and sold to the Investors an aggregate of 835,011 shares of its newly designated Series A Convertible Preferred Stock, par value $0.0001 per share (the “Series A Preferred Stock”) for an aggregate issue price of approximately $25.0 million. The Series A Preferred Stock were assessed at issuance for classification and redemption features requiring bifurcation. The Series A Preferred Stock do not contain any of the three conditions described above to be classified as temporary equity and thus have been classified as permanent equity. See Note 10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Convertible Notes and Derivative Liabilities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qualified as derivatives, as they continuously reset as the underlying stock price increases or decreases to provide a fixed value of equity to the holders at any conversion date. The conversion features were subject to remeasurement at each balance sheet date until exercised, and any change in fair value was recognized as a component of other income (expense), net in the condensed consolidated statements of operations and comprehensive loss.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conversion features was estimated using a probability-weighted discount model with and without the conversion feature until extinguished on April 26, 2022 in connection with the Business Combination.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held its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Loss Per Share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Series A Preferred Stock, stock options, ESPP shares, RSUs and warrants are considered to be potentially dilutive securities. See Note 13 for further information.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in Note 1, on April 26, 2022, the Business Combination was consummated. Pursuant to the Company’s Second Amended and Restated Certificate of Incorporation (the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and the holders of Class B Common Stock are entitled to ten votes per share on all matters submitted to stockholders for their vote or approval. The holders of Class A Common Stock and Class B Common Stock vote together as one class, other than on certain specific matters described in the Company’s certificate of incorporation.</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aggregate of 12,767,950 shares of Class A Common Stock sold in ATSP’s initial public offering (the “public shares”) exercised their rights to redemption. The redemption right provided holders the right to have their public shares redeemed for a pro rata portion of the trust account holding the proceeds from ATSP’s initial public offering. The value of the shares is calculated as of two (2) business days prior to the date of the Special Meeting, which was $10.00 per share, or $127.7 million in the aggregate.</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 million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Business Combination is accounted for as a reverse recapitalization in accordance with U.S. GAAP. Under this method of accounting, ATSP was treated as the “acquired” company for financial reporting purposes. The net assets of Legacy SoundHound were stated at historical cost, with no goodwill or other intangible assets recorded.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accounting for the Business Combination and after redemptions, net proceeds received by the Company totaled $90.7 million. The table below shows the total net proceeds from the Business Combination and the PIPE Investment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 ATSP trust and cash (net of redemption)</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Cash - PIPE Investment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113,000</w:t>
            </w:r>
          </w:p>
        </w:tc>
      </w:tr>
      <w:tr>
        <w:trPr>
          <w:trHeight w:val="27"/>
        </w:trPr>
        <w:tc>
          <w:tcPr>
            <w:tcW w:w="9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transaction costs</w:t>
            </w: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(27,668)</w:t>
            </w:r>
          </w:p>
        </w:tc>
      </w:tr>
      <w:tr>
        <w:trPr>
          <w:trHeight w:val="270"/>
        </w:trPr>
        <w:tc>
          <w:tcPr>
            <w:tcW w:w="9740" w:type="dxa"/>
            <w:vAlign w:val="bottom"/>
          </w:tcPr>
          <w:p>
            <w:pPr>
              <w:ind w:left="20"/>
              <w:spacing w:after="0"/>
              <w:rPr>
                <w:sz w:val="20"/>
                <w:szCs w:val="20"/>
                <w:color w:val="auto"/>
              </w:rPr>
            </w:pPr>
            <w:r>
              <w:rPr>
                <w:rFonts w:ascii="Arial" w:cs="Arial" w:eastAsia="Arial" w:hAnsi="Arial"/>
                <w:sz w:val="18"/>
                <w:szCs w:val="18"/>
                <w:color w:val="auto"/>
              </w:rPr>
              <w:t>Net proceeds from Business Combination and PIPE Investment</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90,689</w:t>
            </w:r>
          </w:p>
        </w:tc>
      </w:tr>
      <w:tr>
        <w:trPr>
          <w:trHeight w:val="20"/>
        </w:trPr>
        <w:tc>
          <w:tcPr>
            <w:tcW w:w="9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Relating to the consummation of the Business Combination, the Company incurred $27.7 million in total transaction costs consisting of direct legal, accounting and other fees. $4.1 million of Legacy SoundHound transaction costs specific and directly attributable to the Business Combination were initially capitalized as deferred offering costs and included in other non-current assets on the condensed consolidated balance sheets. Total transaction expenses were recorded as an offset against proceeds received on the closing of the Business Combination, accounted for as additional paid-in capital.</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recorded to additional paid-in-capital was comprised of $86.6 million net proceeds from the PIPE investment and $4.1 million after net redemptions of ATSP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Class A Common Stock - conversion of Legacy SoundHound Common Stock and Legacy SoundHound Preferred Stock outstanding</w:t>
            </w:r>
          </w:p>
        </w:tc>
        <w:tc>
          <w:tcPr>
            <w:tcW w:w="1500" w:type="dxa"/>
            <w:vAlign w:val="bottom"/>
            <w:shd w:val="clear" w:color="auto" w:fill="CCEEFF"/>
          </w:tcPr>
          <w:p>
            <w:pPr>
              <w:spacing w:after="0"/>
              <w:rPr>
                <w:sz w:val="19"/>
                <w:szCs w:val="19"/>
                <w:color w:val="auto"/>
              </w:rPr>
            </w:pPr>
          </w:p>
        </w:tc>
      </w:tr>
      <w:tr>
        <w:trPr>
          <w:trHeight w:val="237"/>
        </w:trPr>
        <w:tc>
          <w:tcPr>
            <w:tcW w:w="9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to Business Combination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140,114,060</w:t>
            </w:r>
          </w:p>
        </w:tc>
      </w:tr>
      <w:tr>
        <w:trPr>
          <w:trHeight w:val="229"/>
        </w:trPr>
        <w:tc>
          <w:tcPr>
            <w:tcW w:w="9740" w:type="dxa"/>
            <w:vAlign w:val="bottom"/>
          </w:tcPr>
          <w:p>
            <w:pPr>
              <w:ind w:left="20"/>
              <w:spacing w:after="0"/>
              <w:rPr>
                <w:sz w:val="20"/>
                <w:szCs w:val="20"/>
                <w:color w:val="auto"/>
              </w:rPr>
            </w:pPr>
            <w:r>
              <w:rPr>
                <w:rFonts w:ascii="Arial" w:cs="Arial" w:eastAsia="Arial" w:hAnsi="Arial"/>
                <w:sz w:val="18"/>
                <w:szCs w:val="18"/>
                <w:color w:val="auto"/>
                <w:w w:val="92"/>
              </w:rPr>
              <w:t>Class B Common Stock - conversion of Legacy SoundHound Common Stock and Legacy SoundHound Preferred Stock outstanding</w:t>
            </w:r>
          </w:p>
        </w:tc>
        <w:tc>
          <w:tcPr>
            <w:tcW w:w="1500" w:type="dxa"/>
            <w:vAlign w:val="bottom"/>
          </w:tcPr>
          <w:p>
            <w:pPr>
              <w:spacing w:after="0"/>
              <w:rPr>
                <w:sz w:val="19"/>
                <w:szCs w:val="19"/>
                <w:color w:val="auto"/>
              </w:rPr>
            </w:pPr>
          </w:p>
        </w:tc>
      </w:tr>
      <w:tr>
        <w:trPr>
          <w:trHeight w:val="230"/>
        </w:trPr>
        <w:tc>
          <w:tcPr>
            <w:tcW w:w="9740" w:type="dxa"/>
            <w:vAlign w:val="bottom"/>
          </w:tcPr>
          <w:p>
            <w:pPr>
              <w:ind w:left="180"/>
              <w:spacing w:after="0"/>
              <w:rPr>
                <w:sz w:val="20"/>
                <w:szCs w:val="20"/>
                <w:color w:val="auto"/>
              </w:rPr>
            </w:pPr>
            <w:r>
              <w:rPr>
                <w:rFonts w:ascii="Arial" w:cs="Arial" w:eastAsia="Arial" w:hAnsi="Arial"/>
                <w:sz w:val="18"/>
                <w:szCs w:val="18"/>
                <w:color w:val="auto"/>
              </w:rPr>
              <w:t>prior to Business Combination</w:t>
            </w:r>
          </w:p>
        </w:tc>
        <w:tc>
          <w:tcPr>
            <w:tcW w:w="1500" w:type="dxa"/>
            <w:vAlign w:val="bottom"/>
          </w:tcPr>
          <w:p>
            <w:pPr>
              <w:jc w:val="right"/>
              <w:spacing w:after="0"/>
              <w:rPr>
                <w:sz w:val="20"/>
                <w:szCs w:val="20"/>
                <w:color w:val="auto"/>
              </w:rPr>
            </w:pPr>
            <w:r>
              <w:rPr>
                <w:rFonts w:ascii="Arial" w:cs="Arial" w:eastAsia="Arial" w:hAnsi="Arial"/>
                <w:sz w:val="18"/>
                <w:szCs w:val="18"/>
                <w:color w:val="auto"/>
              </w:rPr>
              <w:t>40,396,600</w:t>
            </w:r>
          </w:p>
        </w:tc>
      </w:tr>
      <w:tr>
        <w:trPr>
          <w:trHeight w:val="27"/>
        </w:trPr>
        <w:tc>
          <w:tcPr>
            <w:tcW w:w="97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 PIPE Investment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11,300,000</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Class A Common Stock - issuance to ATSP shareholders</w:t>
            </w:r>
          </w:p>
        </w:tc>
        <w:tc>
          <w:tcPr>
            <w:tcW w:w="1500" w:type="dxa"/>
            <w:vAlign w:val="bottom"/>
          </w:tcPr>
          <w:p>
            <w:pPr>
              <w:jc w:val="right"/>
              <w:spacing w:after="0"/>
              <w:rPr>
                <w:sz w:val="20"/>
                <w:szCs w:val="20"/>
                <w:color w:val="auto"/>
              </w:rPr>
            </w:pPr>
            <w:r>
              <w:rPr>
                <w:rFonts w:ascii="Arial" w:cs="Arial" w:eastAsia="Arial" w:hAnsi="Arial"/>
                <w:sz w:val="18"/>
                <w:szCs w:val="18"/>
                <w:color w:val="auto"/>
              </w:rPr>
              <w:t>532,050</w:t>
            </w:r>
          </w:p>
        </w:tc>
      </w:tr>
      <w:tr>
        <w:trPr>
          <w:trHeight w:val="27"/>
        </w:trPr>
        <w:tc>
          <w:tcPr>
            <w:tcW w:w="97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 issuance to Legacy SoundHound founders and representatives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4,161,000</w:t>
            </w:r>
          </w:p>
        </w:tc>
      </w:tr>
      <w:tr>
        <w:trPr>
          <w:trHeight w:val="236"/>
        </w:trPr>
        <w:tc>
          <w:tcPr>
            <w:tcW w:w="9740" w:type="dxa"/>
            <w:vAlign w:val="bottom"/>
          </w:tcPr>
          <w:p>
            <w:pPr>
              <w:ind w:left="20"/>
              <w:spacing w:after="0"/>
              <w:rPr>
                <w:sz w:val="20"/>
                <w:szCs w:val="20"/>
                <w:color w:val="auto"/>
              </w:rPr>
            </w:pPr>
            <w:r>
              <w:rPr>
                <w:rFonts w:ascii="Arial" w:cs="Arial" w:eastAsia="Arial" w:hAnsi="Arial"/>
                <w:sz w:val="18"/>
                <w:szCs w:val="18"/>
                <w:color w:val="auto"/>
              </w:rPr>
              <w:t>Total shares of common stock immediately after Business Combination</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196,503,710</w:t>
            </w:r>
          </w:p>
        </w:tc>
      </w:tr>
      <w:tr>
        <w:trPr>
          <w:trHeight w:val="27"/>
        </w:trPr>
        <w:tc>
          <w:tcPr>
            <w:tcW w:w="9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
        </w:trPr>
        <w:tc>
          <w:tcPr>
            <w:tcW w:w="9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8800" w:firstLine="8"/>
        <w:spacing w:after="0" w:line="503"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b w:val="1"/>
          <w:bCs w:val="1"/>
          <w:u w:val="single" w:color="auto"/>
          <w:color w:val="auto"/>
        </w:rPr>
        <w:t>Revenue Recognition</w:t>
      </w:r>
    </w:p>
    <w:p>
      <w:pPr>
        <w:jc w:val="both"/>
        <w:spacing w:after="0" w:line="257" w:lineRule="auto"/>
        <w:rPr>
          <w:sz w:val="20"/>
          <w:szCs w:val="20"/>
          <w:color w:val="auto"/>
        </w:rPr>
      </w:pPr>
      <w:r>
        <w:rPr>
          <w:rFonts w:ascii="Arial" w:cs="Arial" w:eastAsia="Arial" w:hAnsi="Arial"/>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derives its revenue primarily from the following performance obligations: (1) hosted services, (2) professional services, (3) monetization, and (4) licensing. Revenue is reported net of applicable sales and use taxes that are passed through to customers.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performance obligations in contracts with customers: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Hosted Services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Professional Services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three months ended March 31, 2023, $0.7 million of professional service revenue was recognized over time, with the remaining $0.9 million recognized at a point in time when the performance obligation was fulfilled and control of the service was transferred to the customer. During the three months ended March 31, 2022, all $0.6 million of professional service revenue was recognized over time.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Monetization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5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developing and supplying each performance obligation;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Major product groupings;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margin objectives and pricing practices, such as contractually stated prices, discounts offered, and applicable price lists.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2023 and 2022, revenue under each performance obligation was as follows (in thousands):</w:t>
      </w:r>
    </w:p>
    <w:p>
      <w:pPr>
        <w:spacing w:after="0" w:line="275"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22860</wp:posOffset>
            </wp:positionV>
            <wp:extent cx="1954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Hosted services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4,745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7"/>
        </w:trPr>
        <w:tc>
          <w:tcPr>
            <w:tcW w:w="8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Monetization</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63"/>
        </w:trPr>
        <w:tc>
          <w:tcPr>
            <w:tcW w:w="8160" w:type="dxa"/>
            <w:vAlign w:val="bottom"/>
          </w:tcPr>
          <w:p>
            <w:pPr>
              <w:ind w:left="20"/>
              <w:spacing w:after="0"/>
              <w:rPr>
                <w:sz w:val="20"/>
                <w:szCs w:val="20"/>
                <w:color w:val="auto"/>
              </w:rPr>
            </w:pPr>
            <w:r>
              <w:rPr>
                <w:rFonts w:ascii="Arial" w:cs="Arial" w:eastAsia="Arial" w:hAnsi="Arial"/>
                <w:sz w:val="18"/>
                <w:szCs w:val="18"/>
                <w:color w:val="auto"/>
              </w:rPr>
              <w:t>Licensing</w:t>
            </w: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90"/>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6,707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2023 and 2022, the disaggregated revenue by geographic location was as follows (in thousands):</w:t>
      </w:r>
    </w:p>
    <w:p>
      <w:pPr>
        <w:spacing w:after="0" w:line="275"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22860</wp:posOffset>
            </wp:positionV>
            <wp:extent cx="1954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Japan</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7"/>
        </w:trPr>
        <w:tc>
          <w:tcPr>
            <w:tcW w:w="8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France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7"/>
        </w:trPr>
        <w:tc>
          <w:tcPr>
            <w:tcW w:w="8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2,259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8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4"/>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6,707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2023 and 2022, the disaggregated revenue by recognition pattern was as follows (in thousands):</w:t>
      </w:r>
    </w:p>
    <w:p>
      <w:pPr>
        <w:spacing w:after="0" w:line="275"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22860</wp:posOffset>
            </wp:positionV>
            <wp:extent cx="1954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Over time revenue</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5,505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3,911</w:t>
            </w:r>
          </w:p>
        </w:tc>
      </w:tr>
      <w:tr>
        <w:trPr>
          <w:trHeight w:val="263"/>
        </w:trPr>
        <w:tc>
          <w:tcPr>
            <w:tcW w:w="8160" w:type="dxa"/>
            <w:vAlign w:val="bottom"/>
          </w:tcPr>
          <w:p>
            <w:pPr>
              <w:ind w:left="20"/>
              <w:spacing w:after="0"/>
              <w:rPr>
                <w:sz w:val="20"/>
                <w:szCs w:val="20"/>
                <w:color w:val="auto"/>
              </w:rPr>
            </w:pPr>
            <w:r>
              <w:rPr>
                <w:rFonts w:ascii="Arial" w:cs="Arial" w:eastAsia="Arial" w:hAnsi="Arial"/>
                <w:sz w:val="18"/>
                <w:szCs w:val="18"/>
                <w:color w:val="auto"/>
              </w:rPr>
              <w:t>Point-in-time</w:t>
            </w: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1,202</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90"/>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6,707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platform to fit customers’ specific needs. Revenue from Monetization is generated from the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SoundHound music identification app and is primarily attributable to user ad impression revenue. For the three months ended March 31, 2023 and 2022, the disaggregated revenue by service type was as follows (in thousands):</w:t>
      </w:r>
    </w:p>
    <w:p>
      <w:pPr>
        <w:spacing w:after="0" w:line="220" w:lineRule="exact"/>
        <w:rPr>
          <w:sz w:val="20"/>
          <w:szCs w:val="20"/>
          <w:color w:val="auto"/>
        </w:rPr>
      </w:pPr>
    </w:p>
    <w:p>
      <w:pPr>
        <w:jc w:val="center"/>
        <w:ind w:left="80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0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22860</wp:posOffset>
            </wp:positionV>
            <wp:extent cx="1954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royalties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6,176</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Service subscriptions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Monetization</w:t>
            </w:r>
          </w:p>
        </w:tc>
        <w:tc>
          <w:tcPr>
            <w:tcW w:w="9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70"/>
        </w:trPr>
        <w:tc>
          <w:tcPr>
            <w:tcW w:w="8100" w:type="dxa"/>
            <w:vAlign w:val="bottom"/>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6,707</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4,290</w:t>
            </w:r>
          </w:p>
        </w:tc>
      </w:tr>
      <w:tr>
        <w:trPr>
          <w:trHeight w:val="20"/>
        </w:trPr>
        <w:tc>
          <w:tcPr>
            <w:tcW w:w="8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 Balances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 The Company has not recorded any asset impairment charges related to contract assets during the periods presented in the condensed consolidated financial statements.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recognized included in the balances of the deferred revenue at the beginning of the reporting period was $1.8 million for the three months ended March 31, 2023 as compared to $2.2 million for the three months ended March 31, 2022.</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March 31, 2023, the aggregate amount of the transaction price allocated to the remaining performance obligations related to customer contracts that were unsatisfied or partially unsatisfied was $18.4 million. Given the applicable contract terms, $7.3 million is expected to be recognized as revenue within one year, $7.9 million is expected to be recognized between two to five years and the remainder of $3.2 million is expected to be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Arial" w:cs="Arial" w:eastAsia="Arial" w:hAnsi="Arial"/>
                <w:sz w:val="18"/>
                <w:szCs w:val="18"/>
                <w:b w:val="1"/>
                <w:bCs w:val="1"/>
                <w:color w:val="auto"/>
              </w:rPr>
              <w:t>5. ACCRUED LIABILITIES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8140" w:type="dxa"/>
            <w:vAlign w:val="bottom"/>
          </w:tcPr>
          <w:p>
            <w:pPr>
              <w:spacing w:after="0"/>
              <w:rPr>
                <w:sz w:val="20"/>
                <w:szCs w:val="20"/>
                <w:color w:val="auto"/>
              </w:rPr>
            </w:pPr>
            <w:r>
              <w:rPr>
                <w:rFonts w:ascii="Arial" w:cs="Arial" w:eastAsia="Arial" w:hAnsi="Arial"/>
                <w:sz w:val="18"/>
                <w:szCs w:val="18"/>
                <w:color w:val="auto"/>
              </w:rPr>
              <w:t>Accrued liabilities consisted of the following (in thousands):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68"/>
        </w:trPr>
        <w:tc>
          <w:tcPr>
            <w:tcW w:w="8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8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7"/>
        </w:trPr>
        <w:tc>
          <w:tcPr>
            <w:tcW w:w="8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vendor payables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1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12,306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7,462</w:t>
            </w:r>
          </w:p>
        </w:tc>
      </w:tr>
      <w:tr>
        <w:trPr>
          <w:trHeight w:val="27"/>
        </w:trPr>
        <w:tc>
          <w:tcPr>
            <w:tcW w:w="8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7620" w:firstLine="8"/>
        <w:spacing w:after="0" w:line="503"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u w:val="single" w:color="auto"/>
          <w:color w:val="auto"/>
        </w:rPr>
        <w:t>Contracts</w:t>
      </w:r>
    </w:p>
    <w:p>
      <w:pPr>
        <w:jc w:val="both"/>
        <w:spacing w:after="0" w:line="342" w:lineRule="auto"/>
        <w:rPr>
          <w:sz w:val="20"/>
          <w:szCs w:val="20"/>
          <w:color w:val="auto"/>
        </w:rPr>
      </w:pPr>
      <w:r>
        <w:rPr>
          <w:rFonts w:ascii="Arial" w:cs="Arial" w:eastAsia="Arial" w:hAnsi="Arial"/>
          <w:sz w:val="16"/>
          <w:szCs w:val="16"/>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spacing w:after="0"/>
              <w:rPr>
                <w:sz w:val="20"/>
                <w:szCs w:val="20"/>
                <w:color w:val="auto"/>
              </w:rPr>
            </w:pPr>
            <w:r>
              <w:rPr>
                <w:rFonts w:ascii="Arial" w:cs="Arial" w:eastAsia="Arial" w:hAnsi="Arial"/>
                <w:sz w:val="18"/>
                <w:szCs w:val="18"/>
                <w:color w:val="auto"/>
              </w:rPr>
              <w:t>Aggregate non-cancelable future minimum payments were as follows as of March 31, 2023 (in thousands):</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11,000</w:t>
            </w:r>
          </w:p>
        </w:tc>
      </w:tr>
      <w:tr>
        <w:trPr>
          <w:trHeight w:val="27"/>
        </w:trPr>
        <w:tc>
          <w:tcPr>
            <w:tcW w:w="9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16,000</w:t>
            </w:r>
          </w:p>
        </w:tc>
      </w:tr>
      <w:tr>
        <w:trPr>
          <w:trHeight w:val="27"/>
        </w:trPr>
        <w:tc>
          <w:tcPr>
            <w:tcW w:w="9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7"/>
        </w:trPr>
        <w:tc>
          <w:tcPr>
            <w:tcW w:w="9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9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94,250</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has not historically collected U.S. state or local sales and use tax, or other similar taxes, in any jurisdiction. On June 21, 2018, the U.S. Supreme Court decided, in </w:t>
      </w:r>
      <w:r>
        <w:rPr>
          <w:rFonts w:ascii="Arial" w:cs="Arial" w:eastAsia="Arial" w:hAnsi="Arial"/>
          <w:sz w:val="16"/>
          <w:szCs w:val="16"/>
          <w:i w:val="1"/>
          <w:iCs w:val="1"/>
          <w:color w:val="auto"/>
        </w:rPr>
        <w:t>South Dakota v. Wayfair, Inc.</w:t>
      </w:r>
      <w:r>
        <w:rPr>
          <w:rFonts w:ascii="Arial" w:cs="Arial" w:eastAsia="Arial" w:hAnsi="Arial"/>
          <w:sz w:val="16"/>
          <w:szCs w:val="16"/>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$1.1 million as of March 31, 2023 and December 31, 2022.</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Business Combination, the Company has retroactively adjusted the Legacy SoundHound warrants outstanding and corresponding strike price prior to April 26, 2022 to give effect to the Conversion Ratio used to determine the number of shares of common stock into which they were converted.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Warrants Related to Convertible Notes and Note Payable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recorded the warrants initially at fair value as paid-in-capital on the condensed consolidated balance sheets based on the allocation of its relative fair value of the debt proceeds.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 million and $1.5 million, respectively. The warrants had a ten-year expiration date from the applicable closing date of March 2031 and June 2031, respectively.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Closing Date, all outstanding warrants issued in connection to the SVB March 2021 Note and the SCI June 2021 Note were fully net exercised by their respective lenders, leading to a net issuance of 673,416 shares of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Warrants Related to the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Prior to the Business Combination, ATSP issued public warrants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given after the warrants become exercisable,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closing of the Business Combination, the Company’s Public Warrants continue to be classified as equity instruments, as they are indexed to the Company’s stock. As of March 31, 2023, there were 3,457,996 Public Warrants issued and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Business Combination, ATSP issued private warrants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ASC 815, the Private Warrants were initially considered a liability instrument as they met the definition of a derivative. Upon the Closing of the Business Combination, the Company modified its Private Warrants to be identical to its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Public Warrants. Therefore, the Private Warrants met requirements for classification as equity instruments, as they are indexed to the Company’s stock. As of March 31, 2023, there were 208,000 Private Warrants 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NOTES AND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 June 2020 Note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2020, the Company issued a promissory note (the "SNAP June 2020 Note"), to a Lender in exchange for $15.0 million in cash proceeds. The note had an annual interest rate of 5% and a maturity date of June 26, 2022, if not converted earlier pursuant to applicable conversion terms and change in control events.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 result of the Business Combination, on the Closing Date, the SNAP June 2020 Note conversion feature was triggered. As a result, on the Closing Date, all outstanding principal of $15.0 million and accrued interest of $1.4 million were converted into 2,046,827 shares of Class A Common Stock. In addition, the remaining debt discount of $0.2 million and related derivative liability with fair value of $4.1 million as of the Closing Date were extinguished.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SVB March 2021 Note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March 2021, the Company entered into a loan and security agreement with a commercial bank to borrow $30.0 million along with the issuance of warrants to purchase shares of Legacy SoundHound’s common stock. The SVB March 2021 Note also contains a final payment provision of $1.1 million. The Company recorded the final payment as an increase to the principal balance and debt discount for the entire payment amount. The Company was amortizing the discounts on an effective interest basis over the period from issuance through the Early Maturity Date (as defined below).</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loan bears interest at an annual rate equal to the greater of 9.00% or 5.75% above the Prime Rate (as defined in the SVB March 2021 Note). As of March 31, 2023, the interest rate was 13.50%. Payments were interest-only for the first twelve months and are now principal and interest through maturity. The Company recorded stated interest expense in the condensed consolidated statements of operations and comprehensive loss for the three months ended March 31, 2023 of $0.6 million, of which $0.2 million remained unpaid as accrued interest at March 31, 2023. During the three months ended March 31, 2022, the Company recorded interest expense of $0.7 million, of which $0.2 million remained unpaid as accrued interest at March 31, 2022. The total amount of debt discount at issuance was $3.5 million. During the three months ended March 31, 2023, the Company recorded a nominal amount in interest expense related to the debt discounts. During the three months ended March 31, 2022, the Company recorded $1.0 million in interest expense related to the debt discounts.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original term loan amortization date was April 1, 2022, with an opportunity for a six-month extension if certain performance milestones are met. The original maturity date of the loan was April 26, 2022 (“Early Maturity Date”), with an opportunity for extension to September 2024 or March 2025 if certain performance milestones are met, including the conversion of the SNAP June 2020 Note. In April 2022, the Company entered into a loan modification agreement with Silicon Valley Bank, which extended the note’s Early Maturity Date to May 26, 2022 which also extended the period of amortization of the discount. As a result of the Business Combination, the SNAP June 2020 Note converted on the Closing Date and the performance milestone was met, satisfying the requirements to extend the maturity date to September 1,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 June 2021 Note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2021, the Company entered into a loan and security agreement with a lender to obtain credit extensions to the Company. Extensions were available in $5.0 million increments up to a total commitment amount of $15.0 million. The Company drew an initial $5.0 million on June 14, 2021 and the remaining $10.0 million on December 1, 2021. The SCI June 2021 Note also contains a final payment provision of 3.5% on each draw or $0.5 million in total. Additionally, warrants were issued with the convertible note to purchase 63,785 shares of Legacy SoundHound’s common stock. The warrant’s allocated fair value was $1.5 million at issuance. The Company recorded the final payment as an increase to the principal balance and debt discount for the entire payment amount upon each draw.</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loan bears interest at an annual rate equal to the greater of 9% or 5.75% above the Prime Rate (as defined in the SCI June 2021 Note). As of March 31, 2023, the interest rate was 13.5%. Payments were interest-only for the first twelve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months and are now principal and interest through maturity. The Company incurred and paid $0.4 million and $0.3 million in stated interest in the condensed consolidated statements of operations and comprehensive loss for the three months ended March 31, 2023 and 2022, respectively.</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the warrants and discounts of $2.2 million are directly attributable to the total commitment of $15.0 million, the Company has presented its unamortized debt issuance cost associated with this note as a current asset, recorded as debt issuance cost on the condensed consolidated balance sheets. The Company is amortizing the cost on a straight-line basis from the issuance date through the maturity date of May 31, 2025. The Company recorded a nominal amount and $0.6 million in interest expense related to the debt discounts during the three months ended March 31, 2023 and 2022, respectively.</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loan amortization date was June 1, 2022, with an opportunity for a six-month extension if certain performance milestones are met. As a result of the Business Combination and the conversion of the SNAP June 2020 Note into the Company’s securities on the Closing Date, the maturity date of the SCI June 2021 Note was extended to May 31,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debt balances as of March 31, 2023 and December 31, 2022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March 31, 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1"/>
              </w:rPr>
              <w:t>SVB</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3"/>
              </w:rPr>
              <w:t>March 2021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SCI June 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6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89"/>
              </w:rPr>
              <w:t>Note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Note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1000" w:type="dxa"/>
            <w:vAlign w:val="bottom"/>
            <w:tcBorders>
              <w:bottom w:val="single" w:sz="8" w:color="CCEEFF"/>
            </w:tcBorders>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4,869</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16,869</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Notes payable, net of current portion</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7,050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6,990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14,040</w:t>
            </w: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loan discount</w:t>
            </w: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19,004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11,859</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30,863</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 recorded as an asset</w:t>
            </w: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0"/>
        </w:trPr>
        <w:tc>
          <w:tcPr>
            <w:tcW w:w="6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55"/>
        </w:trPr>
        <w:tc>
          <w:tcPr>
            <w:tcW w:w="6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w w:val="92"/>
              </w:rPr>
              <w:t>December 31, 2022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62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SVB March 2021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6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Note</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0"/>
              </w:rPr>
              <w:t>SCI June 2021 Note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 current portion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12,000</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16,718</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Notes payable, net of current portion</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10,050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18,311</w:t>
            </w: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loan discount</w:t>
            </w: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63"/>
        </w:trPr>
        <w:tc>
          <w:tcPr>
            <w:tcW w:w="6280" w:type="dxa"/>
            <w:vAlign w:val="bottom"/>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21,988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34,967</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 recorded as an asset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2023, the Company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 or 180 positions globally.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Costs associated with the Restructuring Plan consist of employee severance payments, employee benefits and share-based compensation. The total estimated restructuring costs associated with the Restructuring Plan are approximately $3.8 million and are being recorded to the restructuring expense line item within our condensed consolidated statements of operations as they are incurred. We recorded $3.6 million of restructuring expenses in connection with the Restructuring Plan during the three months ended March 31, 2023, of which $1.3 million were cash payments. We expect to incur the estimated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remaining $0.2 million through the end of 2023. Any changes to the estimates or timing of executing the Restructuring Plan will be reflected in our future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Legacy SoundHound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Legacy SoundHound Preferred Stock authorized, issued and outstanding as of the date of the Business Combination is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7"/>
                <w:szCs w:val="17"/>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rPr>
              <w:t>Liquidation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Carrying</w:t>
            </w:r>
          </w:p>
        </w:tc>
      </w:tr>
      <w:tr>
        <w:trPr>
          <w:trHeight w:val="241"/>
        </w:trPr>
        <w:tc>
          <w:tcPr>
            <w:tcW w:w="5020" w:type="dxa"/>
            <w:vAlign w:val="bottom"/>
          </w:tcPr>
          <w:p>
            <w:pPr>
              <w:spacing w:after="0"/>
              <w:rPr>
                <w:sz w:val="20"/>
                <w:szCs w:val="20"/>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Authorized</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Issued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Preference</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270"/>
        </w:trPr>
        <w:tc>
          <w:tcPr>
            <w:tcW w:w="50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19,106,048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19,106,048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Series B</w:t>
            </w:r>
          </w:p>
        </w:tc>
        <w:tc>
          <w:tcPr>
            <w:tcW w:w="1480" w:type="dxa"/>
            <w:vAlign w:val="bottom"/>
          </w:tcPr>
          <w:p>
            <w:pPr>
              <w:jc w:val="right"/>
              <w:spacing w:after="0"/>
              <w:rPr>
                <w:sz w:val="20"/>
                <w:szCs w:val="20"/>
                <w:color w:val="auto"/>
              </w:rPr>
            </w:pPr>
            <w:r>
              <w:rPr>
                <w:rFonts w:ascii="Arial" w:cs="Arial" w:eastAsia="Arial" w:hAnsi="Arial"/>
                <w:sz w:val="18"/>
                <w:szCs w:val="18"/>
                <w:color w:val="auto"/>
              </w:rPr>
              <w:t>33,702,134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33,702,134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11,038</w:t>
            </w: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5,687,525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5,687,525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Series C-1</w:t>
            </w:r>
          </w:p>
        </w:tc>
        <w:tc>
          <w:tcPr>
            <w:tcW w:w="1480" w:type="dxa"/>
            <w:vAlign w:val="bottom"/>
          </w:tcPr>
          <w:p>
            <w:pPr>
              <w:jc w:val="right"/>
              <w:spacing w:after="0"/>
              <w:rPr>
                <w:sz w:val="20"/>
                <w:szCs w:val="20"/>
                <w:color w:val="auto"/>
              </w:rPr>
            </w:pPr>
            <w:r>
              <w:rPr>
                <w:rFonts w:ascii="Arial" w:cs="Arial" w:eastAsia="Arial" w:hAnsi="Arial"/>
                <w:sz w:val="18"/>
                <w:szCs w:val="18"/>
                <w:color w:val="auto"/>
              </w:rPr>
              <w:t>4,436,090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4,436,090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89,298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16,061</w:t>
            </w: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20,258,299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20,258,299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85,648</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Series D-1</w:t>
            </w:r>
          </w:p>
        </w:tc>
        <w:tc>
          <w:tcPr>
            <w:tcW w:w="1480" w:type="dxa"/>
            <w:vAlign w:val="bottom"/>
          </w:tcPr>
          <w:p>
            <w:pPr>
              <w:jc w:val="right"/>
              <w:spacing w:after="0"/>
              <w:rPr>
                <w:sz w:val="20"/>
                <w:szCs w:val="20"/>
                <w:color w:val="auto"/>
              </w:rPr>
            </w:pPr>
            <w:r>
              <w:rPr>
                <w:rFonts w:ascii="Arial" w:cs="Arial" w:eastAsia="Arial" w:hAnsi="Arial"/>
                <w:sz w:val="18"/>
                <w:szCs w:val="18"/>
                <w:color w:val="auto"/>
              </w:rPr>
              <w:t>8,418,535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8,418,535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277,812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49,957</w:t>
            </w: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8,418,530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8,418,530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49,949</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Series D-3</w:t>
            </w:r>
          </w:p>
        </w:tc>
        <w:tc>
          <w:tcPr>
            <w:tcW w:w="1480" w:type="dxa"/>
            <w:vAlign w:val="bottom"/>
          </w:tcPr>
          <w:p>
            <w:pPr>
              <w:jc w:val="right"/>
              <w:spacing w:after="0"/>
              <w:rPr>
                <w:sz w:val="20"/>
                <w:szCs w:val="20"/>
                <w:color w:val="auto"/>
              </w:rPr>
            </w:pPr>
            <w:r>
              <w:rPr>
                <w:rFonts w:ascii="Arial" w:cs="Arial" w:eastAsia="Arial" w:hAnsi="Arial"/>
                <w:sz w:val="18"/>
                <w:szCs w:val="18"/>
                <w:color w:val="auto"/>
              </w:rPr>
              <w:t>6,922,165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6,922,165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276,887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50,046</w:t>
            </w: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D-3A</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20,835,869</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127,785,195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106,949,326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1,582,562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279,503</w:t>
            </w:r>
          </w:p>
        </w:tc>
      </w:tr>
      <w:tr>
        <w:trPr>
          <w:trHeight w:val="27"/>
        </w:trPr>
        <w:tc>
          <w:tcPr>
            <w:tcW w:w="5020" w:type="dxa"/>
            <w:vAlign w:val="bottom"/>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r>
    </w:tbl>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the closing of the Business Combination, the outstanding shares of Series A, B, C, C-1, D, D-1, D-2, and D-3 preferred stock were converted into 106,949,326 shares of SoundHound AI Class A Common Stock at the exchange ratio of 5.5562. Shares Authorized and Shares Issued above have been retroactively adjusted to reflect the exchange. As a result of the conversion of the Legacy SoundHound redeemable convertible preferred stock, the Company reclassified the amount of redeemable convertible preferred stock to additional paid in capital.</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and the preferred stock holders may be granted such rights, powers (including voting powers) and preferences as determined by the Board in its sole discretion, including the right to elect one or more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A Preferred Stock</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or around January 20, 2023, the Company entered into the Purchase Agreements with the Investors, pursuant to which the Company issued and sold to the Investors an aggregate of 835,011 shares of its newly designated Series A Convertible Preferred Stock for an aggregate issue price of approximately $25.0 million. On January 20, 2023, the Company filed a Certificate of Designations of Preferences, Rights and Limitations of the Series A Preferred Stock with the Secretary of State of the State of Delaware (the "Certificate of Designations"), designating 1,000,000 shares of Series A Preferred Stock with an original issue price of $30.00 per share, which became effective with the Secretary of State of the State of Delaware upon filing. Pursuant to the Certificate of Designations, the Series A Preferred Stock is entitled to dividends payable as an increase in the Liquidation Preference (as defined in the Certificate of Designations) for such share at the rate of 14% per annum, accreting semi-annually to Liquidation Preference on January 1 and July 1 of each year, beginning on July 1, 2023. The Liquidation Preference per share of Preferred Stock is initially equal to $30.00, the original issue price per share.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share of Series A Preferred Stock is convertible, at the option of the holder, at any time on or after May 2, 2023 into such number of shares of Class A Common Stock equal to the Liquidation Preference per share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The Conversion Price is not subject to any anti-dilution adjustments. The Company may also elect to pay any dividend in cash in lieu of accretion to Liquidation Preference if permitted under the agreements and instruments governing its outstanding indebtedness at such time.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A Preferred Stock is not entitled to any preemptive rights or registration rights. The Purchase Agreements contain customary representations, warranties and covenants. The shares of Series A Preferred Stock were issued and sold in a private placement exempt from the registration requirements of the Securities Act. The Company does not intend to register the shares of Series A Preferred Stock or the underlying common stock for resale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250,030,433 shares of Legacy SoundHound common stock authorized for issuance prior to the closing of the Business Combination.</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26, 2022, following the Business Combination and pursuant to the Company’s second amended and restated certificate of incorporation, the Company is authorized to issue 500,000,000 shares of capital stock, consisting of (a) 455,000,000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Line of Credit ("ELOC")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(the "ELOC Shares"). On February 14, 2023, the Company’s Registration Statement on Form S-1 registering the resale of the ELOC Shares (the "ELOC Registration Statement") was declared effective. On March 31, 2023, a post-effective amendment to the ELOC Registration Statement was declared effective. The Company has utilized and expects to</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continue to utilize proceeds from the ELOC for working capital and other general corporate purposes. Through March 31, 2023, the Company had sold approximately 10.7 million shares under the ELOC program for aggregate proceeds of approximately $28.7 million.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of the shares that the Company elects to sell to CFPI pursuant to the Common Stock Purchase Agreement will be the volume weighted average price of the Class A Common Stock during the applicable purchase date on which the Company has timely delivered written notice to CFPI directing it to purchase the shares under the Common Stock Purchase Agreement. The Company will receive 97% of the volume weighted average price of the Class A Common Stock so sold.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execution of the Common Stock Purchase Agreement, the Company issued CFPI 250,000 shares as consideration for its irrevocable commitment to purchase the ELOC Shares upon the terms and subject to the satisfaction of the conditions set forth in the Common Stock Purchase Agreement. The Company incurred a total of $0.8 million in costs related to the execution of the Common Stock Purchase Agreement and the issuance of the initial commitment shares and such amount was initially recorded as deferred stock issuance costs. Such deferred stock issuance costs are being charged proportionally against the gross proceeds from shares issued and sold to CFPI based upon the total number of shares which the Company has the right to sell under the Common Stock Purchase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INCOME (EXPENSE),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on the condensed consolidated statements of operations and comprehensive loss is comprised of the following for the three months ended March 31, 2023 and 2022 (in thousands):</w:t>
      </w:r>
    </w:p>
    <w:p>
      <w:pPr>
        <w:spacing w:after="0" w:line="220"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22860</wp:posOffset>
            </wp:positionV>
            <wp:extent cx="1954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8160" w:type="dxa"/>
            <w:vAlign w:val="bottom"/>
            <w:vMerge w:val="restart"/>
          </w:tcPr>
          <w:p>
            <w:pPr>
              <w:ind w:left="20"/>
              <w:spacing w:after="0"/>
              <w:rPr>
                <w:sz w:val="20"/>
                <w:szCs w:val="20"/>
                <w:color w:val="auto"/>
              </w:rPr>
            </w:pPr>
            <w:r>
              <w:rPr>
                <w:rFonts w:ascii="Arial" w:cs="Arial" w:eastAsia="Arial" w:hAnsi="Arial"/>
                <w:sz w:val="18"/>
                <w:szCs w:val="18"/>
                <w:color w:val="auto"/>
              </w:rPr>
              <w:t>Other income (expense), net</w:t>
            </w: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81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liability</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64"/>
        </w:trPr>
        <w:tc>
          <w:tcPr>
            <w:tcW w:w="8160" w:type="dxa"/>
            <w:vAlign w:val="bottom"/>
          </w:tcPr>
          <w:p>
            <w:pPr>
              <w:ind w:left="360"/>
              <w:spacing w:after="0"/>
              <w:rPr>
                <w:sz w:val="20"/>
                <w:szCs w:val="20"/>
                <w:color w:val="auto"/>
              </w:rPr>
            </w:pPr>
            <w:r>
              <w:rPr>
                <w:rFonts w:ascii="Arial" w:cs="Arial" w:eastAsia="Arial" w:hAnsi="Arial"/>
                <w:sz w:val="18"/>
                <w:szCs w:val="18"/>
                <w:color w:val="auto"/>
              </w:rPr>
              <w:t>Total other income (expense), net</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calculation of basic and diluted net loss per share attributable to common stockholders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2023 and 2022:</w:t>
      </w:r>
    </w:p>
    <w:p>
      <w:pPr>
        <w:spacing w:after="0" w:line="261" w:lineRule="exact"/>
        <w:rPr>
          <w:sz w:val="20"/>
          <w:szCs w:val="20"/>
          <w:color w:val="auto"/>
        </w:rPr>
      </w:pPr>
    </w:p>
    <w:p>
      <w:pPr>
        <w:jc w:val="center"/>
        <w:ind w:left="8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22860</wp:posOffset>
            </wp:positionV>
            <wp:extent cx="19634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634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8140" w:type="dxa"/>
            <w:vAlign w:val="bottom"/>
            <w:vMerge w:val="restart"/>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 thousands)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(26,369)</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(25,103)</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 and dilutive</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205,082,328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69,604,188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40" w:type="dxa"/>
            <w:vAlign w:val="bottom"/>
          </w:tcPr>
          <w:p>
            <w:pPr>
              <w:ind w:left="20"/>
              <w:spacing w:after="0"/>
              <w:rPr>
                <w:sz w:val="20"/>
                <w:szCs w:val="20"/>
                <w:color w:val="auto"/>
              </w:rPr>
            </w:pPr>
            <w:r>
              <w:rPr>
                <w:rFonts w:ascii="Arial" w:cs="Arial" w:eastAsia="Arial" w:hAnsi="Arial"/>
                <w:sz w:val="18"/>
                <w:szCs w:val="18"/>
                <w:color w:val="auto"/>
              </w:rPr>
              <w:t>Basic and diluted net loss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2023 and 2022, the diluted earnings per share is equal to the basic earnings per share as the effect of potentially dilutive securities would have been antidilutive.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outstanding shares of potentially dilutive securities that were excluded from the calculation of diluted earnings per share because their inclusion would have been anti-dilutive for the three months ended March 31, 2023 and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2160" w:type="dxa"/>
            <w:vAlign w:val="bottom"/>
            <w:gridSpan w:val="3"/>
          </w:tcPr>
          <w:p>
            <w:pPr>
              <w:ind w:left="940"/>
              <w:spacing w:after="0"/>
              <w:rPr>
                <w:sz w:val="20"/>
                <w:szCs w:val="20"/>
                <w:color w:val="auto"/>
              </w:rPr>
            </w:pPr>
            <w:r>
              <w:rPr>
                <w:rFonts w:ascii="Arial" w:cs="Arial" w:eastAsia="Arial" w:hAnsi="Arial"/>
                <w:sz w:val="18"/>
                <w:szCs w:val="18"/>
                <w:b w:val="1"/>
                <w:bCs w:val="1"/>
                <w:color w:val="auto"/>
                <w:w w:val="90"/>
              </w:rPr>
              <w:t>As of March 31,</w:t>
            </w:r>
          </w:p>
        </w:tc>
        <w:tc>
          <w:tcPr>
            <w:tcW w:w="940" w:type="dxa"/>
            <w:vAlign w:val="bottom"/>
          </w:tcPr>
          <w:p>
            <w:pPr>
              <w:spacing w:after="0"/>
              <w:rPr>
                <w:sz w:val="20"/>
                <w:szCs w:val="20"/>
                <w:color w:val="auto"/>
              </w:rPr>
            </w:pPr>
          </w:p>
        </w:tc>
      </w:tr>
      <w:tr>
        <w:trPr>
          <w:trHeight w:val="27"/>
        </w:trPr>
        <w:tc>
          <w:tcPr>
            <w:tcW w:w="81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14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2022</w:t>
            </w:r>
          </w:p>
        </w:tc>
      </w:tr>
      <w:tr>
        <w:trPr>
          <w:trHeight w:val="27"/>
        </w:trPr>
        <w:tc>
          <w:tcPr>
            <w:tcW w:w="81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21,669,941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28,000,691</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500" w:type="dxa"/>
            <w:vAlign w:val="bottom"/>
          </w:tcPr>
          <w:p>
            <w:pPr>
              <w:jc w:val="right"/>
              <w:spacing w:after="0"/>
              <w:rPr>
                <w:sz w:val="20"/>
                <w:szCs w:val="20"/>
                <w:color w:val="auto"/>
              </w:rPr>
            </w:pPr>
            <w:r>
              <w:rPr>
                <w:rFonts w:ascii="Arial" w:cs="Arial" w:eastAsia="Arial" w:hAnsi="Arial"/>
                <w:sz w:val="18"/>
                <w:szCs w:val="18"/>
                <w:color w:val="auto"/>
              </w:rPr>
              <w:t>12,589,404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2,014,979</w:t>
            </w:r>
          </w:p>
        </w:tc>
      </w:tr>
      <w:tr>
        <w:trPr>
          <w:trHeight w:val="27"/>
        </w:trPr>
        <w:tc>
          <w:tcPr>
            <w:tcW w:w="8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of common stock upon conversion of Series A Preferred Stock</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25,050,330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1500" w:type="dxa"/>
            <w:vAlign w:val="bottom"/>
          </w:tcPr>
          <w:p>
            <w:pPr>
              <w:jc w:val="right"/>
              <w:spacing w:after="0"/>
              <w:rPr>
                <w:sz w:val="20"/>
                <w:szCs w:val="20"/>
                <w:color w:val="auto"/>
              </w:rPr>
            </w:pPr>
            <w:r>
              <w:rPr>
                <w:rFonts w:ascii="Arial" w:cs="Arial" w:eastAsia="Arial" w:hAnsi="Arial"/>
                <w:sz w:val="18"/>
                <w:szCs w:val="18"/>
                <w:color w:val="auto"/>
              </w:rPr>
              <w:t>3,665,996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1,063,213</w:t>
            </w:r>
          </w:p>
        </w:tc>
      </w:tr>
      <w:tr>
        <w:trPr>
          <w:trHeight w:val="27"/>
        </w:trPr>
        <w:tc>
          <w:tcPr>
            <w:tcW w:w="8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ESPP stock units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4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2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106,949,326</w:t>
            </w:r>
          </w:p>
        </w:tc>
      </w:tr>
      <w:tr>
        <w:trPr>
          <w:trHeight w:val="295"/>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63,452,307</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spacing w:after="0"/>
              <w:rPr>
                <w:sz w:val="24"/>
                <w:szCs w:val="2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138,028,209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tax expense and the effective tax rate were as follows (in thousands):</w:t>
      </w:r>
    </w:p>
    <w:p>
      <w:pPr>
        <w:spacing w:after="0" w:line="275"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22860</wp:posOffset>
            </wp:positionV>
            <wp:extent cx="21005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00580" cy="1714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9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5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(26,040)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(24,751)</w:t>
            </w:r>
          </w:p>
        </w:tc>
      </w:tr>
      <w:tr>
        <w:trPr>
          <w:trHeight w:val="250"/>
        </w:trPr>
        <w:tc>
          <w:tcPr>
            <w:tcW w:w="79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352</w:t>
            </w:r>
          </w:p>
        </w:tc>
      </w:tr>
      <w:tr>
        <w:trPr>
          <w:trHeight w:val="26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revenue contracts to perform professional services for certain companies who are also investors in the Company. These companies are holders of the Company’s Class A Common Stock. As a result of the Business Combination during the second quarter of 2022, each company's ownership interest in the Company was reduced to less than 5%. Consequently, considering all aspects of our relationships with the companies, as of June 30, 2022, the Company no longer considers the companies related parties. During the three months ended March 31, 2022, the Company recognized revenue from the companies of $2.2 million.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20, 2023, our Chief Financial Officer and one of our directors each entered into Purchase Agreements, purchasing 3,334 shares of Series A Preferred Stock each for a total purchase price of $100,000 each.</w:t>
      </w:r>
    </w:p>
    <w:p>
      <w:pPr>
        <w:spacing w:after="0" w:line="166" w:lineRule="exact"/>
        <w:rPr>
          <w:sz w:val="20"/>
          <w:szCs w:val="20"/>
          <w:color w:val="auto"/>
        </w:rPr>
      </w:pPr>
    </w:p>
    <w:p>
      <w:pPr>
        <w:ind w:right="9100" w:firstLine="8"/>
        <w:spacing w:after="0" w:line="503" w:lineRule="auto"/>
        <w:tabs>
          <w:tab w:leader="none" w:pos="27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 </w:t>
      </w:r>
      <w:r>
        <w:rPr>
          <w:rFonts w:ascii="Arial" w:cs="Arial" w:eastAsia="Arial" w:hAnsi="Arial"/>
          <w:sz w:val="18"/>
          <w:szCs w:val="18"/>
          <w:b w:val="1"/>
          <w:bCs w:val="1"/>
          <w:u w:val="single" w:color="auto"/>
          <w:color w:val="auto"/>
        </w:rPr>
        <w:t>Term Loan</w:t>
      </w:r>
    </w:p>
    <w:p>
      <w:pPr>
        <w:jc w:val="both"/>
        <w:spacing w:after="0" w:line="301" w:lineRule="auto"/>
        <w:rPr>
          <w:sz w:val="20"/>
          <w:szCs w:val="20"/>
          <w:color w:val="auto"/>
        </w:rPr>
      </w:pPr>
      <w:r>
        <w:rPr>
          <w:rFonts w:ascii="Arial" w:cs="Arial" w:eastAsia="Arial" w:hAnsi="Arial"/>
          <w:sz w:val="16"/>
          <w:szCs w:val="16"/>
          <w:color w:val="auto"/>
        </w:rPr>
        <w:t>On April 14, 2023 (the “Term Loan Closing Date”), the Company entered into a Senior Secured Term Loan Credit Agreement (the “Credit Agreement”) with ACP Post Oak Credit II LLC, as Administrative Agent and Collateral Agent for the Lenders (the “Agent”), and the lenders from time to time party thereto (the “Lenders”). The Credit Agreement provides for a term loan facility in an aggregate principal amount of up to $100.0 million (the “Term Loan”), the entirety of which was funded on the Term Loan Closing Date. The Credit Agreement also permits the Company to request additional</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commitments of up to $25.0 million in the aggregate, with funding of such commitments in the sole discretion of the Lenders, under certain circumstances and under the same terms as the Term Loan. On the Term Loan Closing Date, the Company also entered into that certain Guarantee and Collateral Agreement, dated as of April 14, 2023, by and among the Company, the other grantors named therein and the Agent (the “Guarantee and Collateral Agreement”). In addition, on the Term Loan Closing Date, a collateral protection insurance policy was issued to the Lenders and a cash premium was paid on the Term Loan Closing Date to the insurance provider thereunder (the “Cash Premium”). Pursuant to the Credit Agreement, the Company is required to make certain additional specified cash premium payments, based on single-digit percentages of the loans then outstanding, over a period of three years from the Term Loan Closing Date.</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w:t>
      </w:r>
    </w:p>
    <w:p>
      <w:pPr>
        <w:ind w:firstLine="8"/>
        <w:spacing w:after="0" w:line="323" w:lineRule="auto"/>
        <w:tabs>
          <w:tab w:leader="none" w:pos="325" w:val="left"/>
        </w:tabs>
        <w:numPr>
          <w:ilvl w:val="0"/>
          <w:numId w:val="11"/>
        </w:numPr>
        <w:rPr>
          <w:rFonts w:ascii="Arial" w:cs="Arial" w:eastAsia="Arial" w:hAnsi="Arial"/>
          <w:sz w:val="16"/>
          <w:szCs w:val="16"/>
          <w:color w:val="auto"/>
        </w:rPr>
      </w:pPr>
      <w:r>
        <w:rPr>
          <w:rFonts w:ascii="Arial" w:cs="Arial" w:eastAsia="Arial" w:hAnsi="Arial"/>
          <w:sz w:val="16"/>
          <w:szCs w:val="16"/>
          <w:color w:val="auto"/>
        </w:rPr>
        <w:t>pay certain fees and expenses incurred in connection with entering into the Credit Agreement, and (iv) fund the Cash Premium, together with related taxes, with the remaining proceeds to be used to fund growth investments and for general corporate purposes as permitted under the Credit Agreement.</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outstanding principal balance of the Term Loan bears interest at the applicable margin plus, at the Company’s election, either (i) the secured overnight financing rate (“SOFR”) plus 0.15% or (ii) the alternate base rate (“ABR”), which is a per annum rate equal to the greatest of (a) the Prime Rate (as defined in the Credit Agreement), (b) the NYFRB Rate (as defined in the Credit Agreement) plus 0.50% and (c) the Adjustable Rate (as defined in the Credit Agreement) plus 1.00%. The applicable margin under the Credit Agreement is 8.50% per annum with respect to SOFR loans, and 7.50% per annum with respect to ABR loans.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amortization prior to the Maturity Date.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is secured by substantially all of the assets of the Company and its subsidiaries other than the assets of Excluded Subsidiaries (as defined in the Credit Agreement) and is guaranteed by the Company’s subsidiaries other than Excluded Subsidiaries. As set forth in more detail in the Credit Agreement, the Company is required to make mandatory prepayments on the Term Loan in the event of certain specified events, including in the event of certain capital raises by the Company and its subsidiaries. The Company may also prepay amounts under the Term Loan, subject to certain costs and conditions specified in the Credit Agreement.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Credit Agreement also contains customary representations and warranties for a facility of this nature and affirmative and negative covenants. In particular, the Credit Agreement requires the Company to have liquidity at least equal to the Interest Escrow Required Amount (as defined in the Credit Agreement) as of the last day of each fiscal quarter. In addition, the Credit Agreement limits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includes customary events of default, including, but not limited to, nonpayment of principal or interest, breaches of representations and warranties, failure to perform or observe covenants, cross-defaults with certain other indebtedness, final judgments or orders, certain change of control events, and certain bankruptcy-related events or proceedings. Upon the occurrence of an event of default (subject to notice and grace periods), obligations under the Credit Agreement could be accelerated.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Credit Agreement, on the Term Loan Closing Date the Company also issued a warrant to purchase up to 3,301,536 shares of the Company’s Class A common stock to the Agent (the “Term Loan Warrant”). The Term Loan Warrant has a per share exercise price of $2.59 and may be exercised, including on a cashless basis, by the holder at any time prior to the 10-year anniversary of the issue date. The Term Loan Warrant will be automatically cashless exercised immediately prior to a change in control of the Company.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Concurrently with the Company’s entry into the Credit Agreement, the Company used a portion of the proceeds to prepay in full all outstanding obligations under, and terminated, the SCI June 2021 Note and the SVB March 2021 Note. In connection with the SCI June 2021 Note prepayment, the Company paid a total of approximately $11.7 million, which consisted of (i) the remaining principal amount outstanding of approximately $11.0 million, (ii) a prepayment premium of approximately $0.2 million, (iii) a final payment fee of approximately $0.5 million, and (iv) the remainder for transaction expenses. In connection with the SVB March 2021 Note prepayment, the Company paid a total of approximately $18.5 million, which consisted of (i) the remaining principal amount outstanding of $17.0 million, (ii) a prepayment premium of $0.3 million, (iii) a final payment fee of approximately $1.1 million, (iv) approximately $0.1 million of accrued and unpaid interest, and (v) the remainder for transaction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Line of Credit (ELOC)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 April 30, 2023, the Company had sold approximately 12.7 million shares under the ELOC program for aggregate proceeds of approximately $34.4 million.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i w:val="1"/>
          <w:iCs w:val="1"/>
          <w:color w:val="auto"/>
        </w:rPr>
        <w:t>The following discussion and analysis of the financial condition and results of operations of SoundHound should be read together with our unaudited interim condensed consolidated financial statements as of March 31, 2023 and for the three month periods ended March 31, 2023 and 2022, together with related notes thereto, and our audited financial statements included in Form 10-K, which was filed with the SEC on March 28, 2023. Some of the information contained in this discussion and analysis or set forth elsewhere in this report,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report,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Collective AI, Dynamic Interaction and Chat AI breakthrough technologies developed over the past 17 years, our advanced Voice AI platform provides exceptional speed and accuracy and enables humans to interact with products and services like they interact with each other — by speaking naturally.</w:t>
      </w:r>
    </w:p>
    <w:p>
      <w:pPr>
        <w:spacing w:after="0" w:line="15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SoundHound’s technology is live in production and at scale with companies around the globe, including Hyundai, Mercedes-Benz, Pandora, Snap, VIZIO, Square, Toast, Oracle, KIA and Stellantis. We have seen significant inflection in customer adoption of our technology, as measured through activity on our platform, which surpassed 1 billion annual queries in 2021 and experienced over 85% growth during 2022.</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partners span multiple industries and geographies, and together have a combined reach of over 2 billion end users.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market position is strengthened by the technical barriers to entry in the Voice AI space, which tend to discourage new market participants. Furthermore, our technology is backed by significant investments in intellectual property, with over 120 patents granted and over 140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 billion per year by 2026.</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4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There are three pillars to our revenue model. The first pillar is Product Royalties, where we voice enable a product and the product creator pays us a royalty based on volume, usage or duration. SoundHound collects royalties when Houndify is placed in a car, smart speaker or an appliance, for example.</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condensed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from leads and transactions on voice-enabled products from voice-enabled services.</w:t>
      </w:r>
    </w:p>
    <w:p>
      <w:pPr>
        <w:spacing w:after="0" w:line="1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2023. While the majority of the contribution is currently from our first pillar of royalties, over time, the subscription and monetization portions are expected to grow and make a bigger contribution to our overall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Demands, Commitments, Events or Uncertainties Impacting Our Business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SoundHound believes that its performance and future success depend on many factors that present significant opportunities for us but also pose risks and challenges, including the following:</w:t>
      </w:r>
    </w:p>
    <w:p>
      <w:pPr>
        <w:spacing w:after="0" w:line="170" w:lineRule="exact"/>
        <w:rPr>
          <w:sz w:val="20"/>
          <w:szCs w:val="20"/>
          <w:color w:val="auto"/>
        </w:rPr>
      </w:pPr>
    </w:p>
    <w:p>
      <w:pPr>
        <w:jc w:val="both"/>
        <w:ind w:left="660" w:hanging="328"/>
        <w:spacing w:after="0" w:line="27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Investments in Technology. </w:t>
      </w:r>
      <w:r>
        <w:rPr>
          <w:rFonts w:ascii="Arial" w:cs="Arial" w:eastAsia="Arial" w:hAnsi="Arial"/>
          <w:sz w:val="17"/>
          <w:szCs w:val="17"/>
          <w:color w:val="auto"/>
        </w:rPr>
        <w:t>Our business model since inception has been to invest significantly in our Houndify platform technology in the 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171" w:lineRule="exact"/>
        <w:rPr>
          <w:rFonts w:ascii="Arial" w:cs="Arial" w:eastAsia="Arial" w:hAnsi="Arial"/>
          <w:sz w:val="17"/>
          <w:szCs w:val="17"/>
          <w:color w:val="auto"/>
        </w:rPr>
      </w:pPr>
    </w:p>
    <w:p>
      <w:pPr>
        <w:jc w:val="both"/>
        <w:ind w:left="660" w:hanging="328"/>
        <w:spacing w:after="0" w:line="287"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Revenue Growth. </w:t>
      </w:r>
      <w:r>
        <w:rPr>
          <w:rFonts w:ascii="Arial" w:cs="Arial" w:eastAsia="Arial" w:hAnsi="Arial"/>
          <w:sz w:val="16"/>
          <w:szCs w:val="16"/>
          <w:color w:val="auto"/>
        </w:rPr>
        <w:t>Our commercial success, including acceptance and use of our applications, will depend on a number of factors, some of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as of December 31, 2022 was greater than 80%</w:t>
      </w:r>
    </w:p>
    <w:p>
      <w:pPr>
        <w:spacing w:after="0" w:line="171" w:lineRule="exact"/>
        <w:rPr>
          <w:sz w:val="20"/>
          <w:szCs w:val="20"/>
          <w:color w:val="auto"/>
        </w:rPr>
      </w:pPr>
    </w:p>
    <w:p>
      <w:pPr>
        <w:jc w:val="both"/>
        <w:ind w:left="66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The results of our business will depend in part on our ability to establish and increase our gross margins by scaling our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87"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Seasonality. </w:t>
      </w:r>
      <w:r>
        <w:rPr>
          <w:rFonts w:ascii="Arial" w:cs="Arial" w:eastAsia="Arial" w:hAnsi="Arial"/>
          <w:sz w:val="17"/>
          <w:szCs w:val="17"/>
          <w:color w:val="auto"/>
        </w:rPr>
        <w:t>Our ability to accurately forecast demand for our technology could be negatively affected by many factors, including seasonal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International Markets. </w:t>
      </w:r>
      <w:r>
        <w:rPr>
          <w:rFonts w:ascii="Arial" w:cs="Arial" w:eastAsia="Arial" w:hAnsi="Arial"/>
          <w:sz w:val="18"/>
          <w:szCs w:val="18"/>
          <w:color w:val="auto"/>
        </w:rPr>
        <w:t>We have rapidly expanded our capabilities and global reach. We have globalized our solution from 1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 languages. We view opportunities for conversational Voice AI to be global in reach, and we expect our growth to be fueled across multiple geographies.</w:t>
      </w:r>
    </w:p>
    <w:p>
      <w:pPr>
        <w:spacing w:after="0" w:line="183"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Industry Risks. </w:t>
      </w:r>
      <w:r>
        <w:rPr>
          <w:rFonts w:ascii="Arial" w:cs="Arial" w:eastAsia="Arial" w:hAnsi="Arial"/>
          <w:sz w:val="18"/>
          <w:szCs w:val="18"/>
          <w:color w:val="auto"/>
        </w:rPr>
        <w:t>In addition to the COVID-19 pandemic as addressed herein, the military conflict between Russia and Ukraine, which began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24, 2022, has had an adverse impact on the global economy and financial markets. Although our business has not been materially impacted by this ongoing military conflict,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 impossible to predict but could be substantial. 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unaudited condensed consolidated financial statements were prepared in accordance with U.S. GAAP for the three months ended March 31, 2023 and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SoundHound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 (3) “Monetization,” meaning revenues generated from focused ad targeting to users of products and services that employ our technologies. Currently, our monetization revenue is derived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6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revenues from distinct professional services are recognized as the services are performed or when the services are complete depending on the arrangement.</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and may continue to experience volatility for our remaining performance obligations and deferred revenue as a result of the timing for completing our performance obligations. We had remaining performance obligations in the amount of $18.4 million as of March 31, 2023, consisting of both billed and unbilled consideration.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unaudited condensed consolidated financial statements included within this report for more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 Although we expect our operating expenses in these categories to moderate significantly as a result of the Restructuring Plan, we plan to continue investing to support our go-to-market strategies and customer engagement, develop our current and future applications and support our operations as a public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Sales and marketing expenses consist of personnel-related expenses related costs of the sales and marketing team, promotional campaigns, advertising fees and other marketing related costs. Advertising costs are expensed to sales and marketing when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research and development expenses are our largest operating expense as we continue to develop our software platforms and produce new technological capabilities.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entering into the Term Loan on April 14, 2023, we expect our interest expense to increase substantially beginning during the second quarter of 2023 due to an increase in stated interest as well as the amortization of any related debt issuance costs and discounts.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 consists of the change in fair value related to our derivative liability, interest income and other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Income tax expense includes federal, state and foreign taxes and is based on reported income before income taxes. We are in a cumulative loss position for tax purposes based on historical earnings. As of December 31, 2022, the Company had net operating loss carry forwards of approximately $344.6 million and $106.9 million available to reduce future taxable income, if any, for both federal and state income tax purposes, respectively. The federal and state net operating loss carry forwards will start to expire in 2025 and 2028, respectively, with the exception of $256.0 million in federal net operating loss carryforwards, which can be carried forward indefinitely.</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also had federal and state research and development credit carry forwards of approximately $11.4 million and $9.1 million, respectively, at December 31, 2022. The federal credits will expire starting in 2029 if not utilized. State research and development tax credits can be carried forward indefinitely.</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Sections 382 and 383 of the Internal Revenue Code of 1986 and similar state tax laws, utilization of net operating loss carryforwards and tax credits may be subject to annual limitations due to certain ownership changes. The Company’s net operating loss carryforwards and tax credits could expire before utilization if subject to annual limitations.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significant components of our results of operations for the three months ended March 31, 2023 and 2022 ($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43"/>
        </w:trPr>
        <w:tc>
          <w:tcPr>
            <w:tcW w:w="49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89 %</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7,125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31,745</w:t>
            </w: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6,738</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(25,038)</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50"/>
        </w:trPr>
        <w:tc>
          <w:tcPr>
            <w:tcW w:w="49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960" w:type="dxa"/>
            <w:vAlign w:val="bottom"/>
          </w:tcPr>
          <w:p>
            <w:pPr>
              <w:ind w:left="36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64"/>
        </w:trPr>
        <w:tc>
          <w:tcPr>
            <w:tcW w:w="49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(26,369)</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(25,103)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4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summarize our revenues by type and geographic regions for the three months ended March 31, 2023 and 2022 ($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5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March 31,</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royalties</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6,176</w:t>
            </w:r>
          </w:p>
        </w:tc>
        <w:tc>
          <w:tcPr>
            <w:tcW w:w="1040" w:type="dxa"/>
            <w:vAlign w:val="bottom"/>
            <w:tcBorders>
              <w:bottom w:val="single" w:sz="8" w:color="CCEEFF"/>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3,709</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Service subscriptions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4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Monetization</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4980" w:type="dxa"/>
            <w:vAlign w:val="bottom"/>
          </w:tcPr>
          <w:p>
            <w:pPr>
              <w:ind w:left="18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6,707</w:t>
            </w:r>
          </w:p>
        </w:tc>
        <w:tc>
          <w:tcPr>
            <w:tcW w:w="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4,290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56 %</w:t>
            </w:r>
          </w:p>
        </w:tc>
      </w:tr>
      <w:tr>
        <w:trPr>
          <w:trHeight w:val="20"/>
        </w:trPr>
        <w:tc>
          <w:tcPr>
            <w:tcW w:w="4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84"/>
        </w:trPr>
        <w:tc>
          <w:tcPr>
            <w:tcW w:w="498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5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March 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6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Japan</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France</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7"/>
        </w:trPr>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2,259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263"/>
        </w:trPr>
        <w:tc>
          <w:tcPr>
            <w:tcW w:w="4960" w:type="dxa"/>
            <w:vAlign w:val="bottom"/>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9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6,707</w:t>
            </w:r>
          </w:p>
        </w:tc>
        <w:tc>
          <w:tcPr>
            <w:tcW w:w="10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4,290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Total revenues increased by $2.4 million, or 56%, in the three months ended March 31, 2023 compared to the same period in 2022. The increase was primarily attributable to an increase in royalty revenue from Houndified Products in automotive vehicles of $1.8 million. The increase in automotive royalty revenue is reflected in the revenue increases in the geographic regions of Korea, Germany and France.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Cost of revenues increased by $0.2 million, or 11%, in the three months ended March 31, 2023, compared to the same period in 2022. The increase was primarily related to incurring additional data center and hosting costs in order to support our revenue growth. Gross margin increased to 71% during the three months ended March 31, 2023 compared to 59% during the same period in 2022 as our revenue continues to scale and we begin to benefit from efficiencies related to our data center and hosting migrations. While our gross margin may continue to fluctuate in the near-term due to revenue contributions from varying product mixes, we expect it will stabilize as we expand our revenue from subscriptions and monetization.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Sales and marketing expenses increased by $2.3 million, or 89%, in the three months ended March 31, 2023, compared to the same period in 2022. The increase was primarily due to increased compensation and other benefits expense of approximately $1.5 million, and increased program spend to support a greater investment in go-to-market strategies and customer engagement and drive growth in our revenue from subscriptions and monetization during the three months ended March 31, 2023. Our sales and marketing headcount increased by approximately 33% during the three months ended March 31, 2023, when compared to the same period in 2022, despite the impacts from the Restructuring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Research and development expenses decreased by $2.5 million, or 15%, in the three months ended March 31, 2023, compared to the same period in 2022. The decrease in research and development expenses was primarily due to our restructuring efforts as we reduced research and development headcount by approximately 45%, which was accompanied by reduced compensation and other benefits expense of approximately $2.2 million, and reduced consulting fees by approximately $1.0 million in the three months ended March 31, 2023, compared to the same period in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 and administrative expenses increased by $3.1 million, or 78%, in the three months ended March 31, 2023, compared to the same period in 2022. The increase in general and administrative expenses was primarily due to increased compensation and other benefits expense of approximately $1.9 million in the three months ended March 31, 2023, compared to the same period in 2022. Additionally, legal and other professional fees and directors and officers insurance expense each increased by approximately $0.7 million during the three months ended March 31, 2023, compared to the same period in 2022.</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Restructuring expenses were $3.6 million in the three months ended March 31, 2023 as a result of the Restructuring Plan compared to no restructuring expenses in the same period in 2022. See "Liquidity and Capital Resources - Restructuring</w:t>
      </w:r>
      <w:r>
        <w:rPr>
          <w:rFonts w:ascii="Arial" w:cs="Arial" w:eastAsia="Arial" w:hAnsi="Arial"/>
          <w:sz w:val="18"/>
          <w:szCs w:val="18"/>
          <w:i w:val="1"/>
          <w:iCs w:val="1"/>
          <w:color w:val="auto"/>
        </w:rPr>
        <w:t>"</w:t>
      </w:r>
      <w:r>
        <w:rPr>
          <w:rFonts w:ascii="Arial" w:cs="Arial" w:eastAsia="Arial" w:hAnsi="Arial"/>
          <w:sz w:val="18"/>
          <w:szCs w:val="18"/>
          <w:color w:val="auto"/>
        </w:rPr>
        <w:t xml:space="preserve">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Interest expense decreased by $1.9 million, or 63%, in the three months ended March 31, 2023 compared to the same period in 2022. The decrease in interest expense was primarily attributable to reduced interest expense of approximately $0.8 million and $0.5 million on the SVB March 2021 Note and SCI June 2021 Note, respectively, related to reduced amortization of debt discounts and debt issuance costs. Additionally, during the three months ended March 31, 2023, we recognized no interest expense on the SNAP June 2020 Note compared to $0.5 million during the same period in 2022 due to the conversion of the note into Class A Common Stock on April 26, 2022 as a result of the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our other income (expense), net, by type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4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2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7750 %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0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496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94</w:t>
            </w: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(1,057)</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meaningful</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income (expense), net was $0.1 million in the three months ended March 31, 2023 compared to $(1.1) million during the same period in 2022. The change was primarily attributable to the increase in fair value of the Snap June 2020 Note derivative liability of $0.6 million during the three months ended March 31, 2022 compared to no change during the same period in 2023 as the derivative liability was extinguished as a result of the Business Combination.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b w:val="1"/>
                <w:bCs w:val="1"/>
                <w:i w:val="1"/>
                <w:iCs w:val="1"/>
                <w:color w:val="auto"/>
              </w:rPr>
              <w:t>Provision for Income Taxes</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64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8"/>
        </w:trPr>
        <w:tc>
          <w:tcPr>
            <w:tcW w:w="6440" w:type="dxa"/>
            <w:vAlign w:val="bottom"/>
          </w:tcPr>
          <w:p>
            <w:pPr>
              <w:spacing w:after="0"/>
              <w:rPr>
                <w:sz w:val="24"/>
                <w:szCs w:val="24"/>
                <w:color w:val="auto"/>
              </w:rPr>
            </w:pPr>
          </w:p>
        </w:tc>
        <w:tc>
          <w:tcPr>
            <w:tcW w:w="2020" w:type="dxa"/>
            <w:vAlign w:val="bottom"/>
            <w:gridSpan w:val="4"/>
          </w:tcPr>
          <w:p>
            <w:pPr>
              <w:ind w:left="380"/>
              <w:spacing w:after="0"/>
              <w:rPr>
                <w:sz w:val="20"/>
                <w:szCs w:val="20"/>
                <w:color w:val="auto"/>
              </w:rPr>
            </w:pPr>
            <w:r>
              <w:rPr>
                <w:rFonts w:ascii="Arial" w:cs="Arial" w:eastAsia="Arial" w:hAnsi="Arial"/>
                <w:sz w:val="18"/>
                <w:szCs w:val="18"/>
                <w:b w:val="1"/>
                <w:bCs w:val="1"/>
                <w:color w:val="auto"/>
                <w:w w:val="90"/>
              </w:rPr>
              <w:t>Three Months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6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3"/>
          </w:tcPr>
          <w:p>
            <w:pPr>
              <w:ind w:left="580"/>
              <w:spacing w:after="0"/>
              <w:rPr>
                <w:sz w:val="20"/>
                <w:szCs w:val="20"/>
                <w:color w:val="auto"/>
              </w:rPr>
            </w:pPr>
            <w:r>
              <w:rPr>
                <w:rFonts w:ascii="Arial" w:cs="Arial" w:eastAsia="Arial" w:hAnsi="Arial"/>
                <w:sz w:val="18"/>
                <w:szCs w:val="18"/>
                <w:b w:val="1"/>
                <w:bCs w:val="1"/>
                <w:color w:val="auto"/>
                <w:w w:val="99"/>
              </w:rPr>
              <w:t>Change</w:t>
            </w:r>
          </w:p>
        </w:tc>
        <w:tc>
          <w:tcPr>
            <w:tcW w:w="78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440" w:type="dxa"/>
            <w:vAlign w:val="bottom"/>
          </w:tcPr>
          <w:p>
            <w:pPr>
              <w:spacing w:after="0"/>
              <w:rPr>
                <w:sz w:val="20"/>
                <w:szCs w:val="20"/>
                <w:color w:val="auto"/>
              </w:rPr>
            </w:pPr>
          </w:p>
        </w:tc>
        <w:tc>
          <w:tcPr>
            <w:tcW w:w="780" w:type="dxa"/>
            <w:vAlign w:val="bottom"/>
          </w:tcPr>
          <w:p>
            <w:pPr>
              <w:ind w:left="400"/>
              <w:spacing w:after="0"/>
              <w:rPr>
                <w:sz w:val="20"/>
                <w:szCs w:val="20"/>
                <w:color w:val="auto"/>
              </w:rPr>
            </w:pPr>
            <w:r>
              <w:rPr>
                <w:rFonts w:ascii="Arial" w:cs="Arial" w:eastAsia="Arial" w:hAnsi="Arial"/>
                <w:sz w:val="18"/>
                <w:szCs w:val="18"/>
                <w:b w:val="1"/>
                <w:bCs w:val="1"/>
                <w:color w:val="auto"/>
                <w:w w:val="89"/>
              </w:rPr>
              <w:t>2023</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64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329</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Total cash and cash equivalents on hand as of March 31, 2023 was $46.3 million. Although the Company has incurred recurring losses each year since its inception, the Company expects it will be able to fund its operations for at least the next twelve months. The Company may seek funding through additional debt or equity financing arrangements, implement incremental expense reduction measures or a combination thereof to continue financing its operations. The Company's condensed consolidated financial statements have been prepared assuming the Company will continue as a going concern, which contemplates, among other things, the realization of assets and satisfaction of liabilities in the normal course of business.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April 14, 2023 (the “Term Loan Closing Date”), the Company entered into a Senior Secured Term Loan Credit Agreement (the “Credit Agreement”) with ACP Post Oak Credit II LLC, as Administrative Agent and Collateral Agent for the Lenders (the “Agent”), and the lenders from time to time party thereto (the “Lenders”). The Credit Agreement provides for a term loan facility in an aggregate principal amount of up to $100.0 million (the “Term Loan”), the entirety of which was funded on the Term Loan Closing Date. The Credit Agreement also permits the Company to request additional commitments of up to $25.0 million in the aggregate, with funding of such commitments in the sole discretion of the Lenders, under certain circumstances and under the same terms as the Term Loan. On the Term Loan Closing Date, the Company also entered into that certain Guarantee and Collateral Agreement, dated as of April 14, 2023, by and among the Company, the other grantors named therein and the Agent (the “Guarantee and Collateral Agreement”). In addition, on the Term Loan Closing Date, a collateral protection insurance policy was issued to the Lenders and a cash premium was paid on the Term Loan Closing Date to the insurance provider thereunder (the “Cash Premium”). Pursuant to the Credit Agreement, the Company is required to make certain additional specified cash premium payments, based on single-digit percentages of the loans then outstanding, over a period of three years from the Term Loan Closing Date.</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 (iii) pay certain fees and expenses incurred in connection with entering into the Credit Agreement, and (iv) fund the Cash Premium, together with related taxes, with the remaining proceeds to be used to fund growth investments and for general corporate purposes as permitted under the Credit Agreement.</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outstanding principal balance of the Term Loan bears interest at the applicable margin plus, at the Company’s election, either (i) the secured overnight financing rate (“SOFR”) plus 0.15% or (ii) the alternate base rate (“ABR”), which is a per annum rate equal to the greatest of (a) the Prime Rate (as defined in the Credit Agreement), (b) the NYFRB Rate (as defined in the Credit Agreement) plus 0.50% and (c) the Adjustable Rate (as defined in the Credit Agreement) plus 1.00%. The applicable margin under the Credit Agreement is 8.50% per annum with respect to SOFR loans, and 7.50% per annum with respect to ABR loans.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amortization prior to the Maturity Date.</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Concurrently with the Company’s entry into the Credit Agreement, the Company used a portion of the proceeds to prepay in full all outstanding obligations under, and terminated, the SCI June 2021 Note and the SVB March 2021 Note. In connection with the SCI June 2021 Note prepayment, the Company paid a total of approximately $11.7 million, which consisted of (i) the remaining principal amount outstanding of approximately $11.0 million,</w:t>
      </w:r>
    </w:p>
    <w:p>
      <w:pPr>
        <w:spacing w:after="0" w:line="2" w:lineRule="exact"/>
        <w:rPr>
          <w:sz w:val="20"/>
          <w:szCs w:val="20"/>
          <w:color w:val="auto"/>
        </w:rPr>
      </w:pPr>
    </w:p>
    <w:p>
      <w:pPr>
        <w:jc w:val="both"/>
        <w:ind w:firstLine="8"/>
        <w:spacing w:after="0" w:line="273" w:lineRule="auto"/>
        <w:tabs>
          <w:tab w:leader="none" w:pos="279"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prepayment premium of approximately $0.2 million, (iii) a final payment fee of approximately $0.5 million, and (iv) the remainder for transaction expenses. In connection with the SVB March 2021 Note prepayment, the Company paid a total of approximately $18.5 million, which consisted of (i) the remaining principal amount outstanding of $17.0 million, (ii) a prepayment premium of $0.3 million, (iii) a final payment fee of approximately $1.1 million, (iv) approximately $0.1 million of accrued and unpaid interest, and (v) the remainder for transaction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Line of Credit (ELOC)</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(the "ELOC Shares"). On February 14, 2023, the Company’s Registration Statement on Form S-1 registering the resale of the ELOC Shares (the "ELOC Registration Statement") was declared effective. On March 31, 2023, a post-effective amendment to the ELOC Registration Statement was declared effective. The Company has utilized and expects to continue to utilize proceeds from the ELOC for working capital and other general corporate purposes. Through April 30, 2023, the Company had sold approximately 12.7 million shares under the ELOC program for aggregate proceeds of approximately $34.4 million.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or around January 20, 2023, the Company entered into the Purchase Agreements with the Investors, pursuant to which the Company issued and sold to the Investors an aggregate of 835,011 shares of its newly designated Series A Convertible Preferred Stock for an aggregate issue price of approximately $25.0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January 2023, we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 or 180 positions globally.</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Costs associated with the Restructuring Plan consist of employee severance payments, employee benefits and share-based compensation. The total estimated restructuring costs associated with the Restructuring Plan are approximately $3.8 million and are being recorded to the restructuring expense line item within our condensed consolidated statements of operations as they are incurred. We recorded $3.6 million of restructuring expenses in connection with the Restructuring Plan during the three months ended March 31, 2023, of which $1.3 million were cash payments. We expect to incur the estimated remaining $0.2 million through the end of 2023. Any changes to the estimates or timing of executing the Restructuring Plan will be reflected in our future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Business Combination in April 2022, we raised gross proceeds of $118.4 million including a combination of $5.4 million in cash held in trust by ATSP (following satisfaction of redemptions by public stockholders), and $113.0 million in aggregate gross proceeds from PIPE investors. The combined company incurred $27.7 million of expenses related to the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material debt agreements as of March 31, 2023 were as follows: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SVB March 2021 </w:t>
      </w:r>
      <w:r>
        <w:rPr>
          <w:rFonts w:ascii="Arial" w:cs="Arial" w:eastAsia="Arial" w:hAnsi="Arial"/>
          <w:sz w:val="18"/>
          <w:szCs w:val="18"/>
          <w:color w:val="auto"/>
        </w:rPr>
        <w:t>— In March 2021, we entered into a loan and security agreement with a commercial bank to borrow $30.0 million (“SVB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2021 Note”). In April 2022, the Company entered into a loan modification agreement, which extended the SVB March 2021 Note’s early maturity date from April 26, 2022 to May 26, 2022. As the SNAP June 2020 Note converted on April 26, 2022 the performance milestone was met and the SVB March 2021 Note’s maturity date was extended to September 1, 2024. On April 14, 2023, in connection with the issuance of the Term Loan, we used a portion of the proceeds from the issuance of the Term Loan to repay in full the principal amount of indebtedness outstanding under the SVB March 2021 Note.</w:t>
      </w:r>
    </w:p>
    <w:p>
      <w:pPr>
        <w:spacing w:after="0" w:line="192"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SCI June 2021 Note </w:t>
      </w:r>
      <w:r>
        <w:rPr>
          <w:rFonts w:ascii="Arial" w:cs="Arial" w:eastAsia="Arial" w:hAnsi="Arial"/>
          <w:sz w:val="16"/>
          <w:szCs w:val="16"/>
          <w:color w:val="auto"/>
        </w:rPr>
        <w:t>— In June 2021, we issued a note pursuant to a loan and security agreement with a lender to borrow up to a commitment</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$15.0 million in $5.0 million increments (“SCI June 2021 Note”). Through December 31, 2021, we had borrowed $15.0 million. The maturity date of the loan was May 31, 2025. On April 14, 2023, in connection with the issuance of the Term Loan, we used a portion of the proceeds from the issuance of the Term Loan to repay in full the principal amount of indebtedness outstanding under the SCI June 2021 Note.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8160" w:type="dxa"/>
            <w:vAlign w:val="bottom"/>
          </w:tcPr>
          <w:p>
            <w:pPr>
              <w:ind w:left="340"/>
              <w:spacing w:after="0"/>
              <w:rPr>
                <w:sz w:val="20"/>
                <w:szCs w:val="20"/>
                <w:color w:val="auto"/>
              </w:rPr>
            </w:pPr>
            <w:r>
              <w:rPr>
                <w:rFonts w:ascii="Arial" w:cs="Arial" w:eastAsia="Arial" w:hAnsi="Arial"/>
                <w:sz w:val="18"/>
                <w:szCs w:val="18"/>
                <w:color w:val="auto"/>
              </w:rPr>
              <w:t>The following table summarizes our cash flows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68"/>
        </w:trPr>
        <w:tc>
          <w:tcPr>
            <w:tcW w:w="8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20"/>
                <w:szCs w:val="20"/>
                <w:color w:val="auto"/>
              </w:rPr>
            </w:pPr>
          </w:p>
        </w:tc>
      </w:tr>
      <w:tr>
        <w:trPr>
          <w:trHeight w:val="27"/>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(14,467)</w:t>
            </w:r>
          </w:p>
        </w:tc>
        <w:tc>
          <w:tcPr>
            <w:tcW w:w="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(14,989)</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r>
      <w:tr>
        <w:trPr>
          <w:trHeight w:val="243"/>
        </w:trPr>
        <w:tc>
          <w:tcPr>
            <w:tcW w:w="816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37,086</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(13,645)</w:t>
            </w:r>
          </w:p>
        </w:tc>
      </w:tr>
      <w:tr>
        <w:trPr>
          <w:trHeight w:val="27"/>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Operating Activities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cash used in operating activities was $14.5 million during the three months ended March 31, 2023 compared to $15.0 million during the three months ended March 31, 2022. The $0.5 million decrease in cash used in operating activities was primarily due to our decreased net loss, adjusted for non-cash expenses, including stock-based compensation and depreciation and amortization and changes in operating assets and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Net cash used in investing activities was nominal during the three months ended March 31, 2023 compared to $0.6 million during the three months ended March 31, 2022. The $0.6 million decrease in cash used in investing activities was driven by a reduction in purchases of property and equipment.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cash provided by financing activities was $51.6 million during the three months ended March 31, 2023 compared to $2.0 million during the three months ended March 31, 2022. The $49.6 million increase in cash provided by financing activities was primarily due to $28.4 million in net proceeds from the sales of common stock under the ELOC program and $24.9 million in net proceeds from the issuance of the Series A Preferred Stock and was partially offset by payments on our notes payable of $4.1 million during the three months ended March 31,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unaudited condensed consolidated financial statements included elsewhere in this report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2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a discussion of our critical accounting policies, see “Management’s discussion and analysis of financial condition and results of operations” and the notes to the consolidated financial statements included in our Form 10-K, which was filed with the SEC on March 28,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Rule 13a-15(b) under the Securities Exchange Act of 1934 (“Exchange Act”), our management carried out an evaluation, with the participation of our Chief Executive Officer (“CEO”) and Chief Financial Officer (“CFO”), of the effectiveness of our disclosure controls and procedures (as defined under Rule 13a-15(e) under the Exchange Act) as of the end of the period covered by this report. Based upon that evaluation, our CEO and CFO concluded that our disclosure controls and procedures as of March 31, 2023 are effective to ensure that information required to be disclosed by us in the reports that we file or submit under the Exchange Act, was recorded, processed, summarized and reported, within the time periods specified in the SEC’s rules and forms, and that such information is accumulated and communicated to our management, including our CEO and CFO, to allow timely decisions regarding required disclosure.</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designing and evaluating our disclosure controls and procedures, our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this evaluation, the CEO and CFO have concluded that, as of the end of the period covered by this report, the Company’s disclosure controls and procedures were at the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has not been any change in our internal control over financial reporting (as defined in Rules 13a-15(f) and 15d-15(f) of the Exchange Act) that occurred during our fiscal quarter ended March 31, 2023 that has materially affected, or is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not a party to any material pending legal proceedings, nor are we aware of any pending litigation or legal proceeding against us that would have a material adverse effect upon our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Not required for smaller reporting companies. However, as of the date of this report, there have been no material changes to the risk factors disclosed in our Form 10-K, which was filed with the SEC on March 28, 2023.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sales of equity securities during the period covered by this Quarterly Report that were not either registered under the Securities Act or were not previously reported in a Quarterly Report on Form 10-Q or a Current Report on Form 8-K filed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6"/>
              </w:rPr>
              <w:t>No.</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0" w:type="dxa"/>
            <w:vAlign w:val="bottom"/>
            <w:gridSpan w:val="6"/>
          </w:tcPr>
          <w:p>
            <w:pPr>
              <w:ind w:left="2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16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4.1*</w:t>
            </w:r>
          </w:p>
        </w:tc>
        <w:tc>
          <w:tcPr>
            <w:tcW w:w="120" w:type="dxa"/>
            <w:vAlign w:val="bottom"/>
            <w:shd w:val="clear" w:color="auto" w:fill="CCEEFF"/>
          </w:tcPr>
          <w:p>
            <w:pPr>
              <w:spacing w:after="0"/>
              <w:rPr>
                <w:sz w:val="21"/>
                <w:szCs w:val="21"/>
                <w:color w:val="auto"/>
              </w:rPr>
            </w:pPr>
          </w:p>
        </w:tc>
        <w:tc>
          <w:tcPr>
            <w:tcW w:w="9460" w:type="dxa"/>
            <w:vAlign w:val="bottom"/>
            <w:gridSpan w:val="9"/>
            <w:shd w:val="clear" w:color="auto" w:fill="CCEEFF"/>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Form of Class A Common Stock Purchase Warrant</w:t>
              </w:r>
            </w:hyperlink>
          </w:p>
        </w:tc>
      </w:tr>
      <w:tr>
        <w:trPr>
          <w:trHeight w:val="203"/>
        </w:trPr>
        <w:tc>
          <w:tcPr>
            <w:tcW w:w="1660" w:type="dxa"/>
            <w:vAlign w:val="bottom"/>
            <w:tcBorders>
              <w:top w:val="single" w:sz="8" w:color="CCEEFF"/>
            </w:tcBorders>
          </w:tcPr>
          <w:p>
            <w:pPr>
              <w:jc w:val="center"/>
              <w:spacing w:after="0" w:line="202" w:lineRule="exact"/>
              <w:rPr>
                <w:sz w:val="20"/>
                <w:szCs w:val="20"/>
                <w:color w:val="auto"/>
              </w:rPr>
            </w:pPr>
            <w:r>
              <w:rPr>
                <w:rFonts w:ascii="Arial" w:cs="Arial" w:eastAsia="Arial" w:hAnsi="Arial"/>
                <w:sz w:val="18"/>
                <w:szCs w:val="18"/>
                <w:color w:val="auto"/>
                <w:w w:val="92"/>
              </w:rPr>
              <w:t>10.1*†</w:t>
            </w:r>
          </w:p>
        </w:tc>
        <w:tc>
          <w:tcPr>
            <w:tcW w:w="120" w:type="dxa"/>
            <w:vAlign w:val="bottom"/>
            <w:tcBorders>
              <w:top w:val="single" w:sz="8" w:color="CCEEFF"/>
            </w:tcBorders>
          </w:tcPr>
          <w:p>
            <w:pPr>
              <w:spacing w:after="0"/>
              <w:rPr>
                <w:sz w:val="17"/>
                <w:szCs w:val="17"/>
                <w:color w:val="auto"/>
              </w:rPr>
            </w:pPr>
          </w:p>
        </w:tc>
        <w:tc>
          <w:tcPr>
            <w:tcW w:w="3660" w:type="dxa"/>
            <w:vAlign w:val="bottom"/>
            <w:tcBorders>
              <w:top w:val="single" w:sz="8" w:color="0000EE"/>
            </w:tcBorders>
            <w:gridSpan w:val="3"/>
          </w:tcPr>
          <w:p>
            <w:pPr>
              <w:spacing w:after="0" w:line="202" w:lineRule="exact"/>
              <w:rPr>
                <w:rFonts w:ascii="Arial" w:cs="Arial" w:eastAsia="Arial" w:hAnsi="Arial"/>
                <w:sz w:val="18"/>
                <w:szCs w:val="18"/>
                <w:color w:val="0000EE"/>
              </w:rPr>
            </w:pPr>
            <w:hyperlink r:id="rId80">
              <w:r>
                <w:rPr>
                  <w:rFonts w:ascii="Arial" w:cs="Arial" w:eastAsia="Arial" w:hAnsi="Arial"/>
                  <w:sz w:val="18"/>
                  <w:szCs w:val="18"/>
                  <w:color w:val="0000EE"/>
                </w:rPr>
                <w:t>Senior Secured Term Loan Credit Agreement</w:t>
              </w:r>
            </w:hyperlink>
          </w:p>
        </w:tc>
        <w:tc>
          <w:tcPr>
            <w:tcW w:w="5800" w:type="dxa"/>
            <w:vAlign w:val="bottom"/>
            <w:tcBorders>
              <w:top w:val="single" w:sz="8" w:color="CCEEFF"/>
            </w:tcBorders>
            <w:gridSpan w:val="6"/>
          </w:tcPr>
          <w:p>
            <w:pPr>
              <w:spacing w:after="0"/>
              <w:rPr>
                <w:sz w:val="17"/>
                <w:szCs w:val="17"/>
                <w:color w:val="auto"/>
              </w:rPr>
            </w:pPr>
          </w:p>
        </w:tc>
      </w:tr>
      <w:tr>
        <w:trPr>
          <w:trHeight w:val="48"/>
        </w:trPr>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12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03"/>
        </w:trPr>
        <w:tc>
          <w:tcPr>
            <w:tcW w:w="1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31.1*</w:t>
            </w:r>
          </w:p>
        </w:tc>
        <w:tc>
          <w:tcPr>
            <w:tcW w:w="120" w:type="dxa"/>
            <w:vAlign w:val="bottom"/>
            <w:shd w:val="clear" w:color="auto" w:fill="CCEEFF"/>
          </w:tcPr>
          <w:p>
            <w:pPr>
              <w:spacing w:after="0"/>
              <w:rPr>
                <w:sz w:val="17"/>
                <w:szCs w:val="17"/>
                <w:color w:val="auto"/>
              </w:rPr>
            </w:pPr>
          </w:p>
        </w:tc>
        <w:tc>
          <w:tcPr>
            <w:tcW w:w="9460" w:type="dxa"/>
            <w:vAlign w:val="bottom"/>
            <w:gridSpan w:val="9"/>
            <w:shd w:val="clear" w:color="auto" w:fill="CCEEFF"/>
          </w:tcPr>
          <w:p>
            <w:pPr>
              <w:spacing w:after="0" w:line="202" w:lineRule="exact"/>
              <w:rPr>
                <w:rFonts w:ascii="Arial" w:cs="Arial" w:eastAsia="Arial" w:hAnsi="Arial"/>
                <w:sz w:val="18"/>
                <w:szCs w:val="18"/>
                <w:color w:val="0000EE"/>
                <w:w w:val="95"/>
              </w:rPr>
            </w:pPr>
            <w:hyperlink r:id="rId81">
              <w:r>
                <w:rPr>
                  <w:rFonts w:ascii="Arial" w:cs="Arial" w:eastAsia="Arial" w:hAnsi="Arial"/>
                  <w:sz w:val="18"/>
                  <w:szCs w:val="18"/>
                  <w:color w:val="0000EE"/>
                  <w:w w:val="95"/>
                </w:rPr>
                <w:t>Certification of Principal Executive Officer Pursuant to Securities Exchange Act Rules 13a-14(a) and 15(d)-14(a), as adopted</w:t>
              </w:r>
            </w:hyperlink>
          </w:p>
        </w:tc>
      </w:tr>
      <w:tr>
        <w:trPr>
          <w:trHeight w:val="243"/>
        </w:trPr>
        <w:tc>
          <w:tcPr>
            <w:tcW w:w="16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8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Pursuant to Section 302 of the Sarbanes-Oxley Act of 2002</w:t>
              </w:r>
            </w:hyperlink>
          </w:p>
        </w:tc>
        <w:tc>
          <w:tcPr>
            <w:tcW w:w="4740" w:type="dxa"/>
            <w:vAlign w:val="bottom"/>
            <w:tcBorders>
              <w:top w:val="single" w:sz="8" w:color="0000EE"/>
              <w:bottom w:val="single" w:sz="8" w:color="CCEEFF"/>
            </w:tcBorders>
            <w:gridSpan w:val="4"/>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7"/>
                <w:szCs w:val="17"/>
                <w:color w:val="auto"/>
              </w:rPr>
            </w:pPr>
          </w:p>
        </w:tc>
        <w:tc>
          <w:tcPr>
            <w:tcW w:w="8980" w:type="dxa"/>
            <w:vAlign w:val="bottom"/>
            <w:tcBorders>
              <w:bottom w:val="single" w:sz="8" w:color="0000EE"/>
            </w:tcBorders>
            <w:gridSpan w:val="7"/>
          </w:tcPr>
          <w:p>
            <w:pPr>
              <w:spacing w:after="0" w:line="202"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Certification of Principal Financial Officer Pursuant to Securities Exchange Act Rules 13a-14(a) and 15(d)-14(a), as adopted</w:t>
              </w:r>
            </w:hyperlink>
          </w:p>
        </w:tc>
        <w:tc>
          <w:tcPr>
            <w:tcW w:w="480" w:type="dxa"/>
            <w:vAlign w:val="bottom"/>
            <w:gridSpan w:val="2"/>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60" w:type="dxa"/>
            <w:vAlign w:val="bottom"/>
            <w:gridSpan w:val="9"/>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Pursuant to Section 302 of the Sarbanes-Oxley Act of 2002</w:t>
              </w:r>
            </w:hyperlink>
          </w:p>
        </w:tc>
      </w:tr>
      <w:tr>
        <w:trPr>
          <w:trHeight w:val="48"/>
        </w:trPr>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12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03"/>
        </w:trPr>
        <w:tc>
          <w:tcPr>
            <w:tcW w:w="166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8820" w:type="dxa"/>
            <w:vAlign w:val="bottom"/>
            <w:tcBorders>
              <w:bottom w:val="single" w:sz="8" w:color="0000EE"/>
            </w:tcBorders>
            <w:gridSpan w:val="6"/>
            <w:shd w:val="clear" w:color="auto" w:fill="CCEEFF"/>
          </w:tcPr>
          <w:p>
            <w:pPr>
              <w:spacing w:after="0" w:line="202"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Certification of Principal Executive Officer Pursuant to 18 U.S.C. Section 1350, as adopted Pursuant to Section 906 of the</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r>
      <w:tr>
        <w:trPr>
          <w:trHeight w:val="243"/>
        </w:trPr>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Sarbanes-Oxley Act of 2002</w:t>
              </w:r>
            </w:hyperlink>
          </w:p>
        </w:tc>
        <w:tc>
          <w:tcPr>
            <w:tcW w:w="7400" w:type="dxa"/>
            <w:vAlign w:val="bottom"/>
            <w:tcBorders>
              <w:bottom w:val="single" w:sz="8" w:color="CCEEFF"/>
            </w:tcBorders>
            <w:gridSpan w:val="8"/>
            <w:shd w:val="clear" w:color="auto" w:fill="CCEEFF"/>
          </w:tcPr>
          <w:p>
            <w:pPr>
              <w:spacing w:after="0"/>
              <w:rPr>
                <w:sz w:val="21"/>
                <w:szCs w:val="21"/>
                <w:color w:val="auto"/>
              </w:rPr>
            </w:pPr>
          </w:p>
        </w:tc>
      </w:tr>
      <w:tr>
        <w:trPr>
          <w:trHeight w:val="203"/>
        </w:trPr>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7"/>
              </w:rPr>
              <w:t>32.2**</w:t>
            </w:r>
          </w:p>
        </w:tc>
        <w:tc>
          <w:tcPr>
            <w:tcW w:w="120" w:type="dxa"/>
            <w:vAlign w:val="bottom"/>
          </w:tcPr>
          <w:p>
            <w:pPr>
              <w:spacing w:after="0"/>
              <w:rPr>
                <w:sz w:val="17"/>
                <w:szCs w:val="17"/>
                <w:color w:val="auto"/>
              </w:rPr>
            </w:pPr>
          </w:p>
        </w:tc>
        <w:tc>
          <w:tcPr>
            <w:tcW w:w="9460" w:type="dxa"/>
            <w:vAlign w:val="bottom"/>
            <w:gridSpan w:val="9"/>
          </w:tcPr>
          <w:p>
            <w:pPr>
              <w:spacing w:after="0" w:line="202" w:lineRule="exact"/>
              <w:rPr>
                <w:rFonts w:ascii="Arial" w:cs="Arial" w:eastAsia="Arial" w:hAnsi="Arial"/>
                <w:sz w:val="18"/>
                <w:szCs w:val="18"/>
                <w:color w:val="0000EE"/>
                <w:w w:val="98"/>
              </w:rPr>
            </w:pPr>
            <w:hyperlink r:id="rId84">
              <w:r>
                <w:rPr>
                  <w:rFonts w:ascii="Arial" w:cs="Arial" w:eastAsia="Arial" w:hAnsi="Arial"/>
                  <w:sz w:val="18"/>
                  <w:szCs w:val="18"/>
                  <w:color w:val="0000EE"/>
                  <w:w w:val="98"/>
                </w:rPr>
                <w:t>Certification of Principal Financial Officer Pursuant to 18 U.S.C. Section 1350, as adopted Pursuant to Section 906 of the</w:t>
              </w:r>
            </w:hyperlink>
          </w:p>
        </w:tc>
      </w:tr>
      <w:tr>
        <w:trPr>
          <w:trHeight w:val="196"/>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Sarbanes-Oxley Act of 2002</w:t>
              </w:r>
            </w:hyperlink>
          </w:p>
        </w:tc>
        <w:tc>
          <w:tcPr>
            <w:tcW w:w="700" w:type="dxa"/>
            <w:vAlign w:val="bottom"/>
            <w:gridSpan w:val="4"/>
          </w:tcPr>
          <w:p>
            <w:pPr>
              <w:spacing w:after="0"/>
              <w:rPr>
                <w:sz w:val="17"/>
                <w:szCs w:val="17"/>
                <w:color w:val="auto"/>
              </w:rPr>
            </w:pPr>
          </w:p>
        </w:tc>
      </w:tr>
      <w:tr>
        <w:trPr>
          <w:trHeight w:val="48"/>
        </w:trPr>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101.INS*</w:t>
            </w:r>
          </w:p>
        </w:tc>
        <w:tc>
          <w:tcPr>
            <w:tcW w:w="120" w:type="dxa"/>
            <w:vAlign w:val="bottom"/>
            <w:tcBorders>
              <w:bottom w:val="single" w:sz="8" w:color="CCEEFF"/>
            </w:tcBorders>
            <w:shd w:val="clear" w:color="auto" w:fill="CCEEFF"/>
          </w:tcPr>
          <w:p>
            <w:pPr>
              <w:spacing w:after="0"/>
              <w:rPr>
                <w:sz w:val="21"/>
                <w:szCs w:val="21"/>
                <w:color w:val="auto"/>
              </w:rPr>
            </w:pPr>
          </w:p>
        </w:tc>
        <w:tc>
          <w:tcPr>
            <w:tcW w:w="94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120" w:type="dxa"/>
            <w:vAlign w:val="bottom"/>
          </w:tcPr>
          <w:p>
            <w:pPr>
              <w:spacing w:after="0"/>
              <w:rPr>
                <w:sz w:val="21"/>
                <w:szCs w:val="21"/>
                <w:color w:val="auto"/>
              </w:rPr>
            </w:pPr>
          </w:p>
        </w:tc>
        <w:tc>
          <w:tcPr>
            <w:tcW w:w="94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101.CAL*</w:t>
            </w:r>
          </w:p>
        </w:tc>
        <w:tc>
          <w:tcPr>
            <w:tcW w:w="120" w:type="dxa"/>
            <w:vAlign w:val="bottom"/>
            <w:tcBorders>
              <w:bottom w:val="single" w:sz="8" w:color="CCEEFF"/>
            </w:tcBorders>
            <w:shd w:val="clear" w:color="auto" w:fill="CCEEFF"/>
          </w:tcPr>
          <w:p>
            <w:pPr>
              <w:spacing w:after="0"/>
              <w:rPr>
                <w:sz w:val="21"/>
                <w:szCs w:val="21"/>
                <w:color w:val="auto"/>
              </w:rPr>
            </w:pPr>
          </w:p>
        </w:tc>
        <w:tc>
          <w:tcPr>
            <w:tcW w:w="94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97"/>
              </w:rPr>
              <w:t>101.DEF*</w:t>
            </w:r>
          </w:p>
        </w:tc>
        <w:tc>
          <w:tcPr>
            <w:tcW w:w="120" w:type="dxa"/>
            <w:vAlign w:val="bottom"/>
          </w:tcPr>
          <w:p>
            <w:pPr>
              <w:spacing w:after="0"/>
              <w:rPr>
                <w:sz w:val="21"/>
                <w:szCs w:val="21"/>
                <w:color w:val="auto"/>
              </w:rPr>
            </w:pPr>
          </w:p>
        </w:tc>
        <w:tc>
          <w:tcPr>
            <w:tcW w:w="94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101.LAB*</w:t>
            </w:r>
          </w:p>
        </w:tc>
        <w:tc>
          <w:tcPr>
            <w:tcW w:w="120" w:type="dxa"/>
            <w:vAlign w:val="bottom"/>
            <w:tcBorders>
              <w:bottom w:val="single" w:sz="8" w:color="CCEEFF"/>
            </w:tcBorders>
            <w:shd w:val="clear" w:color="auto" w:fill="CCEEFF"/>
          </w:tcPr>
          <w:p>
            <w:pPr>
              <w:spacing w:after="0"/>
              <w:rPr>
                <w:sz w:val="21"/>
                <w:szCs w:val="21"/>
                <w:color w:val="auto"/>
              </w:rPr>
            </w:pPr>
          </w:p>
        </w:tc>
        <w:tc>
          <w:tcPr>
            <w:tcW w:w="94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20" w:type="dxa"/>
            <w:vAlign w:val="bottom"/>
          </w:tcPr>
          <w:p>
            <w:pPr>
              <w:spacing w:after="0"/>
              <w:rPr>
                <w:sz w:val="21"/>
                <w:szCs w:val="21"/>
                <w:color w:val="auto"/>
              </w:rPr>
            </w:pPr>
          </w:p>
        </w:tc>
        <w:tc>
          <w:tcPr>
            <w:tcW w:w="94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104*</w:t>
            </w:r>
          </w:p>
        </w:tc>
        <w:tc>
          <w:tcPr>
            <w:tcW w:w="120" w:type="dxa"/>
            <w:vAlign w:val="bottom"/>
            <w:shd w:val="clear" w:color="auto" w:fill="CCEEFF"/>
          </w:tcPr>
          <w:p>
            <w:pPr>
              <w:spacing w:after="0"/>
              <w:rPr>
                <w:sz w:val="21"/>
                <w:szCs w:val="21"/>
                <w:color w:val="auto"/>
              </w:rPr>
            </w:pPr>
          </w:p>
        </w:tc>
        <w:tc>
          <w:tcPr>
            <w:tcW w:w="946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7"/>
        </w:trPr>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right="9880" w:firstLine="8"/>
        <w:spacing w:after="0" w:line="563" w:lineRule="auto"/>
        <w:tabs>
          <w:tab w:leader="none" w:pos="27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1" w:lineRule="exact"/>
        <w:rPr>
          <w:sz w:val="20"/>
          <w:szCs w:val="20"/>
          <w:color w:val="auto"/>
        </w:rPr>
      </w:pPr>
    </w:p>
    <w:p>
      <w:pPr>
        <w:ind w:right="380" w:firstLine="8"/>
        <w:spacing w:after="0" w:line="277" w:lineRule="auto"/>
        <w:tabs>
          <w:tab w:leader="none" w:pos="1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schedules to this Exhibit have been omitted in accordance with Regulation S-K Item 601(a)(5). The registrant agrees to furnish supplementally a copy of all omitted schedules to the Securities and Exchange Commission upon its request.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40" w:type="dxa"/>
            <w:vAlign w:val="bottom"/>
            <w:gridSpan w:val="2"/>
          </w:tcPr>
          <w:p>
            <w:pPr>
              <w:ind w:left="2300"/>
              <w:spacing w:after="0"/>
              <w:rPr>
                <w:sz w:val="20"/>
                <w:szCs w:val="20"/>
                <w:color w:val="auto"/>
              </w:rPr>
            </w:pPr>
            <w:r>
              <w:rPr>
                <w:rFonts w:ascii="Arial" w:cs="Arial" w:eastAsia="Arial" w:hAnsi="Arial"/>
                <w:sz w:val="18"/>
                <w:szCs w:val="18"/>
                <w:b w:val="1"/>
                <w:bCs w:val="1"/>
                <w:color w:val="auto"/>
              </w:rPr>
              <w:t>SOUNDHOUND AI, INC</w:t>
            </w:r>
          </w:p>
        </w:tc>
      </w:tr>
      <w:tr>
        <w:trPr>
          <w:trHeight w:val="560"/>
        </w:trPr>
        <w:tc>
          <w:tcPr>
            <w:tcW w:w="3480" w:type="dxa"/>
            <w:vAlign w:val="bottom"/>
          </w:tcPr>
          <w:p>
            <w:pPr>
              <w:spacing w:after="0"/>
              <w:rPr>
                <w:sz w:val="20"/>
                <w:szCs w:val="20"/>
                <w:color w:val="auto"/>
              </w:rPr>
            </w:pPr>
            <w:r>
              <w:rPr>
                <w:rFonts w:ascii="Arial" w:cs="Arial" w:eastAsia="Arial" w:hAnsi="Arial"/>
                <w:sz w:val="18"/>
                <w:szCs w:val="18"/>
                <w:color w:val="auto"/>
              </w:rPr>
              <w:t>Date: May 12, 2023</w:t>
            </w:r>
          </w:p>
        </w:tc>
        <w:tc>
          <w:tcPr>
            <w:tcW w:w="3200" w:type="dxa"/>
            <w:vAlign w:val="bottom"/>
          </w:tcPr>
          <w:p>
            <w:pPr>
              <w:ind w:left="230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Dr. Keyvan Mohajer</w:t>
            </w:r>
          </w:p>
        </w:tc>
      </w:tr>
      <w:tr>
        <w:trPr>
          <w:trHeight w:val="243"/>
        </w:trPr>
        <w:tc>
          <w:tcPr>
            <w:tcW w:w="3480" w:type="dxa"/>
            <w:vAlign w:val="bottom"/>
          </w:tcPr>
          <w:p>
            <w:pPr>
              <w:spacing w:after="0"/>
              <w:rPr>
                <w:sz w:val="21"/>
                <w:szCs w:val="21"/>
                <w:color w:val="auto"/>
              </w:rPr>
            </w:pPr>
          </w:p>
        </w:tc>
        <w:tc>
          <w:tcPr>
            <w:tcW w:w="3200" w:type="dxa"/>
            <w:vAlign w:val="bottom"/>
          </w:tcPr>
          <w:p>
            <w:pPr>
              <w:ind w:left="2300"/>
              <w:spacing w:after="0"/>
              <w:rPr>
                <w:sz w:val="20"/>
                <w:szCs w:val="20"/>
                <w:color w:val="auto"/>
              </w:rPr>
            </w:pPr>
            <w:r>
              <w:rPr>
                <w:rFonts w:ascii="Arial" w:cs="Arial" w:eastAsia="Arial" w:hAnsi="Arial"/>
                <w:sz w:val="18"/>
                <w:szCs w:val="18"/>
                <w:color w:val="auto"/>
              </w:rPr>
              <w:t>Name:</w:t>
            </w:r>
          </w:p>
        </w:tc>
        <w:tc>
          <w:tcPr>
            <w:tcW w:w="4540" w:type="dxa"/>
            <w:vAlign w:val="bottom"/>
          </w:tcPr>
          <w:p>
            <w:pPr>
              <w:ind w:left="20"/>
              <w:spacing w:after="0"/>
              <w:rPr>
                <w:sz w:val="20"/>
                <w:szCs w:val="20"/>
                <w:color w:val="auto"/>
              </w:rPr>
            </w:pPr>
            <w:r>
              <w:rPr>
                <w:rFonts w:ascii="Arial" w:cs="Arial" w:eastAsia="Arial" w:hAnsi="Arial"/>
                <w:sz w:val="18"/>
                <w:szCs w:val="18"/>
                <w:color w:val="auto"/>
              </w:rPr>
              <w:t>Dr. Keyvan Mohajer</w:t>
            </w:r>
          </w:p>
        </w:tc>
      </w:tr>
      <w:tr>
        <w:trPr>
          <w:trHeight w:val="270"/>
        </w:trPr>
        <w:tc>
          <w:tcPr>
            <w:tcW w:w="3480" w:type="dxa"/>
            <w:vAlign w:val="bottom"/>
          </w:tcPr>
          <w:p>
            <w:pPr>
              <w:spacing w:after="0"/>
              <w:rPr>
                <w:sz w:val="23"/>
                <w:szCs w:val="23"/>
                <w:color w:val="auto"/>
              </w:rPr>
            </w:pPr>
          </w:p>
        </w:tc>
        <w:tc>
          <w:tcPr>
            <w:tcW w:w="3200" w:type="dxa"/>
            <w:vAlign w:val="bottom"/>
          </w:tcPr>
          <w:p>
            <w:pPr>
              <w:ind w:left="2300"/>
              <w:spacing w:after="0"/>
              <w:rPr>
                <w:sz w:val="20"/>
                <w:szCs w:val="20"/>
                <w:color w:val="auto"/>
              </w:rPr>
            </w:pPr>
            <w:r>
              <w:rPr>
                <w:rFonts w:ascii="Arial" w:cs="Arial" w:eastAsia="Arial" w:hAnsi="Arial"/>
                <w:sz w:val="18"/>
                <w:szCs w:val="18"/>
                <w:color w:val="auto"/>
              </w:rPr>
              <w:t>Title:</w:t>
            </w:r>
          </w:p>
        </w:tc>
        <w:tc>
          <w:tcPr>
            <w:tcW w:w="45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34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60"/>
        </w:trPr>
        <w:tc>
          <w:tcPr>
            <w:tcW w:w="3480" w:type="dxa"/>
            <w:vAlign w:val="bottom"/>
          </w:tcPr>
          <w:p>
            <w:pPr>
              <w:spacing w:after="0"/>
              <w:rPr>
                <w:sz w:val="20"/>
                <w:szCs w:val="20"/>
                <w:color w:val="auto"/>
              </w:rPr>
            </w:pPr>
            <w:r>
              <w:rPr>
                <w:rFonts w:ascii="Arial" w:cs="Arial" w:eastAsia="Arial" w:hAnsi="Arial"/>
                <w:sz w:val="18"/>
                <w:szCs w:val="18"/>
                <w:color w:val="auto"/>
              </w:rPr>
              <w:t>Date: May 12, 2023</w:t>
            </w:r>
          </w:p>
        </w:tc>
        <w:tc>
          <w:tcPr>
            <w:tcW w:w="3200" w:type="dxa"/>
            <w:vAlign w:val="bottom"/>
          </w:tcPr>
          <w:p>
            <w:pPr>
              <w:ind w:left="230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Nitesh Sharan</w:t>
            </w:r>
          </w:p>
        </w:tc>
      </w:tr>
      <w:tr>
        <w:trPr>
          <w:trHeight w:val="243"/>
        </w:trPr>
        <w:tc>
          <w:tcPr>
            <w:tcW w:w="3480" w:type="dxa"/>
            <w:vAlign w:val="bottom"/>
          </w:tcPr>
          <w:p>
            <w:pPr>
              <w:spacing w:after="0"/>
              <w:rPr>
                <w:sz w:val="21"/>
                <w:szCs w:val="21"/>
                <w:color w:val="auto"/>
              </w:rPr>
            </w:pPr>
          </w:p>
        </w:tc>
        <w:tc>
          <w:tcPr>
            <w:tcW w:w="3200" w:type="dxa"/>
            <w:vAlign w:val="bottom"/>
          </w:tcPr>
          <w:p>
            <w:pPr>
              <w:ind w:left="2300"/>
              <w:spacing w:after="0"/>
              <w:rPr>
                <w:sz w:val="20"/>
                <w:szCs w:val="20"/>
                <w:color w:val="auto"/>
              </w:rPr>
            </w:pPr>
            <w:r>
              <w:rPr>
                <w:rFonts w:ascii="Arial" w:cs="Arial" w:eastAsia="Arial" w:hAnsi="Arial"/>
                <w:sz w:val="18"/>
                <w:szCs w:val="18"/>
                <w:color w:val="auto"/>
              </w:rPr>
              <w:t>Name:</w:t>
            </w:r>
          </w:p>
        </w:tc>
        <w:tc>
          <w:tcPr>
            <w:tcW w:w="4540" w:type="dxa"/>
            <w:vAlign w:val="bottom"/>
          </w:tcPr>
          <w:p>
            <w:pPr>
              <w:ind w:left="20"/>
              <w:spacing w:after="0"/>
              <w:rPr>
                <w:sz w:val="20"/>
                <w:szCs w:val="20"/>
                <w:color w:val="auto"/>
              </w:rPr>
            </w:pPr>
            <w:r>
              <w:rPr>
                <w:rFonts w:ascii="Arial" w:cs="Arial" w:eastAsia="Arial" w:hAnsi="Arial"/>
                <w:sz w:val="18"/>
                <w:szCs w:val="18"/>
                <w:color w:val="auto"/>
              </w:rPr>
              <w:t>Nitesh Sharan</w:t>
            </w:r>
          </w:p>
        </w:tc>
      </w:tr>
      <w:tr>
        <w:trPr>
          <w:trHeight w:val="270"/>
        </w:trPr>
        <w:tc>
          <w:tcPr>
            <w:tcW w:w="3480" w:type="dxa"/>
            <w:vAlign w:val="bottom"/>
          </w:tcPr>
          <w:p>
            <w:pPr>
              <w:spacing w:after="0"/>
              <w:rPr>
                <w:sz w:val="23"/>
                <w:szCs w:val="23"/>
                <w:color w:val="auto"/>
              </w:rPr>
            </w:pPr>
          </w:p>
        </w:tc>
        <w:tc>
          <w:tcPr>
            <w:tcW w:w="3200" w:type="dxa"/>
            <w:vAlign w:val="bottom"/>
          </w:tcPr>
          <w:p>
            <w:pPr>
              <w:ind w:left="2300"/>
              <w:spacing w:after="0"/>
              <w:rPr>
                <w:sz w:val="20"/>
                <w:szCs w:val="20"/>
                <w:color w:val="auto"/>
              </w:rPr>
            </w:pPr>
            <w:r>
              <w:rPr>
                <w:rFonts w:ascii="Arial" w:cs="Arial" w:eastAsia="Arial" w:hAnsi="Arial"/>
                <w:sz w:val="18"/>
                <w:szCs w:val="18"/>
                <w:color w:val="auto"/>
              </w:rPr>
              <w:t>Title:</w:t>
            </w:r>
          </w:p>
        </w:tc>
        <w:tc>
          <w:tcPr>
            <w:tcW w:w="45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4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932"/>
        </w:trPr>
        <w:tc>
          <w:tcPr>
            <w:tcW w:w="3480" w:type="dxa"/>
            <w:vAlign w:val="bottom"/>
          </w:tcPr>
          <w:p>
            <w:pPr>
              <w:spacing w:after="0"/>
              <w:rPr>
                <w:sz w:val="24"/>
                <w:szCs w:val="24"/>
                <w:color w:val="auto"/>
              </w:rPr>
            </w:pPr>
          </w:p>
        </w:tc>
        <w:tc>
          <w:tcPr>
            <w:tcW w:w="3200" w:type="dxa"/>
            <w:vAlign w:val="bottom"/>
          </w:tcPr>
          <w:p>
            <w:pPr>
              <w:ind w:left="2040"/>
              <w:spacing w:after="0"/>
              <w:rPr>
                <w:sz w:val="20"/>
                <w:szCs w:val="20"/>
                <w:color w:val="auto"/>
              </w:rPr>
            </w:pPr>
            <w:r>
              <w:rPr>
                <w:rFonts w:ascii="Arial" w:cs="Arial" w:eastAsia="Arial" w:hAnsi="Arial"/>
                <w:sz w:val="18"/>
                <w:szCs w:val="18"/>
                <w:color w:val="auto"/>
              </w:rPr>
              <w:t>43</w:t>
            </w:r>
          </w:p>
        </w:tc>
        <w:tc>
          <w:tcPr>
            <w:tcW w:w="45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lowerRoman"/>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4"/>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6"/>
    </w:lvl>
  </w:abstractNum>
  <w:abstractNum w:abstractNumId="9">
    <w:nsid w:val="109CF92E"/>
    <w:multiLevelType w:val="hybridMultilevel"/>
    <w:lvl w:ilvl="0">
      <w:lvlJc w:val="left"/>
      <w:lvlText w:val="%1."/>
      <w:numFmt w:val="decimal"/>
      <w:start w:val="16"/>
    </w:lvl>
  </w:abstractNum>
  <w:abstractNum w:abstractNumId="10">
    <w:nsid w:val="DED7263"/>
    <w:multiLevelType w:val="hybridMultilevel"/>
    <w:lvl w:ilvl="0">
      <w:lvlJc w:val="left"/>
      <w:lvlText w:val="(%1)"/>
      <w:numFmt w:val="lowerRoman"/>
      <w:start w:val="3"/>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lowerRoman"/>
      <w:start w:val="2"/>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5" Type="http://schemas.openxmlformats.org/officeDocument/2006/relationships/image" Target="media/image72.png"/><Relationship Id="rId79" Type="http://schemas.openxmlformats.org/officeDocument/2006/relationships/hyperlink" Target="http://www.sec.gov/Archives/edgar/data/1840856/000184085623000031/a41formofclassacommonstock.htm" TargetMode="External"/><Relationship Id="rId80" Type="http://schemas.openxmlformats.org/officeDocument/2006/relationships/hyperlink" Target="http://www.sec.gov/Archives/edgar/data/1840856/000184085623000031/a101seniorsecuredtermloanc.htm" TargetMode="External"/><Relationship Id="rId81" Type="http://schemas.openxmlformats.org/officeDocument/2006/relationships/hyperlink" Target="http://www.sec.gov/Archives/edgar/data/1840856/000184085623000031/soun-20230331x10qxexx311.htm" TargetMode="External"/><Relationship Id="rId82" Type="http://schemas.openxmlformats.org/officeDocument/2006/relationships/hyperlink" Target="http://www.sec.gov/Archives/edgar/data/1840856/000184085623000031/soun-20230331x10qxexx312.htm" TargetMode="External"/><Relationship Id="rId83" Type="http://schemas.openxmlformats.org/officeDocument/2006/relationships/hyperlink" Target="http://www.sec.gov/Archives/edgar/data/1840856/000184085623000031/soun-20230331x10qxexx321.htm" TargetMode="External"/><Relationship Id="rId84" Type="http://schemas.openxmlformats.org/officeDocument/2006/relationships/hyperlink" Target="http://www.sec.gov/Archives/edgar/data/1840856/000184085623000031/soun-20230331x10qxexx3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2023-05-19T06:13:13Z</dcterms:created>
  <dcterms:modified xsi:type="dcterms:W3CDTF">2023-05-19T06:13:13Z</dcterms:modified>
</cp:coreProperties>
</file>