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4183-s8_soundhound.htm"/>
      <w:bookmarkStart w:id="1" w:name="ksea0304183s8_soundhound"/>
      <w:bookmarkEnd w:id="0"/>
      <w:bookmarkEnd w:id="1"/>
      <w:r>
        <w:rPr>
          <w:b/>
        </w:rPr>
        <w:t xml:space="preserve">As filed with the Securities and Exchange Commission on September 4, 2026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333-_________</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86-1286799</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95054</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LivePerson, Inc. 2019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LivePerson, Inc. 2018 Inducement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Keyvan Mohajer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 441-3200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 Schleusener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Lauren Lefcoe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Kaj Nielsen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Latham &amp; Watkins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 North Wabash Avenue, Suite 2800</w:t>
        <w:br/>
        <w:t>Chicago, IL 60611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(312) 876-7700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365" w:type="dxa"/>
            <w:gridSpan w:val="2"/>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REGISTRATION OF ADDITIONAL SECURITIES PURSUANT TO GENERAL INSTRUCTION E OF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LivePerson, Inc. (“LivePerson”), SoundHound AI, Inc. (“SoundHound”, the “Registrant,” the “Company,” “us,” “our,” or “we”) and Lightspeed Merger Sub, Inc., an indirect, wholly owned subsidiary of SoundHound (“Merger Sub I”), entered into a Merger Agreement (the “Original Merger Agreement”), which was amended and restated on July 2, 2026, by the Amended and Restated Merger Agreement, by and among LivePerson, SoundHound, Merger Sub I and Lightspeed Merger Sub II Inc., an indirect, wholly owned subsidiary of SoundHound (“Merger Sub II”) (as it may be further amended from time to time, the “Merger Agreement”), under which, upon the terms and subject to the conditions set forth therein, Merger Sub I was merged with and into LivePerson (the “First Merger”), with LivePerson surviving the First Merger as an indirect, wholly owned subsidiary of SoundHound and, immediately following the First Merger, Merger Sub II was merged with and into LivePerson (the “Second Merger,” and together with the First Merger, the “Mergers”), with LivePerson surviving the Second Merger as an indirect, wholly owned subsidiary of SoundHound. On September 4, 2026, the Company completed the Mergers.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SoundHound to register 220,285 shares of our Class A common stock, par value $0.0001 per share (the “Common Stock”), which may be offered and sold pursuant to SoundHound’s assumption of certain outstanding awards of unvested restricted stock units of LivePerson, in each case, pursuant to the Amended and Restated LivePerson, Inc. 2019 Stock Incentive Plan (the “LivePerson 2019 Incentive Plan”) and the Amended and Restated LivePerson, Inc. 2018 Inducement Plan (together with the LivePerson 2019 Incentive Plan, the “LivePerson Equity Plans”). Such assumed LivePerson equity awards were converted into SoundHound equity awards in accordance with the Merger Agreement. The Registrant assumed the LivePerson Equity Plans and such awards thereunder and converted such awards into restricted stock units of the Registrant in connection with the Mergers. Such assumed equity awards are subject to substantially the same terms and conditions that were applicable to the corresponding awards granted under the applicable LivePerson Equity Plan, except that (i) the assumed equity awards relate to the Common Stock, and (ii) the number of shares of Common Stock subject to each such assumed equity award is the result of an adjustment based upon a conversion ratio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Section 10(a) Prospectus</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by Part I of Form S-8 to be contained in the Section 10(a) prospectus is omitted from this Registration Statement in accordance with Rule 428 under the Securities Act of 1933, as amended (the “Securities Act”). The documents containing the information specified in Part I of Form S-8 will be sent or given to the participants in the LivePerson Equity Plans that receive equity awards in connection with the Mergers as specified by Rule 428(b)(1) under the Securities Act.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documents need not be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Registration Statement certain documents we file with the Commission, which means that we can disclose important information to you by referring you to those documents. The information in the documents incorporated by reference is considered to be part of this Registration Statement. Statements contained in documents that we file with the Commission and that are incorporated by reference in this Registration Statement will automatically update and supersede information contained in this Registration Statement, including information in previously filed documents or reports that have been incorporated by reference in this Registration Statement, to the extent the new information differs from or is inconsistent with the old information. We have filed or may file the following documents with the Commission and they are incorporated herein by reference as of their respective dates of filing.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both"/>
              <w:rPr/>
            </w:pPr>
            <w:r>
              <w:rPr/>
              <w:t xml:space="preserve">Our Annual Report on </w:t>
            </w:r>
            <w:hyperlink r:id="rId2">
              <w:r>
                <w:rPr>
                  <w:rStyle w:val="InternetLink"/>
                </w:rPr>
                <w:t>Form 10-K</w:t>
              </w:r>
            </w:hyperlink>
            <w:r>
              <w:rPr/>
              <w:t xml:space="preserve"> for the year ended December 31, 2025, filed with the SEC on March 2, 2026;</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 xml:space="preserve">Our Quarterly Reports on Form 10-Q for the quarters ended March 31, 2026 and June 30, 2026, filed with the SEC on </w:t>
            </w:r>
            <w:hyperlink r:id="rId3">
              <w:r>
                <w:rPr>
                  <w:rStyle w:val="InternetLink"/>
                </w:rPr>
                <w:t>May 11, 2026</w:t>
              </w:r>
            </w:hyperlink>
            <w:r>
              <w:rPr/>
              <w:t xml:space="preserve"> and </w:t>
            </w:r>
            <w:hyperlink r:id="rId4">
              <w:r>
                <w:rPr>
                  <w:rStyle w:val="InternetLink"/>
                </w:rPr>
                <w:t>August 10, 2026</w:t>
              </w:r>
            </w:hyperlink>
            <w:r>
              <w:rPr/>
              <w:t>, respectively;</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(iii)</w:t>
            </w:r>
          </w:p>
        </w:tc>
        <w:tc>
          <w:tcPr>
            <w:tcW w:w="9851" w:type="dxa"/>
            <w:tcBorders/>
            <w:vAlign w:val="center"/>
          </w:tcPr>
          <w:p>
            <w:pPr>
              <w:pStyle w:val="TableContents"/>
              <w:bidi w:val="0"/>
              <w:spacing w:before="0" w:after="283"/>
              <w:jc w:val="both"/>
              <w:rPr/>
            </w:pPr>
            <w:r>
              <w:rPr/>
              <w:t xml:space="preserve">Our Current Reports on Form 8-K filed with the SEC on </w:t>
            </w:r>
            <w:hyperlink r:id="rId5">
              <w:r>
                <w:rPr>
                  <w:rStyle w:val="InternetLink"/>
                </w:rPr>
                <w:t>March 18, 2026</w:t>
              </w:r>
            </w:hyperlink>
            <w:r>
              <w:rPr/>
              <w:t xml:space="preserve">, </w:t>
            </w:r>
            <w:hyperlink r:id="rId6">
              <w:r>
                <w:rPr>
                  <w:rStyle w:val="InternetLink"/>
                </w:rPr>
                <w:t>April 21, 2026</w:t>
              </w:r>
            </w:hyperlink>
            <w:r>
              <w:rPr/>
              <w:t xml:space="preserve">, </w:t>
            </w:r>
            <w:hyperlink r:id="rId7">
              <w:r>
                <w:rPr>
                  <w:rStyle w:val="InternetLink"/>
                </w:rPr>
                <w:t>May 27, 2026</w:t>
              </w:r>
            </w:hyperlink>
            <w:r>
              <w:rPr/>
              <w:t xml:space="preserve">, </w:t>
            </w:r>
            <w:hyperlink r:id="rId8">
              <w:r>
                <w:rPr>
                  <w:rStyle w:val="InternetLink"/>
                </w:rPr>
                <w:t>July 2, 2026</w:t>
              </w:r>
            </w:hyperlink>
            <w:r>
              <w:rPr/>
              <w:t xml:space="preserve">, </w:t>
            </w:r>
            <w:hyperlink r:id="rId9">
              <w:r>
                <w:rPr>
                  <w:rStyle w:val="InternetLink"/>
                </w:rPr>
                <w:t>July 13, 2026</w:t>
              </w:r>
            </w:hyperlink>
            <w:r>
              <w:rPr/>
              <w:t xml:space="preserve">, </w:t>
            </w:r>
            <w:hyperlink r:id="rId10">
              <w:r>
                <w:rPr>
                  <w:rStyle w:val="InternetLink"/>
                </w:rPr>
                <w:t>July 24, 2026</w:t>
              </w:r>
            </w:hyperlink>
            <w:r>
              <w:rPr/>
              <w:t xml:space="preserve">, and </w:t>
            </w:r>
            <w:hyperlink r:id="rId11">
              <w:r>
                <w:rPr>
                  <w:rStyle w:val="InternetLink"/>
                </w:rPr>
                <w:t>September 2, 2026</w:t>
              </w:r>
            </w:hyperlink>
            <w:r>
              <w:rPr/>
              <w:t>; and</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(iv)</w:t>
            </w:r>
          </w:p>
        </w:tc>
        <w:tc>
          <w:tcPr>
            <w:tcW w:w="9873" w:type="dxa"/>
            <w:tcBorders/>
            <w:vAlign w:val="center"/>
          </w:tcPr>
          <w:p>
            <w:pPr>
              <w:pStyle w:val="TableContents"/>
              <w:bidi w:val="0"/>
              <w:spacing w:before="0" w:after="283"/>
              <w:jc w:val="both"/>
              <w:rPr/>
            </w:pPr>
            <w:r>
              <w:rPr/>
              <w:t xml:space="preserve">The description of our Common Stock and warrants contained in our Registration Statement on </w:t>
            </w:r>
            <w:hyperlink r:id="rId12">
              <w:r>
                <w:rPr>
                  <w:rStyle w:val="InternetLink"/>
                </w:rPr>
                <w:t>Form 8-A</w:t>
              </w:r>
            </w:hyperlink>
            <w:r>
              <w:rPr/>
              <w:t xml:space="preserve"> filed with the SEC on March 10, 2021 and the Description of Securities filed as </w:t>
            </w:r>
            <w:hyperlink r:id="rId13">
              <w:r>
                <w:rPr>
                  <w:rStyle w:val="InternetLink"/>
                </w:rPr>
                <w:t>Exhibit 4.5</w:t>
              </w:r>
            </w:hyperlink>
            <w:r>
              <w:rPr/>
              <w:t xml:space="preserve"> to our Annual Report on </w:t>
            </w:r>
            <w:hyperlink r:id="rId14">
              <w:r>
                <w:rPr>
                  <w:rStyle w:val="InternetLink"/>
                </w:rPr>
                <w:t>Form 10-K</w:t>
              </w:r>
            </w:hyperlink>
            <w:r>
              <w:rPr/>
              <w:t xml:space="preserve"> for the fiscal year ended December 31, 2022, including any amendments or reports filed for the purpose of updating such information.</w:t>
            </w:r>
          </w:p>
        </w:tc>
      </w:tr>
    </w:tbl>
    <w:p>
      <w:pPr>
        <w:pStyle w:val="TextBody"/>
        <w:shd w:fill="FFFFFF" w:val="clear"/>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filed with the Commission pursuant to Sections 13(a), 13(c), 14, and 15(d) of the Securities Exchange Act of 1934, as amended (the “Exchange Act”), subsequent to the date of this Registration Statement that indicates that all securities offered under this Registration Statement have been sold, or that deregisters all securities then remaining unsold, will be deemed to be incorporated in this Registration Statement by reference and to be a part hereof from the date of filing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Registration Statement shall be deemed modified, superseded or replaced for purposes of this Registration Statement to the extent that a statement contained in this Registration Statement, or in any subsequently filed document that also is deemed to be incorporated by reference in this Registration Statement, modifies, supersedes or replaces such statement. Any statement so modified, superseded or replaced shall not be deemed, except as so modified, superseded or replaced, to constitute a part of this Registration Statement.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Registration Statement, except as otherwise expressly set forth in the relevant document. Subject to the foregoing, all information appearing in this Registration Statement is qualified in its entirety by the information appearing in the documents incorporated by reference.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Officers and Directors</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 of the Delaware General Corporation Law, we have adopted provisions in our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shd w:fill="FFFFFF" w:val="clear"/>
        <w:bidi w:val="0"/>
        <w:spacing w:before="0" w:after="0"/>
        <w:ind w:left="960" w:right="0" w:hanging="48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any breach of the director’s duty of loyalty to us or our stockholders;</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act related to unlawful stock repurchases, redemptions or other distributions or payment of dividends; or</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adopted provisions in our Restated Certificate of Incorporation to limit or eliminate monetary liability of certain officers of the Company for certain breaches of the fiduciary duty of care to the fullest extent permitted by the Delaware General Corporation Law. In accordance with Delaware law, our Restated Certificate of Incorporation exculpates certain officers only in connection with direct claims brought by stockholders, including class actions, and does not eliminate or limit liability for breaches of the duty of loyalty, acts or omissions not in good faith or that involve intentional misconduct or a knowing violation of law, or any transaction in which the officer derived an improper personal benefit. Nor does our Restated Certificate of Incorporation exculpate such officers from liability for claims brought by or in the right of the corporation, such as derivative claims.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affect the availability of equitable remedies such as injunctive relief or rescission. Our Restated Certificate of Incorporation also authorizes us to indemnify our officers, directors and other agents to the fullest extent permitted under Delaware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 of the Delaware General Corporation Law, our Amended and Restated Bylaws provide that:</w:t>
      </w:r>
    </w:p>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indemnify our directors, officers and employees to the fullest extent permitted by the Delaware General Corporation Law, subject to limited exceptions;</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advance expenses to our directors, officers and employees in connection with a legal proceeding to the fullest extent permitted by the Delaware General Corporation Law, subject to limited exceptions; and</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170"/>
        <w:gridCol w:w="7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the rights provided in our Amended and Restated Bylaws are not exclusive.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firstLine="44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firstLine="441"/>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spacing w:before="0" w:after="0"/>
        <w:ind w:left="0" w:right="0" w:firstLine="441"/>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4863"/>
        <w:gridCol w:w="60"/>
        <w:gridCol w:w="2021"/>
        <w:gridCol w:w="60"/>
        <w:gridCol w:w="770"/>
        <w:gridCol w:w="60"/>
        <w:gridCol w:w="1421"/>
      </w:tblGrid>
      <w:tr>
        <w:trPr/>
        <w:tc>
          <w:tcPr>
            <w:tcW w:w="890" w:type="dxa"/>
            <w:tcBorders/>
            <w:vAlign w:val="center"/>
          </w:tcPr>
          <w:p>
            <w:pPr>
              <w:pStyle w:val="TableContents"/>
              <w:bidi w:val="0"/>
              <w:spacing w:before="0" w:after="283"/>
              <w:jc w:val="left"/>
              <w:rPr>
                <w:b/>
              </w:rPr>
            </w:pPr>
            <w:r>
              <w:rPr>
                <w:b/>
              </w:rPr>
              <w:t>Exhibit</w:t>
            </w:r>
          </w:p>
        </w:tc>
        <w:tc>
          <w:tcPr>
            <w:tcW w:w="60" w:type="dxa"/>
            <w:tcBorders/>
            <w:vAlign w:val="center"/>
          </w:tcPr>
          <w:p>
            <w:pPr>
              <w:pStyle w:val="TableContents"/>
              <w:bidi w:val="0"/>
              <w:spacing w:before="0" w:after="283"/>
              <w:jc w:val="center"/>
              <w:rPr/>
            </w:pPr>
            <w:r>
              <w:rPr/>
              <w:t> </w:t>
            </w:r>
          </w:p>
        </w:tc>
        <w:tc>
          <w:tcPr>
            <w:tcW w:w="48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332"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890" w:type="dxa"/>
            <w:tcBorders>
              <w:bottom w:val="single" w:sz="12" w:space="0" w:color="000000"/>
            </w:tcBorders>
            <w:tcMar>
              <w:bottom w:w="28" w:type="dxa"/>
            </w:tcMar>
            <w:vAlign w:val="center"/>
          </w:tcPr>
          <w:p>
            <w:pPr>
              <w:pStyle w:val="TableContents"/>
              <w:bidi w:val="0"/>
              <w:spacing w:before="0" w:after="283"/>
              <w:jc w:val="left"/>
              <w:rPr>
                <w:b/>
              </w:rPr>
            </w:pPr>
            <w:r>
              <w:rPr>
                <w:b/>
              </w:rPr>
              <w:t>Number</w:t>
            </w:r>
          </w:p>
        </w:tc>
        <w:tc>
          <w:tcPr>
            <w:tcW w:w="60" w:type="dxa"/>
            <w:tcBorders/>
            <w:vAlign w:val="center"/>
          </w:tcPr>
          <w:p>
            <w:pPr>
              <w:pStyle w:val="TableContents"/>
              <w:bidi w:val="0"/>
              <w:spacing w:before="0" w:after="283"/>
              <w:jc w:val="center"/>
              <w:rPr/>
            </w:pPr>
            <w:r>
              <w:rPr/>
              <w:t> </w:t>
            </w:r>
          </w:p>
        </w:tc>
        <w:tc>
          <w:tcPr>
            <w:tcW w:w="4863" w:type="dxa"/>
            <w:tcBorders>
              <w:bottom w:val="single" w:sz="12" w:space="0" w:color="000000"/>
            </w:tcBorders>
            <w:tcMar>
              <w:bottom w:w="28" w:type="dxa"/>
            </w:tcMar>
            <w:vAlign w:val="center"/>
          </w:tcPr>
          <w:p>
            <w:pPr>
              <w:pStyle w:val="TableContents"/>
              <w:bidi w:val="0"/>
              <w:spacing w:before="0" w:after="283"/>
              <w:jc w:val="center"/>
              <w:rPr>
                <w:b/>
              </w:rPr>
            </w:pPr>
            <w:r>
              <w:rPr>
                <w:b/>
              </w:rPr>
              <w:t>Description</w:t>
            </w:r>
          </w:p>
        </w:tc>
        <w:tc>
          <w:tcPr>
            <w:tcW w:w="60" w:type="dxa"/>
            <w:tcBorders/>
            <w:vAlign w:val="center"/>
          </w:tcPr>
          <w:p>
            <w:pPr>
              <w:pStyle w:val="TableContents"/>
              <w:bidi w:val="0"/>
              <w:spacing w:before="0" w:after="283"/>
              <w:jc w:val="center"/>
              <w:rPr/>
            </w:pPr>
            <w:r>
              <w:rPr/>
              <w:t> </w:t>
            </w:r>
          </w:p>
        </w:tc>
        <w:tc>
          <w:tcPr>
            <w:tcW w:w="2021" w:type="dxa"/>
            <w:tcBorders>
              <w:bottom w:val="single" w:sz="12"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center"/>
              <w:rPr/>
            </w:pPr>
            <w:r>
              <w:rPr/>
              <w:t> </w:t>
            </w:r>
          </w:p>
        </w:tc>
        <w:tc>
          <w:tcPr>
            <w:tcW w:w="770" w:type="dxa"/>
            <w:tcBorders>
              <w:bottom w:val="single" w:sz="12"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center"/>
              <w:rPr/>
            </w:pPr>
            <w:r>
              <w:rPr/>
              <w:t> </w:t>
            </w:r>
          </w:p>
        </w:tc>
        <w:tc>
          <w:tcPr>
            <w:tcW w:w="1421" w:type="dxa"/>
            <w:tcBorders>
              <w:bottom w:val="single" w:sz="12" w:space="0" w:color="000000"/>
            </w:tcBorders>
            <w:tcMar>
              <w:bottom w:w="28" w:type="dxa"/>
            </w:tcMar>
            <w:vAlign w:val="center"/>
          </w:tcPr>
          <w:p>
            <w:pPr>
              <w:pStyle w:val="TableContents"/>
              <w:bidi w:val="0"/>
              <w:spacing w:before="0" w:after="283"/>
              <w:jc w:val="center"/>
              <w:rPr>
                <w:b/>
              </w:rPr>
            </w:pPr>
            <w:r>
              <w:rPr>
                <w:b/>
              </w:rPr>
              <w:t>Filing Date</w:t>
            </w:r>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1" w:type="dxa"/>
            <w:tcBorders/>
            <w:vAlign w:val="center"/>
          </w:tcPr>
          <w:p>
            <w:pPr>
              <w:pStyle w:val="TableContents"/>
              <w:bidi w:val="0"/>
              <w:spacing w:before="0" w:after="283"/>
              <w:jc w:val="center"/>
              <w:rPr/>
            </w:pPr>
            <w:r>
              <w:rPr/>
              <w:t> </w:t>
            </w:r>
          </w:p>
        </w:tc>
      </w:tr>
      <w:tr>
        <w:trPr/>
        <w:tc>
          <w:tcPr>
            <w:tcW w:w="890" w:type="dxa"/>
            <w:tcBorders/>
            <w:shd w:fill="CCEEFF" w:val="clear"/>
            <w:vAlign w:val="center"/>
          </w:tcPr>
          <w:p>
            <w:pPr>
              <w:pStyle w:val="TableContents"/>
              <w:bidi w:val="0"/>
              <w:spacing w:before="0" w:after="283"/>
              <w:jc w:val="left"/>
              <w:rPr/>
            </w:pPr>
            <w:r>
              <w:rPr/>
              <w:t>4.1</w:t>
            </w:r>
          </w:p>
        </w:tc>
        <w:tc>
          <w:tcPr>
            <w:tcW w:w="60" w:type="dxa"/>
            <w:tcBorders/>
            <w:shd w:fill="CCEEFF" w:val="clear"/>
            <w:vAlign w:val="center"/>
          </w:tcPr>
          <w:p>
            <w:pPr>
              <w:pStyle w:val="TableContents"/>
              <w:bidi w:val="0"/>
              <w:spacing w:before="0" w:after="283"/>
              <w:jc w:val="left"/>
              <w:rPr/>
            </w:pPr>
            <w:r>
              <w:rPr/>
              <w:t> </w:t>
            </w:r>
          </w:p>
        </w:tc>
        <w:tc>
          <w:tcPr>
            <w:tcW w:w="4863" w:type="dxa"/>
            <w:tcBorders/>
            <w:shd w:fill="CCEEFF" w:val="clear"/>
            <w:vAlign w:val="center"/>
          </w:tcPr>
          <w:p>
            <w:pPr>
              <w:pStyle w:val="TableContents"/>
              <w:bidi w:val="0"/>
              <w:spacing w:before="0" w:after="283"/>
              <w:jc w:val="left"/>
              <w:rPr/>
            </w:pPr>
            <w:hyperlink r:id="rId15">
              <w:r>
                <w:rPr>
                  <w:rStyle w:val="InternetLink"/>
                </w:rPr>
                <w:t>Amended and Restated LivePerson, Inc. 2019 Stock Incentive Plan.</w:t>
              </w:r>
            </w:hyperlink>
          </w:p>
        </w:tc>
        <w:tc>
          <w:tcPr>
            <w:tcW w:w="60" w:type="dxa"/>
            <w:tcBorders/>
            <w:shd w:fill="CCEEFF" w:val="clear"/>
            <w:vAlign w:val="center"/>
          </w:tcPr>
          <w:p>
            <w:pPr>
              <w:pStyle w:val="TableContents"/>
              <w:bidi w:val="0"/>
              <w:spacing w:before="0" w:after="283"/>
              <w:jc w:val="center"/>
              <w:rPr/>
            </w:pPr>
            <w:r>
              <w:rPr/>
              <w:t> </w:t>
            </w:r>
          </w:p>
        </w:tc>
        <w:tc>
          <w:tcPr>
            <w:tcW w:w="2021" w:type="dxa"/>
            <w:tcBorders/>
            <w:shd w:fill="CCEEFF" w:val="clear"/>
            <w:vAlign w:val="center"/>
          </w:tcPr>
          <w:p>
            <w:pPr>
              <w:pStyle w:val="TableContents"/>
              <w:bidi w:val="0"/>
              <w:spacing w:before="0" w:after="283"/>
              <w:jc w:val="center"/>
              <w:rPr/>
            </w:pPr>
            <w:r>
              <w:rPr/>
              <w:t xml:space="preserve">Form 8-K of LivePerson, Inc.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10.1</w:t>
            </w:r>
          </w:p>
        </w:tc>
        <w:tc>
          <w:tcPr>
            <w:tcW w:w="60"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center"/>
              <w:rPr/>
            </w:pPr>
            <w:r>
              <w:rPr/>
              <w:t>November 26, 2024</w:t>
            </w:r>
          </w:p>
        </w:tc>
      </w:tr>
      <w:tr>
        <w:trPr/>
        <w:tc>
          <w:tcPr>
            <w:tcW w:w="890" w:type="dxa"/>
            <w:tcBorders/>
            <w:shd w:fill="FFFFFF" w:val="clear"/>
            <w:vAlign w:val="center"/>
          </w:tcPr>
          <w:p>
            <w:pPr>
              <w:pStyle w:val="TableContents"/>
              <w:bidi w:val="0"/>
              <w:spacing w:before="0" w:after="283"/>
              <w:jc w:val="left"/>
              <w:rPr/>
            </w:pPr>
            <w:r>
              <w:rPr/>
              <w:t>4.2</w:t>
            </w:r>
          </w:p>
        </w:tc>
        <w:tc>
          <w:tcPr>
            <w:tcW w:w="60" w:type="dxa"/>
            <w:tcBorders/>
            <w:shd w:fill="FFFFFF" w:val="clear"/>
            <w:vAlign w:val="center"/>
          </w:tcPr>
          <w:p>
            <w:pPr>
              <w:pStyle w:val="TableContents"/>
              <w:bidi w:val="0"/>
              <w:spacing w:before="0" w:after="283"/>
              <w:jc w:val="left"/>
              <w:rPr/>
            </w:pPr>
            <w:r>
              <w:rPr/>
              <w:t> </w:t>
            </w:r>
          </w:p>
        </w:tc>
        <w:tc>
          <w:tcPr>
            <w:tcW w:w="4863" w:type="dxa"/>
            <w:tcBorders/>
            <w:shd w:fill="FFFFFF" w:val="clear"/>
            <w:vAlign w:val="center"/>
          </w:tcPr>
          <w:p>
            <w:pPr>
              <w:pStyle w:val="TableContents"/>
              <w:bidi w:val="0"/>
              <w:spacing w:before="0" w:after="283"/>
              <w:jc w:val="left"/>
              <w:rPr/>
            </w:pPr>
            <w:hyperlink r:id="rId16">
              <w:r>
                <w:rPr>
                  <w:rStyle w:val="InternetLink"/>
                </w:rPr>
                <w:t>Amendment to the Amended and Restated LivePerson, Inc. 2019 Stock Incentive Plan.</w:t>
              </w:r>
            </w:hyperlink>
          </w:p>
        </w:tc>
        <w:tc>
          <w:tcPr>
            <w:tcW w:w="60" w:type="dxa"/>
            <w:tcBorders/>
            <w:shd w:fill="FFFFFF" w:val="clear"/>
            <w:vAlign w:val="center"/>
          </w:tcPr>
          <w:p>
            <w:pPr>
              <w:pStyle w:val="TableContents"/>
              <w:bidi w:val="0"/>
              <w:spacing w:before="0" w:after="283"/>
              <w:jc w:val="center"/>
              <w:rPr/>
            </w:pPr>
            <w:r>
              <w:rPr/>
              <w:t> </w:t>
            </w:r>
          </w:p>
        </w:tc>
        <w:tc>
          <w:tcPr>
            <w:tcW w:w="2021" w:type="dxa"/>
            <w:tcBorders/>
            <w:shd w:fill="FFFFFF" w:val="clear"/>
            <w:vAlign w:val="center"/>
          </w:tcPr>
          <w:p>
            <w:pPr>
              <w:pStyle w:val="TableContents"/>
              <w:bidi w:val="0"/>
              <w:spacing w:before="0" w:after="283"/>
              <w:jc w:val="center"/>
              <w:rPr/>
            </w:pPr>
            <w:r>
              <w:rPr/>
              <w:t>Form 10-K/A of LivePerson,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10.12</w:t>
            </w:r>
          </w:p>
        </w:tc>
        <w:tc>
          <w:tcPr>
            <w:tcW w:w="60"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center"/>
              <w:rPr/>
            </w:pPr>
            <w:r>
              <w:rPr/>
              <w:t>April 30, 2026</w:t>
            </w:r>
          </w:p>
        </w:tc>
      </w:tr>
      <w:tr>
        <w:trPr/>
        <w:tc>
          <w:tcPr>
            <w:tcW w:w="890" w:type="dxa"/>
            <w:tcBorders/>
            <w:shd w:fill="CCEEFF" w:val="clear"/>
            <w:vAlign w:val="center"/>
          </w:tcPr>
          <w:p>
            <w:pPr>
              <w:pStyle w:val="TableContents"/>
              <w:bidi w:val="0"/>
              <w:spacing w:before="0" w:after="283"/>
              <w:jc w:val="left"/>
              <w:rPr/>
            </w:pPr>
            <w:r>
              <w:rPr/>
              <w:t>4.3</w:t>
            </w:r>
          </w:p>
        </w:tc>
        <w:tc>
          <w:tcPr>
            <w:tcW w:w="60" w:type="dxa"/>
            <w:tcBorders/>
            <w:shd w:fill="CCEEFF" w:val="clear"/>
            <w:vAlign w:val="center"/>
          </w:tcPr>
          <w:p>
            <w:pPr>
              <w:pStyle w:val="TableContents"/>
              <w:bidi w:val="0"/>
              <w:spacing w:before="0" w:after="283"/>
              <w:jc w:val="left"/>
              <w:rPr/>
            </w:pPr>
            <w:r>
              <w:rPr/>
              <w:t> </w:t>
            </w:r>
          </w:p>
        </w:tc>
        <w:tc>
          <w:tcPr>
            <w:tcW w:w="4863" w:type="dxa"/>
            <w:tcBorders/>
            <w:shd w:fill="CCEEFF" w:val="clear"/>
            <w:vAlign w:val="center"/>
          </w:tcPr>
          <w:p>
            <w:pPr>
              <w:pStyle w:val="TableContents"/>
              <w:bidi w:val="0"/>
              <w:spacing w:before="0" w:after="283"/>
              <w:jc w:val="left"/>
              <w:rPr/>
            </w:pPr>
            <w:hyperlink r:id="rId17">
              <w:r>
                <w:rPr>
                  <w:rStyle w:val="InternetLink"/>
                </w:rPr>
                <w:t>Amended and Restated LivePerson, Inc. 2018 Inducement Plan.</w:t>
              </w:r>
            </w:hyperlink>
          </w:p>
        </w:tc>
        <w:tc>
          <w:tcPr>
            <w:tcW w:w="60" w:type="dxa"/>
            <w:tcBorders/>
            <w:shd w:fill="CCEEFF" w:val="clear"/>
            <w:vAlign w:val="center"/>
          </w:tcPr>
          <w:p>
            <w:pPr>
              <w:pStyle w:val="TableContents"/>
              <w:bidi w:val="0"/>
              <w:spacing w:before="0" w:after="283"/>
              <w:jc w:val="center"/>
              <w:rPr/>
            </w:pPr>
            <w:r>
              <w:rPr/>
              <w:t> </w:t>
            </w:r>
          </w:p>
        </w:tc>
        <w:tc>
          <w:tcPr>
            <w:tcW w:w="2021" w:type="dxa"/>
            <w:tcBorders/>
            <w:shd w:fill="CCEEFF" w:val="clear"/>
            <w:vAlign w:val="center"/>
          </w:tcPr>
          <w:p>
            <w:pPr>
              <w:pStyle w:val="TableContents"/>
              <w:bidi w:val="0"/>
              <w:spacing w:before="0" w:after="283"/>
              <w:jc w:val="center"/>
              <w:rPr/>
            </w:pPr>
            <w:r>
              <w:rPr/>
              <w:t>Form S-8 of LivePerson,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99.3</w:t>
            </w:r>
          </w:p>
        </w:tc>
        <w:tc>
          <w:tcPr>
            <w:tcW w:w="60"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center"/>
              <w:rPr/>
            </w:pPr>
            <w:r>
              <w:rPr/>
              <w:t>December 16, 2024</w:t>
            </w:r>
          </w:p>
        </w:tc>
      </w:tr>
      <w:tr>
        <w:trPr/>
        <w:tc>
          <w:tcPr>
            <w:tcW w:w="890" w:type="dxa"/>
            <w:tcBorders/>
            <w:shd w:fill="FFFFFF" w:val="clear"/>
            <w:vAlign w:val="center"/>
          </w:tcPr>
          <w:p>
            <w:pPr>
              <w:pStyle w:val="TableContents"/>
              <w:bidi w:val="0"/>
              <w:spacing w:before="0" w:after="283"/>
              <w:jc w:val="left"/>
              <w:rPr/>
            </w:pPr>
            <w:r>
              <w:rPr/>
              <w:t>4.4</w:t>
            </w:r>
          </w:p>
        </w:tc>
        <w:tc>
          <w:tcPr>
            <w:tcW w:w="60" w:type="dxa"/>
            <w:tcBorders/>
            <w:shd w:fill="FFFFFF" w:val="clear"/>
            <w:vAlign w:val="center"/>
          </w:tcPr>
          <w:p>
            <w:pPr>
              <w:pStyle w:val="TableContents"/>
              <w:bidi w:val="0"/>
              <w:spacing w:before="0" w:after="283"/>
              <w:jc w:val="left"/>
              <w:rPr/>
            </w:pPr>
            <w:r>
              <w:rPr/>
              <w:t> </w:t>
            </w:r>
          </w:p>
        </w:tc>
        <w:tc>
          <w:tcPr>
            <w:tcW w:w="4863" w:type="dxa"/>
            <w:tcBorders/>
            <w:shd w:fill="FFFFFF" w:val="clear"/>
            <w:vAlign w:val="center"/>
          </w:tcPr>
          <w:p>
            <w:pPr>
              <w:pStyle w:val="TableContents"/>
              <w:bidi w:val="0"/>
              <w:spacing w:before="0" w:after="283"/>
              <w:jc w:val="left"/>
              <w:rPr/>
            </w:pPr>
            <w:hyperlink r:id="rId18">
              <w:r>
                <w:rPr>
                  <w:rStyle w:val="InternetLink"/>
                </w:rPr>
                <w:t>Amendment to the Amended and Restated LivePerson, Inc. 2018 Inducement Plan.</w:t>
              </w:r>
            </w:hyperlink>
          </w:p>
        </w:tc>
        <w:tc>
          <w:tcPr>
            <w:tcW w:w="60" w:type="dxa"/>
            <w:tcBorders/>
            <w:shd w:fill="FFFFFF" w:val="clear"/>
            <w:vAlign w:val="center"/>
          </w:tcPr>
          <w:p>
            <w:pPr>
              <w:pStyle w:val="TableContents"/>
              <w:bidi w:val="0"/>
              <w:spacing w:before="0" w:after="283"/>
              <w:jc w:val="center"/>
              <w:rPr/>
            </w:pPr>
            <w:r>
              <w:rPr/>
              <w:t> </w:t>
            </w:r>
          </w:p>
        </w:tc>
        <w:tc>
          <w:tcPr>
            <w:tcW w:w="2021" w:type="dxa"/>
            <w:tcBorders/>
            <w:shd w:fill="FFFFFF" w:val="clear"/>
            <w:vAlign w:val="center"/>
          </w:tcPr>
          <w:p>
            <w:pPr>
              <w:pStyle w:val="TableContents"/>
              <w:bidi w:val="0"/>
              <w:spacing w:before="0" w:after="283"/>
              <w:jc w:val="center"/>
              <w:rPr/>
            </w:pPr>
            <w:r>
              <w:rPr/>
              <w:t>Form S-8 of LivePerson,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99.4</w:t>
            </w:r>
          </w:p>
        </w:tc>
        <w:tc>
          <w:tcPr>
            <w:tcW w:w="60"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center"/>
              <w:rPr/>
            </w:pPr>
            <w:r>
              <w:rPr/>
              <w:t>December 16, 2024</w:t>
            </w:r>
          </w:p>
        </w:tc>
      </w:tr>
      <w:tr>
        <w:trPr/>
        <w:tc>
          <w:tcPr>
            <w:tcW w:w="890" w:type="dxa"/>
            <w:tcBorders/>
            <w:shd w:fill="CCEEFF" w:val="clear"/>
            <w:vAlign w:val="center"/>
          </w:tcPr>
          <w:p>
            <w:pPr>
              <w:pStyle w:val="TableContents"/>
              <w:bidi w:val="0"/>
              <w:spacing w:before="0" w:after="283"/>
              <w:jc w:val="left"/>
              <w:rPr/>
            </w:pPr>
            <w:r>
              <w:rPr/>
              <w:t>5.1*</w:t>
            </w:r>
          </w:p>
        </w:tc>
        <w:tc>
          <w:tcPr>
            <w:tcW w:w="60" w:type="dxa"/>
            <w:tcBorders/>
            <w:shd w:fill="CCEEFF" w:val="clear"/>
            <w:vAlign w:val="center"/>
          </w:tcPr>
          <w:p>
            <w:pPr>
              <w:pStyle w:val="TableContents"/>
              <w:bidi w:val="0"/>
              <w:spacing w:before="0" w:after="283"/>
              <w:jc w:val="left"/>
              <w:rPr/>
            </w:pPr>
            <w:r>
              <w:rPr/>
              <w:t> </w:t>
            </w:r>
          </w:p>
        </w:tc>
        <w:tc>
          <w:tcPr>
            <w:tcW w:w="4863" w:type="dxa"/>
            <w:tcBorders/>
            <w:shd w:fill="CCEEFF" w:val="clear"/>
            <w:vAlign w:val="center"/>
          </w:tcPr>
          <w:p>
            <w:pPr>
              <w:pStyle w:val="TableContents"/>
              <w:bidi w:val="0"/>
              <w:spacing w:before="0" w:after="283"/>
              <w:jc w:val="left"/>
              <w:rPr/>
            </w:pPr>
            <w:hyperlink w:anchor="ea030418301ex5-1.htm">
              <w:r>
                <w:rPr>
                  <w:rStyle w:val="InternetLink"/>
                </w:rPr>
                <w:t>Opinion of Latham &amp; Watkins LLP</w:t>
              </w:r>
            </w:hyperlink>
          </w:p>
        </w:tc>
        <w:tc>
          <w:tcPr>
            <w:tcW w:w="60" w:type="dxa"/>
            <w:tcBorders/>
            <w:shd w:fill="CCEEFF" w:val="clear"/>
            <w:vAlign w:val="center"/>
          </w:tcPr>
          <w:p>
            <w:pPr>
              <w:pStyle w:val="TableContents"/>
              <w:bidi w:val="0"/>
              <w:spacing w:before="0" w:after="283"/>
              <w:jc w:val="center"/>
              <w:rPr/>
            </w:pPr>
            <w:r>
              <w:rPr/>
              <w:t> </w:t>
            </w:r>
          </w:p>
        </w:tc>
        <w:tc>
          <w:tcPr>
            <w:tcW w:w="20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center"/>
              <w:rPr/>
            </w:pPr>
            <w:r>
              <w:rPr/>
              <w:t> </w:t>
            </w:r>
          </w:p>
        </w:tc>
      </w:tr>
      <w:tr>
        <w:trPr/>
        <w:tc>
          <w:tcPr>
            <w:tcW w:w="890" w:type="dxa"/>
            <w:tcBorders/>
            <w:shd w:fill="FFFFFF" w:val="clear"/>
            <w:vAlign w:val="center"/>
          </w:tcPr>
          <w:p>
            <w:pPr>
              <w:pStyle w:val="TableContents"/>
              <w:bidi w:val="0"/>
              <w:spacing w:before="0" w:after="283"/>
              <w:jc w:val="left"/>
              <w:rPr/>
            </w:pPr>
            <w:r>
              <w:rPr/>
              <w:t>23.1*</w:t>
            </w:r>
          </w:p>
        </w:tc>
        <w:tc>
          <w:tcPr>
            <w:tcW w:w="60" w:type="dxa"/>
            <w:tcBorders/>
            <w:shd w:fill="FFFFFF" w:val="clear"/>
            <w:vAlign w:val="center"/>
          </w:tcPr>
          <w:p>
            <w:pPr>
              <w:pStyle w:val="TableContents"/>
              <w:bidi w:val="0"/>
              <w:spacing w:before="0" w:after="283"/>
              <w:jc w:val="left"/>
              <w:rPr/>
            </w:pPr>
            <w:r>
              <w:rPr/>
              <w:t> </w:t>
            </w:r>
          </w:p>
        </w:tc>
        <w:tc>
          <w:tcPr>
            <w:tcW w:w="4863" w:type="dxa"/>
            <w:tcBorders/>
            <w:shd w:fill="FFFFFF" w:val="clear"/>
            <w:vAlign w:val="center"/>
          </w:tcPr>
          <w:p>
            <w:pPr>
              <w:pStyle w:val="TableContents"/>
              <w:bidi w:val="0"/>
              <w:spacing w:before="0" w:after="283"/>
              <w:jc w:val="left"/>
              <w:rPr/>
            </w:pPr>
            <w:hyperlink w:anchor="ea030418301ex23-1.htm">
              <w:r>
                <w:rPr>
                  <w:rStyle w:val="InternetLink"/>
                </w:rPr>
                <w:t>Consent of PricewaterhouseCoopers LLP</w:t>
              </w:r>
            </w:hyperlink>
          </w:p>
        </w:tc>
        <w:tc>
          <w:tcPr>
            <w:tcW w:w="60" w:type="dxa"/>
            <w:tcBorders/>
            <w:shd w:fill="FFFFFF" w:val="clear"/>
            <w:vAlign w:val="center"/>
          </w:tcPr>
          <w:p>
            <w:pPr>
              <w:pStyle w:val="TableContents"/>
              <w:bidi w:val="0"/>
              <w:spacing w:before="0" w:after="283"/>
              <w:jc w:val="center"/>
              <w:rPr/>
            </w:pPr>
            <w:r>
              <w:rPr/>
              <w:t> </w:t>
            </w:r>
          </w:p>
        </w:tc>
        <w:tc>
          <w:tcPr>
            <w:tcW w:w="202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center"/>
              <w:rPr/>
            </w:pPr>
            <w:r>
              <w:rPr/>
              <w:t> </w:t>
            </w:r>
          </w:p>
        </w:tc>
      </w:tr>
      <w:tr>
        <w:trPr/>
        <w:tc>
          <w:tcPr>
            <w:tcW w:w="890" w:type="dxa"/>
            <w:tcBorders/>
            <w:shd w:fill="CCEEFF" w:val="clear"/>
            <w:vAlign w:val="center"/>
          </w:tcPr>
          <w:p>
            <w:pPr>
              <w:pStyle w:val="TableContents"/>
              <w:bidi w:val="0"/>
              <w:spacing w:before="0" w:after="283"/>
              <w:jc w:val="left"/>
              <w:rPr/>
            </w:pPr>
            <w:r>
              <w:rPr/>
              <w:t>23.2*</w:t>
            </w:r>
          </w:p>
        </w:tc>
        <w:tc>
          <w:tcPr>
            <w:tcW w:w="60" w:type="dxa"/>
            <w:tcBorders/>
            <w:shd w:fill="CCEEFF" w:val="clear"/>
            <w:vAlign w:val="center"/>
          </w:tcPr>
          <w:p>
            <w:pPr>
              <w:pStyle w:val="TableContents"/>
              <w:bidi w:val="0"/>
              <w:spacing w:before="0" w:after="283"/>
              <w:jc w:val="left"/>
              <w:rPr/>
            </w:pPr>
            <w:r>
              <w:rPr/>
              <w:t> </w:t>
            </w:r>
          </w:p>
        </w:tc>
        <w:tc>
          <w:tcPr>
            <w:tcW w:w="4863" w:type="dxa"/>
            <w:tcBorders/>
            <w:shd w:fill="CCEEFF" w:val="clear"/>
            <w:vAlign w:val="center"/>
          </w:tcPr>
          <w:p>
            <w:pPr>
              <w:pStyle w:val="TableContents"/>
              <w:bidi w:val="0"/>
              <w:spacing w:before="0" w:after="283"/>
              <w:jc w:val="left"/>
              <w:rPr/>
            </w:pPr>
            <w:hyperlink w:anchor="ea030418301ex5-1.htm">
              <w:r>
                <w:rPr>
                  <w:rStyle w:val="InternetLink"/>
                </w:rPr>
                <w:t>Consent of Latham &amp; Watkins LLP (included in Exhibit 5.1)</w:t>
              </w:r>
            </w:hyperlink>
          </w:p>
        </w:tc>
        <w:tc>
          <w:tcPr>
            <w:tcW w:w="60" w:type="dxa"/>
            <w:tcBorders/>
            <w:shd w:fill="CCEEFF" w:val="clear"/>
            <w:vAlign w:val="center"/>
          </w:tcPr>
          <w:p>
            <w:pPr>
              <w:pStyle w:val="TableContents"/>
              <w:bidi w:val="0"/>
              <w:spacing w:before="0" w:after="283"/>
              <w:jc w:val="center"/>
              <w:rPr/>
            </w:pPr>
            <w:r>
              <w:rPr/>
              <w:t> </w:t>
            </w:r>
          </w:p>
        </w:tc>
        <w:tc>
          <w:tcPr>
            <w:tcW w:w="20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center"/>
              <w:rPr/>
            </w:pPr>
            <w:r>
              <w:rPr/>
              <w:t> </w:t>
            </w:r>
          </w:p>
        </w:tc>
      </w:tr>
      <w:tr>
        <w:trPr/>
        <w:tc>
          <w:tcPr>
            <w:tcW w:w="890" w:type="dxa"/>
            <w:tcBorders/>
            <w:shd w:fill="FFFFFF" w:val="clear"/>
            <w:vAlign w:val="center"/>
          </w:tcPr>
          <w:p>
            <w:pPr>
              <w:pStyle w:val="TableContents"/>
              <w:bidi w:val="0"/>
              <w:spacing w:before="0" w:after="283"/>
              <w:jc w:val="left"/>
              <w:rPr/>
            </w:pPr>
            <w:r>
              <w:rPr/>
              <w:t>24.1*</w:t>
            </w:r>
          </w:p>
        </w:tc>
        <w:tc>
          <w:tcPr>
            <w:tcW w:w="60" w:type="dxa"/>
            <w:tcBorders/>
            <w:shd w:fill="FFFFFF" w:val="clear"/>
            <w:vAlign w:val="center"/>
          </w:tcPr>
          <w:p>
            <w:pPr>
              <w:pStyle w:val="TableContents"/>
              <w:bidi w:val="0"/>
              <w:spacing w:before="0" w:after="283"/>
              <w:jc w:val="left"/>
              <w:rPr/>
            </w:pPr>
            <w:r>
              <w:rPr/>
              <w:t> </w:t>
            </w:r>
          </w:p>
        </w:tc>
        <w:tc>
          <w:tcPr>
            <w:tcW w:w="4863" w:type="dxa"/>
            <w:tcBorders/>
            <w:shd w:fill="FFFFFF" w:val="clear"/>
            <w:vAlign w:val="center"/>
          </w:tcPr>
          <w:p>
            <w:pPr>
              <w:pStyle w:val="TableContents"/>
              <w:bidi w:val="0"/>
              <w:spacing w:before="0" w:after="283"/>
              <w:jc w:val="left"/>
              <w:rPr/>
            </w:pPr>
            <w:hyperlink w:anchor="p_001">
              <w:r>
                <w:rPr>
                  <w:rStyle w:val="InternetLink"/>
                </w:rPr>
                <w:t>Powers of Attorney (included on signature page)</w:t>
              </w:r>
            </w:hyperlink>
          </w:p>
        </w:tc>
        <w:tc>
          <w:tcPr>
            <w:tcW w:w="60" w:type="dxa"/>
            <w:tcBorders/>
            <w:shd w:fill="FFFFFF" w:val="clear"/>
            <w:vAlign w:val="center"/>
          </w:tcPr>
          <w:p>
            <w:pPr>
              <w:pStyle w:val="TableContents"/>
              <w:bidi w:val="0"/>
              <w:spacing w:before="0" w:after="283"/>
              <w:jc w:val="center"/>
              <w:rPr/>
            </w:pPr>
            <w:r>
              <w:rPr/>
              <w:t> </w:t>
            </w:r>
          </w:p>
        </w:tc>
        <w:tc>
          <w:tcPr>
            <w:tcW w:w="202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center"/>
              <w:rPr/>
            </w:pPr>
            <w:r>
              <w:rPr/>
              <w:t> </w:t>
            </w:r>
          </w:p>
        </w:tc>
      </w:tr>
      <w:tr>
        <w:trPr/>
        <w:tc>
          <w:tcPr>
            <w:tcW w:w="890" w:type="dxa"/>
            <w:tcBorders/>
            <w:shd w:fill="CCEEFF" w:val="clear"/>
            <w:vAlign w:val="center"/>
          </w:tcPr>
          <w:p>
            <w:pPr>
              <w:pStyle w:val="TableContents"/>
              <w:bidi w:val="0"/>
              <w:spacing w:before="0" w:after="283"/>
              <w:jc w:val="left"/>
              <w:rPr/>
            </w:pPr>
            <w:r>
              <w:rPr/>
              <w:t>107*</w:t>
            </w:r>
          </w:p>
        </w:tc>
        <w:tc>
          <w:tcPr>
            <w:tcW w:w="60" w:type="dxa"/>
            <w:tcBorders/>
            <w:shd w:fill="CCEEFF" w:val="clear"/>
            <w:vAlign w:val="center"/>
          </w:tcPr>
          <w:p>
            <w:pPr>
              <w:pStyle w:val="TableContents"/>
              <w:bidi w:val="0"/>
              <w:spacing w:before="0" w:after="283"/>
              <w:jc w:val="left"/>
              <w:rPr/>
            </w:pPr>
            <w:r>
              <w:rPr/>
              <w:t> </w:t>
            </w:r>
          </w:p>
        </w:tc>
        <w:tc>
          <w:tcPr>
            <w:tcW w:w="4863" w:type="dxa"/>
            <w:tcBorders/>
            <w:shd w:fill="CCEEFF" w:val="clear"/>
            <w:vAlign w:val="center"/>
          </w:tcPr>
          <w:p>
            <w:pPr>
              <w:pStyle w:val="TableContents"/>
              <w:bidi w:val="0"/>
              <w:spacing w:before="0" w:after="283"/>
              <w:jc w:val="left"/>
              <w:rPr/>
            </w:pPr>
            <w:hyperlink w:anchor="ea030418301ex-fee.htm">
              <w:r>
                <w:rPr>
                  <w:rStyle w:val="InternetLink"/>
                </w:rPr>
                <w:t>Calculation of Filing Fees Table</w:t>
              </w:r>
            </w:hyperlink>
          </w:p>
        </w:tc>
        <w:tc>
          <w:tcPr>
            <w:tcW w:w="60" w:type="dxa"/>
            <w:tcBorders/>
            <w:shd w:fill="CCEEFF" w:val="clear"/>
            <w:vAlign w:val="center"/>
          </w:tcPr>
          <w:p>
            <w:pPr>
              <w:pStyle w:val="TableContents"/>
              <w:bidi w:val="0"/>
              <w:spacing w:before="0" w:after="283"/>
              <w:jc w:val="center"/>
              <w:rPr/>
            </w:pPr>
            <w:r>
              <w:rPr/>
              <w:t> </w:t>
            </w:r>
          </w:p>
        </w:tc>
        <w:tc>
          <w:tcPr>
            <w:tcW w:w="20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center"/>
              <w:rPr/>
            </w:pPr>
            <w:r>
              <w:rPr/>
              <w:t> </w:t>
            </w:r>
          </w:p>
        </w:tc>
      </w:tr>
    </w:tbl>
    <w:p>
      <w:pPr>
        <w:pStyle w:val="TextBody"/>
        <w:shd w:fill="FFFFFF" w:val="clear"/>
        <w:bidi w:val="0"/>
        <w:spacing w:before="0" w:after="0"/>
        <w:jc w:val="left"/>
        <w:rPr>
          <w:caps w:val="false"/>
          <w:smallCaps w:val="false"/>
        </w:rPr>
      </w:pPr>
      <w:r>
        <w:rPr>
          <w:caps w:val="false"/>
          <w:smallCaps w:val="false"/>
        </w:rPr>
        <w:t> </w:t>
      </w:r>
    </w:p>
    <w:tbl>
      <w:tblPr>
        <w:tblW w:w="2755" w:type="dxa"/>
        <w:jc w:val="left"/>
        <w:tblInd w:w="0" w:type="dxa"/>
        <w:shd w:fill="FFFFFF" w:val="clear"/>
        <w:tblLayout w:type="fixed"/>
        <w:tblCellMar>
          <w:top w:w="0" w:type="dxa"/>
          <w:left w:w="0" w:type="dxa"/>
          <w:bottom w:w="0" w:type="dxa"/>
          <w:right w:w="0" w:type="dxa"/>
        </w:tblCellMar>
      </w:tblPr>
      <w:tblGrid>
        <w:gridCol w:w="155"/>
        <w:gridCol w:w="2600"/>
      </w:tblGrid>
      <w:tr>
        <w:trPr/>
        <w:tc>
          <w:tcPr>
            <w:tcW w:w="155" w:type="dxa"/>
            <w:tcBorders/>
            <w:shd w:fill="FFFFFF" w:val="clear"/>
            <w:vAlign w:val="center"/>
          </w:tcPr>
          <w:p>
            <w:pPr>
              <w:pStyle w:val="TableContents"/>
              <w:bidi w:val="0"/>
              <w:spacing w:before="0" w:after="283"/>
              <w:jc w:val="left"/>
              <w:rPr/>
            </w:pPr>
            <w:r>
              <w:rPr/>
              <w:t>*</w:t>
            </w:r>
          </w:p>
        </w:tc>
        <w:tc>
          <w:tcPr>
            <w:tcW w:w="2600" w:type="dxa"/>
            <w:tcBorders/>
            <w:shd w:fill="FFFFFF" w:val="clear"/>
            <w:vAlign w:val="center"/>
          </w:tcPr>
          <w:p>
            <w:pPr>
              <w:pStyle w:val="TableContents"/>
              <w:bidi w:val="0"/>
              <w:spacing w:before="0" w:after="283"/>
              <w:jc w:val="both"/>
              <w:rPr/>
            </w:pPr>
            <w:r>
              <w:rPr/>
              <w:t>Filed or furnished herewith</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registration statement is on Form S-8, and the information required to be included in a post-effective amendment by those paragraphs is contained in periodic reports filed with or furnished to the Commission by the Registrant pursuant to Section 13 or Section 15(d) of the Exchange Act that are incorporated by reference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September 4, 2026.</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SoundHound AI, Inc.</w:t>
            </w:r>
          </w:p>
        </w:tc>
        <w:tc>
          <w:tcPr>
            <w:tcW w:w="75" w:type="dxa"/>
            <w:tcBorders/>
            <w:vAlign w:val="center"/>
          </w:tcPr>
          <w:p>
            <w:pPr>
              <w:pStyle w:val="TableContents"/>
              <w:bidi w:val="0"/>
              <w:spacing w:before="0" w:after="283"/>
              <w:jc w:val="left"/>
              <w:rPr/>
            </w:pPr>
            <w:r>
              <w:rPr/>
              <w:t> </w:t>
            </w:r>
          </w:p>
        </w:tc>
      </w:tr>
      <w:tr>
        <w:trPr/>
        <w:tc>
          <w:tcPr>
            <w:tcW w:w="3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Dr. Keyvan Mohajer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Dr. Keyvan Mohajer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Dr. Keyvan Mohajer his true and lawful attorney-in-fact, with full power of substitution and resubstitution for their and in their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their substitute, each acting alone, may lawfully do or cause to be done by virtue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475" w:type="dxa"/>
        <w:jc w:val="left"/>
        <w:tblInd w:w="0" w:type="dxa"/>
        <w:shd w:fill="FFFFFF" w:val="clear"/>
        <w:tblLayout w:type="fixed"/>
        <w:tblCellMar>
          <w:top w:w="0" w:type="dxa"/>
          <w:left w:w="0" w:type="dxa"/>
          <w:bottom w:w="28" w:type="dxa"/>
          <w:right w:w="0" w:type="dxa"/>
        </w:tblCellMar>
      </w:tblPr>
      <w:tblGrid>
        <w:gridCol w:w="2285"/>
        <w:gridCol w:w="60"/>
        <w:gridCol w:w="4250"/>
        <w:gridCol w:w="60"/>
        <w:gridCol w:w="1820"/>
      </w:tblGrid>
      <w:tr>
        <w:trPr/>
        <w:tc>
          <w:tcPr>
            <w:tcW w:w="2285" w:type="dxa"/>
            <w:tcBorders>
              <w:bottom w:val="single" w:sz="12" w:space="0" w:color="000000"/>
            </w:tcBorders>
            <w:shd w:fill="FFFFFF" w:val="clear"/>
            <w:vAlign w:val="center"/>
          </w:tcPr>
          <w:p>
            <w:pPr>
              <w:pStyle w:val="TableContents"/>
              <w:bidi w:val="0"/>
              <w:spacing w:before="0" w:after="283"/>
              <w:jc w:val="left"/>
              <w:rPr>
                <w:b/>
              </w:rPr>
            </w:pPr>
            <w:r>
              <w:rPr>
                <w:b/>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bottom w:val="single" w:sz="12" w:space="0" w:color="000000"/>
            </w:tcBorders>
            <w:shd w:fill="FFFFFF" w:val="clear"/>
            <w:vAlign w:val="center"/>
          </w:tcPr>
          <w:p>
            <w:pPr>
              <w:pStyle w:val="TableContents"/>
              <w:bidi w:val="0"/>
              <w:spacing w:before="0" w:after="283"/>
              <w:jc w:val="center"/>
              <w:rPr>
                <w:b/>
              </w:rPr>
            </w:pPr>
            <w:r>
              <w:rPr>
                <w:b/>
              </w:rPr>
              <w:t>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shd w:fill="FFFFFF" w:val="clear"/>
            <w:vAlign w:val="center"/>
          </w:tcPr>
          <w:p>
            <w:pPr>
              <w:pStyle w:val="TableContents"/>
              <w:bidi w:val="0"/>
              <w:spacing w:before="0" w:after="283"/>
              <w:jc w:val="center"/>
              <w:rPr>
                <w:b/>
              </w:rPr>
            </w:pPr>
            <w:r>
              <w:rPr>
                <w:b/>
              </w:rPr>
              <w:t>Date</w:t>
            </w:r>
          </w:p>
        </w:tc>
      </w:tr>
      <w:tr>
        <w:trPr/>
        <w:tc>
          <w:tcPr>
            <w:tcW w:w="2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/s/ Dr. Keyvan Mohajer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September 4, 2026</w:t>
            </w:r>
          </w:p>
        </w:tc>
      </w:tr>
      <w:tr>
        <w:trPr/>
        <w:tc>
          <w:tcPr>
            <w:tcW w:w="2285" w:type="dxa"/>
            <w:tcBorders/>
            <w:shd w:fill="FFFFFF" w:val="clear"/>
            <w:tcMar>
              <w:bottom w:w="0" w:type="dxa"/>
            </w:tcMar>
            <w:vAlign w:val="center"/>
          </w:tcPr>
          <w:p>
            <w:pPr>
              <w:pStyle w:val="TableContents"/>
              <w:bidi w:val="0"/>
              <w:spacing w:before="0" w:after="283"/>
              <w:jc w:val="both"/>
              <w:rPr/>
            </w:pPr>
            <w:r>
              <w:rPr/>
              <w:t>Dr. Keyvan Mohajer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(Principal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/s/ James Hom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Interim Chief Financial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September 4, 2026</w:t>
            </w:r>
          </w:p>
        </w:tc>
      </w:tr>
      <w:tr>
        <w:trPr/>
        <w:tc>
          <w:tcPr>
            <w:tcW w:w="2285" w:type="dxa"/>
            <w:tcBorders/>
            <w:shd w:fill="FFFFFF" w:val="clear"/>
            <w:tcMar>
              <w:bottom w:w="0" w:type="dxa"/>
            </w:tcMar>
            <w:vAlign w:val="center"/>
          </w:tcPr>
          <w:p>
            <w:pPr>
              <w:pStyle w:val="TableContents"/>
              <w:bidi w:val="0"/>
              <w:spacing w:before="0" w:after="283"/>
              <w:jc w:val="both"/>
              <w:rPr/>
            </w:pPr>
            <w:r>
              <w:rPr/>
              <w:t>James Hom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/s/ Dr. Eric Ball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September 4, 2026</w:t>
            </w:r>
          </w:p>
        </w:tc>
      </w:tr>
      <w:tr>
        <w:trPr/>
        <w:tc>
          <w:tcPr>
            <w:tcW w:w="2285" w:type="dxa"/>
            <w:tcBorders/>
            <w:shd w:fill="FFFFFF" w:val="clear"/>
            <w:tcMar>
              <w:bottom w:w="0" w:type="dxa"/>
            </w:tcMar>
            <w:vAlign w:val="center"/>
          </w:tcPr>
          <w:p>
            <w:pPr>
              <w:pStyle w:val="TableContents"/>
              <w:bidi w:val="0"/>
              <w:spacing w:before="0" w:after="283"/>
              <w:jc w:val="both"/>
              <w:rPr/>
            </w:pPr>
            <w:r>
              <w:rPr/>
              <w:t>Dr. Eric Ball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/s/ Larry Marcus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September 4, 2026</w:t>
            </w:r>
          </w:p>
        </w:tc>
      </w:tr>
      <w:tr>
        <w:trPr/>
        <w:tc>
          <w:tcPr>
            <w:tcW w:w="2285" w:type="dxa"/>
            <w:tcBorders/>
            <w:shd w:fill="FFFFFF" w:val="clear"/>
            <w:tcMar>
              <w:bottom w:w="0" w:type="dxa"/>
            </w:tcMar>
            <w:vAlign w:val="center"/>
          </w:tcPr>
          <w:p>
            <w:pPr>
              <w:pStyle w:val="TableContents"/>
              <w:bidi w:val="0"/>
              <w:spacing w:before="0" w:after="283"/>
              <w:jc w:val="both"/>
              <w:rPr/>
            </w:pPr>
            <w:r>
              <w:rPr/>
              <w:t>Larry Marcus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/s/ Diana Sroka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both"/>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September 4, 2026</w:t>
            </w:r>
          </w:p>
        </w:tc>
      </w:tr>
      <w:tr>
        <w:trPr/>
        <w:tc>
          <w:tcPr>
            <w:tcW w:w="2285" w:type="dxa"/>
            <w:tcBorders/>
            <w:shd w:fill="FFFFFF" w:val="clear"/>
            <w:tcMar>
              <w:bottom w:w="0" w:type="dxa"/>
            </w:tcMar>
            <w:vAlign w:val="center"/>
          </w:tcPr>
          <w:p>
            <w:pPr>
              <w:pStyle w:val="TableContents"/>
              <w:bidi w:val="0"/>
              <w:spacing w:before="0" w:after="283"/>
              <w:jc w:val="both"/>
              <w:rPr/>
            </w:pPr>
            <w:r>
              <w:rPr/>
              <w:t>Diana Sroka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418301ex5-1.htm"/>
      <w:bookmarkStart w:id="4" w:name="ksea0304183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60"/>
        <w:gridCol w:w="60"/>
        <w:gridCol w:w="369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sz w:val="20"/>
              </w:rPr>
            </w:pPr>
            <w:r>
              <w:rPr>
                <w:sz w:val="20"/>
              </w:rPr>
              <w:t xml:space="preserve">330 North Wabash Avenue </w:t>
              <w:br/>
              <w:t xml:space="preserve">Suite 2800 </w:t>
              <w:br/>
              <w:t xml:space="preserve">Chicago, Illinois 60611 </w:t>
              <w:br/>
              <w:t xml:space="preserve">Tel: +1.312.876.7700 Fax: +1.312.993.9767 </w:t>
              <w:br/>
              <w:t>www.lw.com</w:t>
            </w:r>
          </w:p>
        </w:tc>
      </w:tr>
    </w:tbl>
    <w:p>
      <w:pPr>
        <w:pStyle w:val="TextBody"/>
        <w:bidi w:val="0"/>
        <w:spacing w:before="0" w:after="0"/>
        <w:ind w:left="0" w:right="0" w:hanging="0"/>
        <w:jc w:val="left"/>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3525"/>
        <w:gridCol w:w="60"/>
        <w:gridCol w:w="1254"/>
        <w:gridCol w:w="1810"/>
      </w:tblGrid>
      <w:tr>
        <w:trPr/>
        <w:tc>
          <w:tcPr>
            <w:tcW w:w="3525" w:type="dxa"/>
            <w:vMerge w:val="restart"/>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190750"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2190750" cy="142875"/>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pPr>
            <w:r>
              <w:rPr/>
              <w:t>FIRM / AFFILIATE OFFICES</w:t>
            </w:r>
          </w:p>
        </w:tc>
      </w:tr>
      <w:tr>
        <w:trPr/>
        <w:tc>
          <w:tcPr>
            <w:tcW w:w="35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Austin</w:t>
            </w:r>
          </w:p>
        </w:tc>
        <w:tc>
          <w:tcPr>
            <w:tcW w:w="1810" w:type="dxa"/>
            <w:tcBorders/>
            <w:vAlign w:val="center"/>
          </w:tcPr>
          <w:p>
            <w:pPr>
              <w:pStyle w:val="TableContents"/>
              <w:bidi w:val="0"/>
              <w:spacing w:before="0" w:after="283"/>
              <w:jc w:val="left"/>
              <w:rPr/>
            </w:pPr>
            <w:r>
              <w:rPr/>
              <w:t>Milan</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Beijing</w:t>
            </w:r>
          </w:p>
        </w:tc>
        <w:tc>
          <w:tcPr>
            <w:tcW w:w="1810" w:type="dxa"/>
            <w:tcBorders/>
            <w:vAlign w:val="center"/>
          </w:tcPr>
          <w:p>
            <w:pPr>
              <w:pStyle w:val="TableContents"/>
              <w:bidi w:val="0"/>
              <w:spacing w:before="0" w:after="283"/>
              <w:jc w:val="left"/>
              <w:rPr/>
            </w:pPr>
            <w:r>
              <w:rPr/>
              <w:t>Munich</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Boston</w:t>
            </w:r>
          </w:p>
        </w:tc>
        <w:tc>
          <w:tcPr>
            <w:tcW w:w="1810" w:type="dxa"/>
            <w:tcBorders/>
            <w:vAlign w:val="center"/>
          </w:tcPr>
          <w:p>
            <w:pPr>
              <w:pStyle w:val="TableContents"/>
              <w:bidi w:val="0"/>
              <w:spacing w:before="0" w:after="283"/>
              <w:jc w:val="left"/>
              <w:rPr/>
            </w:pPr>
            <w:r>
              <w:rPr/>
              <w:t>New York</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Brussels</w:t>
            </w:r>
          </w:p>
        </w:tc>
        <w:tc>
          <w:tcPr>
            <w:tcW w:w="1810" w:type="dxa"/>
            <w:tcBorders/>
            <w:vAlign w:val="center"/>
          </w:tcPr>
          <w:p>
            <w:pPr>
              <w:pStyle w:val="TableContents"/>
              <w:bidi w:val="0"/>
              <w:spacing w:before="0" w:after="283"/>
              <w:jc w:val="left"/>
              <w:rPr/>
            </w:pPr>
            <w:r>
              <w:rPr/>
              <w:t>Orange County</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Chicago</w:t>
            </w:r>
          </w:p>
        </w:tc>
        <w:tc>
          <w:tcPr>
            <w:tcW w:w="1810" w:type="dxa"/>
            <w:tcBorders/>
            <w:vAlign w:val="center"/>
          </w:tcPr>
          <w:p>
            <w:pPr>
              <w:pStyle w:val="TableContents"/>
              <w:bidi w:val="0"/>
              <w:spacing w:before="0" w:after="283"/>
              <w:jc w:val="left"/>
              <w:rPr/>
            </w:pPr>
            <w:r>
              <w:rPr/>
              <w:t>Paris</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Dubai</w:t>
            </w:r>
          </w:p>
        </w:tc>
        <w:tc>
          <w:tcPr>
            <w:tcW w:w="1810" w:type="dxa"/>
            <w:tcBorders/>
            <w:vAlign w:val="center"/>
          </w:tcPr>
          <w:p>
            <w:pPr>
              <w:pStyle w:val="TableContents"/>
              <w:bidi w:val="0"/>
              <w:spacing w:before="0" w:after="283"/>
              <w:jc w:val="left"/>
              <w:rPr/>
            </w:pPr>
            <w:r>
              <w:rPr/>
              <w:t>Riyadh</w:t>
            </w:r>
          </w:p>
        </w:tc>
      </w:tr>
      <w:tr>
        <w:trPr/>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Düsseldorf</w:t>
            </w:r>
          </w:p>
        </w:tc>
        <w:tc>
          <w:tcPr>
            <w:tcW w:w="1810" w:type="dxa"/>
            <w:tcBorders/>
            <w:vAlign w:val="center"/>
          </w:tcPr>
          <w:p>
            <w:pPr>
              <w:pStyle w:val="TableContents"/>
              <w:bidi w:val="0"/>
              <w:spacing w:before="0" w:after="283"/>
              <w:jc w:val="left"/>
              <w:rPr/>
            </w:pPr>
            <w:r>
              <w:rPr/>
              <w:t>San Diego</w:t>
            </w:r>
          </w:p>
        </w:tc>
      </w:tr>
      <w:tr>
        <w:trPr/>
        <w:tc>
          <w:tcPr>
            <w:tcW w:w="3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Frankfurt</w:t>
            </w:r>
          </w:p>
        </w:tc>
        <w:tc>
          <w:tcPr>
            <w:tcW w:w="1810" w:type="dxa"/>
            <w:tcBorders/>
            <w:vAlign w:val="center"/>
          </w:tcPr>
          <w:p>
            <w:pPr>
              <w:pStyle w:val="TableContents"/>
              <w:bidi w:val="0"/>
              <w:spacing w:before="0" w:after="283"/>
              <w:jc w:val="left"/>
              <w:rPr/>
            </w:pPr>
            <w:r>
              <w:rPr/>
              <w:t>San Francisco</w:t>
            </w:r>
          </w:p>
        </w:tc>
      </w:tr>
      <w:tr>
        <w:trPr/>
        <w:tc>
          <w:tcPr>
            <w:tcW w:w="3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Hamburg</w:t>
            </w:r>
          </w:p>
        </w:tc>
        <w:tc>
          <w:tcPr>
            <w:tcW w:w="1810" w:type="dxa"/>
            <w:tcBorders/>
            <w:vAlign w:val="center"/>
          </w:tcPr>
          <w:p>
            <w:pPr>
              <w:pStyle w:val="TableContents"/>
              <w:bidi w:val="0"/>
              <w:spacing w:before="0" w:after="283"/>
              <w:jc w:val="left"/>
              <w:rPr/>
            </w:pPr>
            <w:r>
              <w:rPr/>
              <w:t>Seoul</w:t>
            </w:r>
          </w:p>
        </w:tc>
      </w:tr>
      <w:tr>
        <w:trPr/>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Hong Kong</w:t>
            </w:r>
          </w:p>
        </w:tc>
        <w:tc>
          <w:tcPr>
            <w:tcW w:w="1810" w:type="dxa"/>
            <w:tcBorders/>
            <w:vAlign w:val="center"/>
          </w:tcPr>
          <w:p>
            <w:pPr>
              <w:pStyle w:val="TableContents"/>
              <w:bidi w:val="0"/>
              <w:spacing w:before="0" w:after="283"/>
              <w:jc w:val="left"/>
              <w:rPr/>
            </w:pPr>
            <w:r>
              <w:rPr/>
              <w:t>Silicon Valley</w:t>
            </w:r>
          </w:p>
        </w:tc>
      </w:tr>
      <w:tr>
        <w:trPr/>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Houston</w:t>
            </w:r>
          </w:p>
        </w:tc>
        <w:tc>
          <w:tcPr>
            <w:tcW w:w="1810" w:type="dxa"/>
            <w:tcBorders/>
            <w:vAlign w:val="center"/>
          </w:tcPr>
          <w:p>
            <w:pPr>
              <w:pStyle w:val="TableContents"/>
              <w:bidi w:val="0"/>
              <w:spacing w:before="0" w:after="283"/>
              <w:jc w:val="left"/>
              <w:rPr/>
            </w:pPr>
            <w:r>
              <w:rPr/>
              <w:t>Singapore</w:t>
            </w:r>
          </w:p>
        </w:tc>
      </w:tr>
      <w:tr>
        <w:trPr/>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London</w:t>
            </w:r>
          </w:p>
        </w:tc>
        <w:tc>
          <w:tcPr>
            <w:tcW w:w="1810" w:type="dxa"/>
            <w:tcBorders/>
            <w:vAlign w:val="center"/>
          </w:tcPr>
          <w:p>
            <w:pPr>
              <w:pStyle w:val="TableContents"/>
              <w:bidi w:val="0"/>
              <w:spacing w:before="0" w:after="283"/>
              <w:jc w:val="left"/>
              <w:rPr/>
            </w:pPr>
            <w:r>
              <w:rPr/>
              <w:t>Tel Aviv</w:t>
            </w:r>
          </w:p>
        </w:tc>
      </w:tr>
      <w:tr>
        <w:trPr/>
        <w:tc>
          <w:tcPr>
            <w:tcW w:w="3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Los Angeles</w:t>
            </w:r>
          </w:p>
        </w:tc>
        <w:tc>
          <w:tcPr>
            <w:tcW w:w="1810" w:type="dxa"/>
            <w:tcBorders/>
            <w:vAlign w:val="center"/>
          </w:tcPr>
          <w:p>
            <w:pPr>
              <w:pStyle w:val="TableContents"/>
              <w:bidi w:val="0"/>
              <w:spacing w:before="0" w:after="283"/>
              <w:jc w:val="left"/>
              <w:rPr/>
            </w:pPr>
            <w:r>
              <w:rPr/>
              <w:t>Tokyo</w:t>
            </w:r>
          </w:p>
        </w:tc>
      </w:tr>
      <w:tr>
        <w:trPr/>
        <w:tc>
          <w:tcPr>
            <w:tcW w:w="3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Madrid</w:t>
            </w:r>
          </w:p>
        </w:tc>
        <w:tc>
          <w:tcPr>
            <w:tcW w:w="1810" w:type="dxa"/>
            <w:tcBorders/>
            <w:vAlign w:val="center"/>
          </w:tcPr>
          <w:p>
            <w:pPr>
              <w:pStyle w:val="TableContents"/>
              <w:bidi w:val="0"/>
              <w:spacing w:before="0" w:after="283"/>
              <w:jc w:val="left"/>
              <w:rPr/>
            </w:pPr>
            <w:r>
              <w:rPr/>
              <w:t>Washington, D.C.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Re:</w:t>
            </w:r>
          </w:p>
        </w:tc>
        <w:tc>
          <w:tcPr>
            <w:tcW w:w="9834" w:type="dxa"/>
            <w:tcBorders/>
            <w:vAlign w:val="center"/>
          </w:tcPr>
          <w:p>
            <w:pPr>
              <w:pStyle w:val="TableContents"/>
              <w:bidi w:val="0"/>
              <w:spacing w:before="0" w:after="283"/>
              <w:jc w:val="left"/>
              <w:rPr/>
            </w:pPr>
            <w:r>
              <w:rPr/>
              <w:t>Registration Statement on Form S-8; 220,285 shares of Class A Common Stock, par value $0.0001 per share, of SoundHound AI,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SoundHound AI, Inc., a Delaware corporation (the “Company”), in connection with the proposed issuance of up to 220,285 shares of Class A common stock, $0.0001 par value per share (the “Shares”), to be issued pursuant to the Amended and Restated LivePerson, Inc. 2019 Stock Incentive Plan and the Amended and Restated LivePerson, Inc. 2018 Inducement Plan, in each case, that were assumed by the Company in connection with the acquisition on the date hereof by the Company of LivePerson, Inc. (collectively, the “Plans”). The Shares are included in a registration statement on Form S–8 under the Securities Act of 1933, as amended (the “Act”), filed with the Securities and Exchange Commission (the “Commission”) on September 4, 2026 (the “Registration Statement”). This opinion is being furnished in connection with the requirements of Item 601(b)(5) of Regulation S-K under the Act, and no opinion is expressed herein as to any matter pertaining to the contents of the Registration Statement or related prospectuses, other than as expressly stated herein with respect to the issue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“DGCL”), and we express no opinion with respect to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4, 2026</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61925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619250" cy="1809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holders, and have been issued by the Company for legal consideration in excess of par value in the circumstances contemplated by the applicable Plan, assuming in each case that the individual issuances, grants or awards under the applicable Plan are duly authorized by all necessary corporate action and duly issued, granted or awarded and exercised in accordance with the requirements of law and the applicable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432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 Latham &amp; Watkins LLP</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418301ex23-1.htm"/>
      <w:bookmarkStart w:id="6" w:name="ksea0304183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SoundHound AI, Inc. of our report dated March 2, 2026 relating to the financial statements and the effectiveness of internal control over financial reporting, which appears in SoundHound AI, Inc.’s Annual Report on Form 10-K for the year ended December 31, 2025.</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San Jose, California</w:t>
        <w:b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418301ex-fee.htm"/>
      <w:bookmarkStart w:id="8" w:name="ksea0304183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SOUNDHOUND AI,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8"/>
        <w:gridCol w:w="60"/>
        <w:gridCol w:w="1153"/>
        <w:gridCol w:w="60"/>
        <w:gridCol w:w="575"/>
        <w:gridCol w:w="60"/>
        <w:gridCol w:w="1124"/>
        <w:gridCol w:w="60"/>
        <w:gridCol w:w="1075"/>
        <w:gridCol w:w="60"/>
        <w:gridCol w:w="266"/>
        <w:gridCol w:w="837"/>
        <w:gridCol w:w="60"/>
        <w:gridCol w:w="151"/>
        <w:gridCol w:w="1389"/>
        <w:gridCol w:w="60"/>
        <w:gridCol w:w="1040"/>
        <w:gridCol w:w="60"/>
        <w:gridCol w:w="211"/>
        <w:gridCol w:w="1056"/>
      </w:tblGrid>
      <w:tr>
        <w:trPr/>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r>
      <w:tr>
        <w:trPr/>
        <w:tc>
          <w:tcPr>
            <w:tcW w:w="848"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53"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4"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220,285</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6.88</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jc w:val="right"/>
              <w:rPr/>
            </w:pPr>
            <w:r>
              <w:rPr/>
              <w:t>1,515,560.80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209.30</w:t>
            </w:r>
          </w:p>
        </w:tc>
      </w:tr>
      <w:tr>
        <w:trPr/>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8"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jc w:val="right"/>
              <w:rPr/>
            </w:pPr>
            <w:r>
              <w:rPr/>
              <w:t>1,515,560.80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209.30</w:t>
            </w:r>
          </w:p>
        </w:tc>
      </w:tr>
      <w:tr>
        <w:trPr/>
        <w:tc>
          <w:tcPr>
            <w:tcW w:w="6178"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78"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double" w:sz="8" w:space="0" w:color="000000"/>
            </w:tcBorders>
            <w:tcMar>
              <w:bottom w:w="28" w:type="dxa"/>
            </w:tcMar>
            <w:vAlign w:val="center"/>
          </w:tcPr>
          <w:p>
            <w:pPr>
              <w:pStyle w:val="TableContents"/>
              <w:bidi w:val="0"/>
              <w:spacing w:before="0" w:after="283"/>
              <w:jc w:val="left"/>
              <w:rPr/>
            </w:pPr>
            <w:r>
              <w:rPr/>
              <w:t>$</w:t>
            </w:r>
          </w:p>
        </w:tc>
        <w:tc>
          <w:tcPr>
            <w:tcW w:w="1056" w:type="dxa"/>
            <w:tcBorders>
              <w:bottom w:val="double" w:sz="8" w:space="0" w:color="000000"/>
            </w:tcBorders>
            <w:tcMar>
              <w:bottom w:w="28" w:type="dxa"/>
            </w:tcMar>
            <w:vAlign w:val="center"/>
          </w:tcPr>
          <w:p>
            <w:pPr>
              <w:pStyle w:val="TableContents"/>
              <w:bidi w:val="0"/>
              <w:spacing w:before="0" w:after="283"/>
              <w:jc w:val="right"/>
              <w:rPr/>
            </w:pPr>
            <w:r>
              <w:rPr/>
              <w:t>209.30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3"/>
        <w:gridCol w:w="23"/>
        <w:gridCol w:w="9949"/>
      </w:tblGrid>
      <w:tr>
        <w:trPr/>
        <w:tc>
          <w:tcPr>
            <w:tcW w:w="233"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both"/>
              <w:rPr/>
            </w:pPr>
            <w:r>
              <w:rPr/>
              <w:t>This Registration Statement on Form S-8 is being filed by SoundHound AI, Inc. (“SoundHound”) to register (x) 220,285 shares of SoundHound Class A common stock issuable pursuant to SoundHound’s assumption of certain outstanding awards of unvested restricted stock units of LivePerson, Inc. (“LivePerson”) pursuant to the Amended and Restated LivePerson, Inc. 2019 Stock Incentive Plan (the “LivePerson 2019 Incentive Plan”), and the Amended and Restated LivePerson, Inc. 2018 Inducement Plan (together with the LivePerson 2019 Incentive Plan, the “LivePerson Equity Plans”), in each case, assumed by the Company in connection with that certain Merger Agreement, dated as of April 21, 2026, between SoundHound, LivePerson, and Lightspeed Merger Sub, Inc., as amended and restated (the “Merger Agreement”). Pursuant to Rule 416(a) under the Securities Act of 1933, as amended (the “Securities Act”), this registration statement shall also include such additional indeterminate number of shares of Class A common stock of SoundHound that become issuable under the LivePerson Equity Plans by reason of any stock dividend, stock split, recapitalization or similar transaction effected without SoundHound’s receipt of consideration, which would increase the number of outstanding shares of Class A common stock. The calculation is made solely for the purposes of computing the amount of the registration fee with respect to the 220,285 shares of SoundHound Class A common stock issuable under restricted stock units being assumed, under Rule 457(f)(1)of the Securities Act, on the basis of the average of the high and low sale prices of a share of SoundHound Class A common stock as reported on the Nasdaq Global Select Market on September 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0856/000184085626000006/soun-20251231.htm" TargetMode="External"/><Relationship Id="rId3" Type="http://schemas.openxmlformats.org/officeDocument/2006/relationships/hyperlink" Target="https://www.sec.gov/ix?doc=/Archives/edgar/data/1840856/000184085626000015/soun-20260331.htm" TargetMode="External"/><Relationship Id="rId4" Type="http://schemas.openxmlformats.org/officeDocument/2006/relationships/hyperlink" Target="https://www.sec.gov/ix?doc=/Archives/edgar/data/1840856/000184085626000022/soun-20260630.htm" TargetMode="External"/><Relationship Id="rId5" Type="http://schemas.openxmlformats.org/officeDocument/2006/relationships/hyperlink" Target="https://www.sec.gov/ix?doc=/Archives/edgar/data/1840856/000121390026030707/ea0282324-8k_sound.htm" TargetMode="External"/><Relationship Id="rId6" Type="http://schemas.openxmlformats.org/officeDocument/2006/relationships/hyperlink" Target="https://www.sec.gov/ix?doc=/Archives/edgar/data/1840856/000121390026045987/ea0287117-8k425_sound.htm" TargetMode="External"/><Relationship Id="rId7" Type="http://schemas.openxmlformats.org/officeDocument/2006/relationships/hyperlink" Target="https://www.sec.gov/ix?doc=/Archives/edgar/data/1840856/000121390026061610/ea0292095-8k_sound.htm" TargetMode="External"/><Relationship Id="rId8" Type="http://schemas.openxmlformats.org/officeDocument/2006/relationships/hyperlink" Target="https://www.sec.gov/ix?doc=/Archives/edgar/data/1840856/000121390026075086/ea0296856-8k425_sound.htm" TargetMode="External"/><Relationship Id="rId9" Type="http://schemas.openxmlformats.org/officeDocument/2006/relationships/hyperlink" Target="https://www.sec.gov/ix?doc=/Archives/edgar/data/1840856/000121390026077663/ea0297736-8k_sound.htm" TargetMode="External"/><Relationship Id="rId10" Type="http://schemas.openxmlformats.org/officeDocument/2006/relationships/hyperlink" Target="https://www.sec.gov/ix?doc=/Archives/edgar/data/1840856/000121390026081088/ea0299116-8k425_sound.htm" TargetMode="External"/><Relationship Id="rId11" Type="http://schemas.openxmlformats.org/officeDocument/2006/relationships/hyperlink" Target="https://www.sec.gov/ix?doc=/Archives/edgar/data/1840856/000121390026096796/ea0304366-8k425_sound.htm" TargetMode="External"/><Relationship Id="rId12" Type="http://schemas.openxmlformats.org/officeDocument/2006/relationships/hyperlink" Target="https://www.sec.gov/Archives/edgar/data/1840856/000121390021014493/ea137333-8a12b_archimedes.htm" TargetMode="External"/><Relationship Id="rId13" Type="http://schemas.openxmlformats.org/officeDocument/2006/relationships/hyperlink" Target="https://www.sec.gov/Archives/edgar/data/1840856/000184085623000019/soun-20221231x10kxexx45.htm" TargetMode="External"/><Relationship Id="rId14" Type="http://schemas.openxmlformats.org/officeDocument/2006/relationships/hyperlink" Target="https://www.sec.gov/ix?doc=/Archives/edgar/data/1840856/000184085623000019/soun-20221231.htm" TargetMode="External"/><Relationship Id="rId15" Type="http://schemas.openxmlformats.org/officeDocument/2006/relationships/hyperlink" Target="https://www.sec.gov/Archives/edgar/data/1102993/000110299324000187/exh101ar2019stockincentive.htm" TargetMode="External"/><Relationship Id="rId16" Type="http://schemas.openxmlformats.org/officeDocument/2006/relationships/hyperlink" Target="https://www.sec.gov/Archives/edgar/data/1102993/000110299326000020/exh1012-amendment1toar2019.htm" TargetMode="External"/><Relationship Id="rId17" Type="http://schemas.openxmlformats.org/officeDocument/2006/relationships/hyperlink" Target="https://www.sec.gov/Archives/edgar/data/1102993/000110299324000217/exh993amendedrestated2018i.htm" TargetMode="External"/><Relationship Id="rId18" Type="http://schemas.openxmlformats.org/officeDocument/2006/relationships/hyperlink" Target="https://www.sec.gov/Archives/edgar/data/1102993/000110299324000217/exh994amendmenttotheamende.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4203</Words>
  <Characters>22878</Characters>
  <CharactersWithSpaces>27188</CharactersWithSpaces>
  <Paragraphs>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