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492760</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8.8pt" to="576pt,38.8pt" o:allowincell="f" strokecolor="#000000"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518160</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40.8pt" to="576pt,40.8pt" o:allowincell="f" strokecolor="#000000" strokeweight="0.5009pt">
                <w10:wrap anchorx="page" anchory="page"/>
              </v:line>
            </w:pict>
          </mc:Fallback>
        </mc:AlternateContent>
        <w:t>UNITED STATES</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ind w:left="4320"/>
        <w:spacing w:after="0" w:line="208" w:lineRule="auto"/>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111" w:lineRule="exact"/>
        <w:rPr>
          <w:sz w:val="24"/>
          <w:szCs w:val="24"/>
          <w:color w:val="auto"/>
        </w:rPr>
      </w:pPr>
    </w:p>
    <w:p>
      <w:pPr>
        <w:ind w:left="540" w:hanging="540"/>
        <w:spacing w:after="0"/>
        <w:tabs>
          <w:tab w:leader="none" w:pos="540" w:val="left"/>
        </w:tabs>
        <w:numPr>
          <w:ilvl w:val="0"/>
          <w:numId w:val="1"/>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10" w:lineRule="exact"/>
        <w:rPr>
          <w:rFonts w:ascii="PMingLiU" w:cs="PMingLiU" w:eastAsia="PMingLiU" w:hAnsi="PMingLiU"/>
          <w:sz w:val="20"/>
          <w:szCs w:val="20"/>
          <w:color w:val="auto"/>
        </w:rPr>
      </w:pPr>
    </w:p>
    <w:p>
      <w:pPr>
        <w:ind w:left="3520"/>
        <w:spacing w:after="0"/>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200" w:lineRule="exact"/>
        <w:rPr>
          <w:sz w:val="24"/>
          <w:szCs w:val="24"/>
          <w:color w:val="auto"/>
        </w:rPr>
      </w:pPr>
    </w:p>
    <w:p>
      <w:pPr>
        <w:spacing w:after="0" w:line="211" w:lineRule="exact"/>
        <w:rPr>
          <w:sz w:val="24"/>
          <w:szCs w:val="24"/>
          <w:color w:val="auto"/>
        </w:rPr>
      </w:pPr>
    </w:p>
    <w:p>
      <w:pPr>
        <w:ind w:left="540" w:hanging="540"/>
        <w:spacing w:after="0"/>
        <w:tabs>
          <w:tab w:leader="none" w:pos="540" w:val="left"/>
        </w:tabs>
        <w:numPr>
          <w:ilvl w:val="0"/>
          <w:numId w:val="2"/>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0" w:lineRule="exact"/>
        <w:rPr>
          <w:sz w:val="24"/>
          <w:szCs w:val="24"/>
          <w:color w:val="auto"/>
        </w:rPr>
      </w:pPr>
    </w:p>
    <w:p>
      <w:pPr>
        <w:ind w:left="3560"/>
        <w:spacing w:after="0"/>
        <w:tabs>
          <w:tab w:leader="none" w:pos="672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3924935</wp:posOffset>
                </wp:positionH>
                <wp:positionV relativeFrom="paragraph">
                  <wp:posOffset>-17780</wp:posOffset>
                </wp:positionV>
                <wp:extent cx="3175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05pt,-1.3999pt" to="334.05pt,-1.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4411345</wp:posOffset>
                </wp:positionH>
                <wp:positionV relativeFrom="paragraph">
                  <wp:posOffset>-17780</wp:posOffset>
                </wp:positionV>
                <wp:extent cx="3175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35pt,-1.3999pt" to="372.35pt,-1.3999pt" o:allowincell="f" strokecolor="#000000" strokeweight="0.5pt"/>
            </w:pict>
          </mc:Fallback>
        </mc:AlternateConten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001-40193</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SOUNDHOUND AI,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jc w:val="center"/>
              <w:ind w:left="660"/>
              <w:spacing w:after="0"/>
              <w:rPr>
                <w:sz w:val="20"/>
                <w:szCs w:val="20"/>
                <w:color w:val="auto"/>
              </w:rPr>
            </w:pPr>
            <w:r>
              <w:rPr>
                <w:rFonts w:ascii="Times New Roman" w:cs="Times New Roman" w:eastAsia="Times New Roman" w:hAnsi="Times New Roman"/>
                <w:sz w:val="20"/>
                <w:szCs w:val="20"/>
                <w:b w:val="1"/>
                <w:bCs w:val="1"/>
                <w:color w:val="auto"/>
                <w:w w:val="96"/>
              </w:rPr>
              <w:t>Delaware</w:t>
            </w:r>
          </w:p>
        </w:tc>
        <w:tc>
          <w:tcPr>
            <w:tcW w:w="6180" w:type="dxa"/>
            <w:vAlign w:val="bottom"/>
            <w:gridSpan w:val="3"/>
          </w:tcPr>
          <w:p>
            <w:pPr>
              <w:jc w:val="right"/>
              <w:ind w:right="2040"/>
              <w:spacing w:after="0"/>
              <w:rPr>
                <w:sz w:val="20"/>
                <w:szCs w:val="20"/>
                <w:color w:val="auto"/>
              </w:rPr>
            </w:pPr>
            <w:r>
              <w:rPr>
                <w:rFonts w:ascii="Times New Roman" w:cs="Times New Roman" w:eastAsia="Times New Roman" w:hAnsi="Times New Roman"/>
                <w:sz w:val="20"/>
                <w:szCs w:val="20"/>
                <w:b w:val="1"/>
                <w:bCs w:val="1"/>
                <w:color w:val="auto"/>
              </w:rPr>
              <w:t>86-1286799</w:t>
            </w:r>
          </w:p>
        </w:tc>
      </w:tr>
      <w:tr>
        <w:trPr>
          <w:trHeight w:val="205"/>
        </w:trPr>
        <w:tc>
          <w:tcPr>
            <w:tcW w:w="4540" w:type="dxa"/>
            <w:vAlign w:val="bottom"/>
            <w:tcBorders>
              <w:top w:val="single" w:sz="8" w:color="auto"/>
            </w:tcBorders>
          </w:tcPr>
          <w:p>
            <w:pPr>
              <w:jc w:val="center"/>
              <w:ind w:left="780"/>
              <w:spacing w:after="0" w:line="205" w:lineRule="exact"/>
              <w:rPr>
                <w:sz w:val="20"/>
                <w:szCs w:val="20"/>
                <w:color w:val="auto"/>
              </w:rPr>
            </w:pPr>
            <w:r>
              <w:rPr>
                <w:rFonts w:ascii="Times New Roman" w:cs="Times New Roman" w:eastAsia="Times New Roman" w:hAnsi="Times New Roman"/>
                <w:sz w:val="20"/>
                <w:szCs w:val="20"/>
                <w:color w:val="auto"/>
              </w:rPr>
              <w:t>(State or other jurisdiction of</w:t>
            </w: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23"/>
        </w:trPr>
        <w:tc>
          <w:tcPr>
            <w:tcW w:w="4540" w:type="dxa"/>
            <w:vAlign w:val="bottom"/>
          </w:tcPr>
          <w:p>
            <w:pPr>
              <w:jc w:val="center"/>
              <w:ind w:left="780"/>
              <w:spacing w:after="0" w:line="223" w:lineRule="exact"/>
              <w:rPr>
                <w:sz w:val="20"/>
                <w:szCs w:val="20"/>
                <w:color w:val="auto"/>
              </w:rPr>
            </w:pPr>
            <w:r>
              <w:rPr>
                <w:rFonts w:ascii="Times New Roman" w:cs="Times New Roman" w:eastAsia="Times New Roman" w:hAnsi="Times New Roman"/>
                <w:sz w:val="20"/>
                <w:szCs w:val="20"/>
                <w:color w:val="auto"/>
              </w:rPr>
              <w:t>incorporation or organization)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Identification No.)</w:t>
            </w:r>
          </w:p>
        </w:tc>
      </w:tr>
      <w:tr>
        <w:trPr>
          <w:trHeight w:val="355"/>
        </w:trPr>
        <w:tc>
          <w:tcPr>
            <w:tcW w:w="4540" w:type="dxa"/>
            <w:vAlign w:val="bottom"/>
          </w:tcPr>
          <w:p>
            <w:pPr>
              <w:jc w:val="center"/>
              <w:ind w:left="660"/>
              <w:spacing w:after="0"/>
              <w:rPr>
                <w:sz w:val="20"/>
                <w:szCs w:val="20"/>
                <w:color w:val="auto"/>
              </w:rPr>
            </w:pPr>
            <w:r>
              <w:rPr>
                <w:rFonts w:ascii="Times New Roman" w:cs="Times New Roman" w:eastAsia="Times New Roman" w:hAnsi="Times New Roman"/>
                <w:sz w:val="20"/>
                <w:szCs w:val="20"/>
                <w:b w:val="1"/>
                <w:bCs w:val="1"/>
                <w:color w:val="auto"/>
              </w:rPr>
              <w:t>5400 Betsy Ross Drive</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17"/>
        </w:trPr>
        <w:tc>
          <w:tcPr>
            <w:tcW w:w="4540" w:type="dxa"/>
            <w:vAlign w:val="bottom"/>
          </w:tcPr>
          <w:p>
            <w:pPr>
              <w:jc w:val="center"/>
              <w:ind w:left="660"/>
              <w:spacing w:after="0" w:line="217" w:lineRule="exact"/>
              <w:rPr>
                <w:sz w:val="20"/>
                <w:szCs w:val="20"/>
                <w:color w:val="auto"/>
              </w:rPr>
            </w:pPr>
            <w:r>
              <w:rPr>
                <w:rFonts w:ascii="Times New Roman" w:cs="Times New Roman" w:eastAsia="Times New Roman" w:hAnsi="Times New Roman"/>
                <w:sz w:val="20"/>
                <w:szCs w:val="20"/>
                <w:b w:val="1"/>
                <w:bCs w:val="1"/>
                <w:color w:val="auto"/>
              </w:rPr>
              <w:t>Santa Clara, CA</w:t>
            </w:r>
          </w:p>
        </w:tc>
        <w:tc>
          <w:tcPr>
            <w:tcW w:w="6180" w:type="dxa"/>
            <w:vAlign w:val="bottom"/>
            <w:gridSpan w:val="3"/>
          </w:tcPr>
          <w:p>
            <w:pPr>
              <w:jc w:val="right"/>
              <w:ind w:right="2260"/>
              <w:spacing w:after="0" w:line="217" w:lineRule="exact"/>
              <w:rPr>
                <w:sz w:val="20"/>
                <w:szCs w:val="20"/>
                <w:color w:val="auto"/>
              </w:rPr>
            </w:pPr>
            <w:r>
              <w:rPr>
                <w:rFonts w:ascii="Times New Roman" w:cs="Times New Roman" w:eastAsia="Times New Roman" w:hAnsi="Times New Roman"/>
                <w:sz w:val="20"/>
                <w:szCs w:val="20"/>
                <w:b w:val="1"/>
                <w:bCs w:val="1"/>
                <w:color w:val="auto"/>
              </w:rPr>
              <w:t>95054</w:t>
            </w:r>
          </w:p>
        </w:tc>
      </w:tr>
      <w:tr>
        <w:trPr>
          <w:trHeight w:val="213"/>
        </w:trPr>
        <w:tc>
          <w:tcPr>
            <w:tcW w:w="4540" w:type="dxa"/>
            <w:vAlign w:val="bottom"/>
            <w:tcBorders>
              <w:top w:val="single" w:sz="8" w:color="auto"/>
            </w:tcBorders>
          </w:tcPr>
          <w:p>
            <w:pPr>
              <w:ind w:left="1060"/>
              <w:spacing w:after="0" w:line="213" w:lineRule="exact"/>
              <w:rPr>
                <w:sz w:val="20"/>
                <w:szCs w:val="20"/>
                <w:color w:val="auto"/>
              </w:rPr>
            </w:pPr>
            <w:r>
              <w:rPr>
                <w:rFonts w:ascii="Times New Roman" w:cs="Times New Roman" w:eastAsia="Times New Roman" w:hAnsi="Times New Roman"/>
                <w:sz w:val="20"/>
                <w:szCs w:val="20"/>
                <w:color w:val="auto"/>
              </w:rPr>
              <w:t>(Address of Principal Executive Offices)</w:t>
            </w: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40" w:type="dxa"/>
            <w:vAlign w:val="bottom"/>
            <w:tcBorders>
              <w:top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rPr>
              <w:t>(Zip Code)</w:t>
            </w:r>
          </w:p>
        </w:tc>
      </w:tr>
      <w:tr>
        <w:trPr>
          <w:trHeight w:val="255"/>
        </w:trPr>
        <w:tc>
          <w:tcPr>
            <w:tcW w:w="4540" w:type="dxa"/>
            <w:vAlign w:val="bottom"/>
          </w:tcPr>
          <w:p>
            <w:pPr>
              <w:spacing w:after="0"/>
              <w:rPr>
                <w:sz w:val="22"/>
                <w:szCs w:val="22"/>
                <w:color w:val="auto"/>
              </w:rPr>
            </w:pPr>
          </w:p>
        </w:tc>
        <w:tc>
          <w:tcPr>
            <w:tcW w:w="6180" w:type="dxa"/>
            <w:vAlign w:val="bottom"/>
            <w:gridSpan w:val="3"/>
          </w:tcPr>
          <w:p>
            <w:pPr>
              <w:jc w:val="right"/>
              <w:ind w:right="4600"/>
              <w:spacing w:after="0"/>
              <w:rPr>
                <w:sz w:val="20"/>
                <w:szCs w:val="20"/>
                <w:color w:val="auto"/>
              </w:rPr>
            </w:pPr>
            <w:r>
              <w:rPr>
                <w:rFonts w:ascii="Times New Roman" w:cs="Times New Roman" w:eastAsia="Times New Roman" w:hAnsi="Times New Roman"/>
                <w:sz w:val="20"/>
                <w:szCs w:val="20"/>
                <w:b w:val="1"/>
                <w:bCs w:val="1"/>
                <w:color w:val="auto"/>
              </w:rPr>
              <w:t>(408) 441-3200</w:t>
            </w:r>
          </w:p>
        </w:tc>
      </w:tr>
    </w:tbl>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ind w:left="4320"/>
        <w:spacing w:after="0" w:line="208" w:lineRule="auto"/>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70"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5"/>
        </w:trPr>
        <w:tc>
          <w:tcPr>
            <w:tcW w:w="42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Class A common stock, par value $0.0001 per share</w:t>
            </w:r>
          </w:p>
        </w:tc>
        <w:tc>
          <w:tcPr>
            <w:tcW w:w="120" w:type="dxa"/>
            <w:vAlign w:val="bottom"/>
          </w:tcPr>
          <w:p>
            <w:pPr>
              <w:spacing w:after="0"/>
              <w:rPr>
                <w:sz w:val="17"/>
                <w:szCs w:val="17"/>
                <w:color w:val="auto"/>
              </w:rPr>
            </w:pPr>
          </w:p>
        </w:tc>
        <w:tc>
          <w:tcPr>
            <w:tcW w:w="21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rPr>
              <w:t>SOUN</w:t>
            </w:r>
          </w:p>
        </w:tc>
        <w:tc>
          <w:tcPr>
            <w:tcW w:w="180" w:type="dxa"/>
            <w:vAlign w:val="bottom"/>
          </w:tcPr>
          <w:p>
            <w:pPr>
              <w:spacing w:after="0"/>
              <w:rPr>
                <w:sz w:val="17"/>
                <w:szCs w:val="17"/>
                <w:color w:val="auto"/>
              </w:rPr>
            </w:pPr>
          </w:p>
        </w:tc>
        <w:tc>
          <w:tcPr>
            <w:tcW w:w="4100" w:type="dxa"/>
            <w:vAlign w:val="bottom"/>
            <w:tcBorders>
              <w:top w:val="single" w:sz="8" w:color="auto"/>
            </w:tcBorders>
          </w:tcPr>
          <w:p>
            <w:pPr>
              <w:ind w:left="820"/>
              <w:spacing w:after="0" w:line="205" w:lineRule="exact"/>
              <w:rPr>
                <w:sz w:val="20"/>
                <w:szCs w:val="20"/>
                <w:color w:val="auto"/>
              </w:rPr>
            </w:pPr>
            <w:r>
              <w:rPr>
                <w:rFonts w:ascii="Times New Roman" w:cs="Times New Roman" w:eastAsia="Times New Roman" w:hAnsi="Times New Roman"/>
                <w:sz w:val="20"/>
                <w:szCs w:val="20"/>
                <w:color w:val="auto"/>
              </w:rPr>
              <w:t>The Nasdaq Stock Market LLC</w:t>
            </w:r>
          </w:p>
        </w:tc>
      </w:tr>
      <w:tr>
        <w:trPr>
          <w:trHeight w:val="210"/>
        </w:trPr>
        <w:tc>
          <w:tcPr>
            <w:tcW w:w="4320" w:type="dxa"/>
            <w:vAlign w:val="bottom"/>
            <w:gridSpan w:val="2"/>
          </w:tcPr>
          <w:p>
            <w:pPr>
              <w:ind w:left="1260"/>
              <w:spacing w:after="0" w:line="209" w:lineRule="exact"/>
              <w:rPr>
                <w:sz w:val="20"/>
                <w:szCs w:val="20"/>
                <w:color w:val="auto"/>
              </w:rPr>
            </w:pPr>
            <w:r>
              <w:rPr>
                <w:rFonts w:ascii="Times New Roman" w:cs="Times New Roman" w:eastAsia="Times New Roman" w:hAnsi="Times New Roman"/>
                <w:sz w:val="20"/>
                <w:szCs w:val="20"/>
                <w:color w:val="auto"/>
              </w:rPr>
              <w:t>Redeemable Warrants</w:t>
            </w:r>
          </w:p>
        </w:tc>
        <w:tc>
          <w:tcPr>
            <w:tcW w:w="2280" w:type="dxa"/>
            <w:vAlign w:val="bottom"/>
            <w:gridSpan w:val="2"/>
          </w:tcPr>
          <w:p>
            <w:pPr>
              <w:jc w:val="center"/>
              <w:ind w:right="120"/>
              <w:spacing w:after="0" w:line="209" w:lineRule="exact"/>
              <w:rPr>
                <w:sz w:val="20"/>
                <w:szCs w:val="20"/>
                <w:color w:val="auto"/>
              </w:rPr>
            </w:pPr>
            <w:r>
              <w:rPr>
                <w:rFonts w:ascii="Times New Roman" w:cs="Times New Roman" w:eastAsia="Times New Roman" w:hAnsi="Times New Roman"/>
                <w:sz w:val="20"/>
                <w:szCs w:val="20"/>
                <w:color w:val="auto"/>
                <w:w w:val="98"/>
              </w:rPr>
              <w:t>SOUNW</w:t>
            </w:r>
          </w:p>
        </w:tc>
        <w:tc>
          <w:tcPr>
            <w:tcW w:w="4100" w:type="dxa"/>
            <w:vAlign w:val="bottom"/>
          </w:tcPr>
          <w:p>
            <w:pPr>
              <w:ind w:left="820"/>
              <w:spacing w:after="0" w:line="209" w:lineRule="exact"/>
              <w:rPr>
                <w:sz w:val="20"/>
                <w:szCs w:val="20"/>
                <w:color w:val="auto"/>
              </w:rPr>
            </w:pPr>
            <w:r>
              <w:rPr>
                <w:rFonts w:ascii="Times New Roman" w:cs="Times New Roman" w:eastAsia="Times New Roman" w:hAnsi="Times New Roman"/>
                <w:sz w:val="20"/>
                <w:szCs w:val="20"/>
                <w:color w:val="auto"/>
              </w:rPr>
              <w:t>The Nasdaq Stock Market LLC</w:t>
            </w:r>
          </w:p>
        </w:tc>
      </w:tr>
      <w:tr>
        <w:trPr>
          <w:trHeight w:val="134"/>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w w:val="99"/>
              </w:rPr>
              <w:t>____________________________________</w:t>
            </w:r>
          </w:p>
        </w:tc>
        <w:tc>
          <w:tcPr>
            <w:tcW w:w="4100" w:type="dxa"/>
            <w:vAlign w:val="bottom"/>
          </w:tcPr>
          <w:p>
            <w:pPr>
              <w:spacing w:after="0"/>
              <w:rPr>
                <w:sz w:val="11"/>
                <w:szCs w:val="11"/>
                <w:color w:val="auto"/>
              </w:rPr>
            </w:pPr>
          </w:p>
        </w:tc>
      </w:tr>
    </w:tbl>
    <w:p>
      <w:pPr>
        <w:spacing w:after="0" w:line="73" w:lineRule="exact"/>
        <w:rPr>
          <w:sz w:val="24"/>
          <w:szCs w:val="24"/>
          <w:color w:val="auto"/>
        </w:rPr>
      </w:pPr>
    </w:p>
    <w:p>
      <w:pPr>
        <w:ind w:left="480" w:right="1820"/>
        <w:spacing w:after="0" w:line="273"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spacing w:after="0" w:line="37" w:lineRule="exact"/>
        <w:rPr>
          <w:sz w:val="24"/>
          <w:szCs w:val="24"/>
          <w:color w:val="auto"/>
        </w:rPr>
      </w:pPr>
    </w:p>
    <w:p>
      <w:pPr>
        <w:jc w:val="both"/>
        <w:ind w:firstLine="480"/>
        <w:spacing w:after="0" w:line="22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66" w:lineRule="exact"/>
        <w:rPr>
          <w:sz w:val="24"/>
          <w:szCs w:val="24"/>
          <w:color w:val="auto"/>
        </w:rPr>
      </w:pPr>
    </w:p>
    <w:p>
      <w:pPr>
        <w:jc w:val="both"/>
        <w:ind w:firstLine="480"/>
        <w:spacing w:after="0" w:line="22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66" w:lineRule="exact"/>
        <w:rPr>
          <w:sz w:val="24"/>
          <w:szCs w:val="24"/>
          <w:color w:val="auto"/>
        </w:rPr>
      </w:pPr>
    </w:p>
    <w:p>
      <w:pPr>
        <w:jc w:val="both"/>
        <w:ind w:firstLine="480"/>
        <w:spacing w:after="0" w:line="23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1" w:lineRule="exact"/>
        <w:rPr>
          <w:sz w:val="24"/>
          <w:szCs w:val="24"/>
          <w:color w:val="auto"/>
        </w:rPr>
      </w:pPr>
    </w:p>
    <w:tbl>
      <w:tblPr>
        <w:tblLayout w:type="fixed"/>
        <w:tblInd w:w="480" w:type="dxa"/>
        <w:tblCellMar>
          <w:top w:w="0" w:type="dxa"/>
          <w:left w:w="0" w:type="dxa"/>
          <w:bottom w:w="0" w:type="dxa"/>
          <w:right w:w="0" w:type="dxa"/>
        </w:tblCellMar>
      </w:tblPr>
      <w:tr>
        <w:trPr>
          <w:trHeight w:val="192"/>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80" w:type="dxa"/>
            <w:vAlign w:val="bottom"/>
          </w:tcPr>
          <w:p>
            <w:pPr>
              <w:jc w:val="right"/>
              <w:ind w:right="1500"/>
              <w:spacing w:after="0"/>
              <w:rPr>
                <w:sz w:val="20"/>
                <w:szCs w:val="20"/>
                <w:color w:val="auto"/>
              </w:rPr>
            </w:pPr>
            <w:r>
              <w:rPr>
                <w:rFonts w:ascii="PMingLiU" w:cs="PMingLiU" w:eastAsia="PMingLiU" w:hAnsi="PMingLiU"/>
                <w:sz w:val="16"/>
                <w:szCs w:val="16"/>
                <w:color w:val="auto"/>
              </w:rPr>
              <w:t>6</w:t>
            </w:r>
          </w:p>
        </w:tc>
        <w:tc>
          <w:tcPr>
            <w:tcW w:w="36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jc w:val="right"/>
              <w:spacing w:after="0"/>
              <w:rPr>
                <w:sz w:val="20"/>
                <w:szCs w:val="20"/>
                <w:color w:val="auto"/>
              </w:rPr>
            </w:pPr>
            <w:r>
              <w:rPr>
                <w:rFonts w:ascii="PMingLiU" w:cs="PMingLiU" w:eastAsia="PMingLiU" w:hAnsi="PMingLiU"/>
                <w:sz w:val="16"/>
                <w:szCs w:val="16"/>
                <w:color w:val="auto"/>
              </w:rPr>
              <w:t></w:t>
            </w:r>
          </w:p>
        </w:tc>
      </w:tr>
      <w:tr>
        <w:trPr>
          <w:trHeight w:val="193"/>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80" w:type="dxa"/>
            <w:vAlign w:val="bottom"/>
          </w:tcPr>
          <w:p>
            <w:pPr>
              <w:jc w:val="right"/>
              <w:ind w:right="1500"/>
              <w:spacing w:after="0"/>
              <w:rPr>
                <w:sz w:val="20"/>
                <w:szCs w:val="20"/>
                <w:color w:val="auto"/>
              </w:rPr>
            </w:pPr>
            <w:r>
              <w:rPr>
                <w:rFonts w:ascii="PMingLiU" w:cs="PMingLiU" w:eastAsia="PMingLiU" w:hAnsi="PMingLiU"/>
                <w:sz w:val="16"/>
                <w:szCs w:val="16"/>
                <w:color w:val="auto"/>
              </w:rPr>
              <w:t></w:t>
            </w:r>
          </w:p>
        </w:tc>
        <w:tc>
          <w:tcPr>
            <w:tcW w:w="36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jc w:val="right"/>
              <w:spacing w:after="0"/>
              <w:rPr>
                <w:sz w:val="20"/>
                <w:szCs w:val="20"/>
                <w:color w:val="auto"/>
              </w:rPr>
            </w:pPr>
            <w:r>
              <w:rPr>
                <w:rFonts w:ascii="PMingLiU" w:cs="PMingLiU" w:eastAsia="PMingLiU" w:hAnsi="PMingLiU"/>
                <w:sz w:val="16"/>
                <w:szCs w:val="16"/>
                <w:color w:val="auto"/>
              </w:rPr>
              <w:t></w:t>
            </w:r>
          </w:p>
        </w:tc>
      </w:tr>
      <w:tr>
        <w:trPr>
          <w:trHeight w:val="193"/>
        </w:trPr>
        <w:tc>
          <w:tcPr>
            <w:tcW w:w="18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jc w:val="right"/>
              <w:spacing w:after="0"/>
              <w:rPr>
                <w:sz w:val="20"/>
                <w:szCs w:val="20"/>
                <w:color w:val="auto"/>
              </w:rPr>
            </w:pPr>
            <w:r>
              <w:rPr>
                <w:rFonts w:ascii="PMingLiU" w:cs="PMingLiU" w:eastAsia="PMingLiU" w:hAnsi="PMingLiU"/>
                <w:sz w:val="16"/>
                <w:szCs w:val="16"/>
                <w:color w:val="auto"/>
              </w:rPr>
              <w:t></w:t>
            </w:r>
          </w:p>
        </w:tc>
      </w:tr>
    </w:tbl>
    <w:p>
      <w:pPr>
        <w:spacing w:after="0" w:line="84" w:lineRule="exact"/>
        <w:rPr>
          <w:sz w:val="24"/>
          <w:szCs w:val="24"/>
          <w:color w:val="auto"/>
        </w:rPr>
      </w:pPr>
    </w:p>
    <w:p>
      <w:pPr>
        <w:ind w:firstLine="480"/>
        <w:spacing w:after="0" w:line="226"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6"/>
          <w:szCs w:val="16"/>
          <w:color w:val="auto"/>
        </w:rPr>
        <w:t></w:t>
      </w:r>
    </w:p>
    <w:p>
      <w:pPr>
        <w:spacing w:after="0" w:line="63" w:lineRule="exact"/>
        <w:rPr>
          <w:sz w:val="24"/>
          <w:szCs w:val="24"/>
          <w:color w:val="auto"/>
        </w:rPr>
      </w:pPr>
    </w:p>
    <w:p>
      <w:pPr>
        <w:ind w:firstLine="480"/>
        <w:spacing w:after="0" w:line="242"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5"/>
          <w:szCs w:val="15"/>
          <w:color w:val="auto"/>
        </w:rPr>
        <w:t>6</w:t>
      </w:r>
    </w:p>
    <w:p>
      <w:pPr>
        <w:spacing w:after="0" w:line="62" w:lineRule="exact"/>
        <w:rPr>
          <w:sz w:val="24"/>
          <w:szCs w:val="24"/>
          <w:color w:val="auto"/>
        </w:rPr>
      </w:pPr>
    </w:p>
    <w:p>
      <w:pPr>
        <w:ind w:firstLine="480"/>
        <w:spacing w:after="0" w:line="226"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6"/>
          <w:szCs w:val="16"/>
          <w:color w:val="auto"/>
        </w:rPr>
        <w:t></w:t>
      </w:r>
    </w:p>
    <w:p>
      <w:pPr>
        <w:spacing w:after="0" w:line="63" w:lineRule="exact"/>
        <w:rPr>
          <w:sz w:val="24"/>
          <w:szCs w:val="24"/>
          <w:color w:val="auto"/>
        </w:rPr>
      </w:pPr>
    </w:p>
    <w:p>
      <w:pPr>
        <w:ind w:firstLine="480"/>
        <w:spacing w:after="0" w:line="226"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6"/>
          <w:szCs w:val="16"/>
          <w:color w:val="auto"/>
        </w:rPr>
        <w:t></w:t>
      </w:r>
    </w:p>
    <w:p>
      <w:pPr>
        <w:spacing w:after="0" w:line="4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spacing w:after="0" w:line="63" w:lineRule="exact"/>
        <w:rPr>
          <w:sz w:val="24"/>
          <w:szCs w:val="24"/>
          <w:color w:val="auto"/>
        </w:rPr>
      </w:pPr>
    </w:p>
    <w:p>
      <w:pPr>
        <w:ind w:firstLine="480"/>
        <w:spacing w:after="0" w:line="232" w:lineRule="auto"/>
        <w:rPr>
          <w:sz w:val="20"/>
          <w:szCs w:val="20"/>
          <w:color w:val="auto"/>
        </w:rPr>
      </w:pPr>
      <w:r>
        <w:rPr>
          <w:rFonts w:ascii="Times New Roman" w:cs="Times New Roman" w:eastAsia="Times New Roman" w:hAnsi="Times New Roman"/>
          <w:sz w:val="16"/>
          <w:szCs w:val="16"/>
          <w:color w:val="auto"/>
        </w:rPr>
        <w:t>The aggregate market value of voting stock held by non-affiliates of the Registrant on June 30, 2025, based on the closing price of $10.73 for shares of the Registrant’s Class A common stock, was approximately $3,580.2 million.</w:t>
      </w:r>
    </w:p>
    <w:p>
      <w:pPr>
        <w:spacing w:after="0" w:line="64" w:lineRule="exact"/>
        <w:rPr>
          <w:sz w:val="24"/>
          <w:szCs w:val="24"/>
          <w:color w:val="auto"/>
        </w:rPr>
      </w:pPr>
    </w:p>
    <w:p>
      <w:pPr>
        <w:ind w:firstLine="480"/>
        <w:spacing w:after="0" w:line="232" w:lineRule="auto"/>
        <w:rPr>
          <w:sz w:val="20"/>
          <w:szCs w:val="20"/>
          <w:color w:val="auto"/>
        </w:rPr>
      </w:pPr>
      <w:r>
        <w:rPr>
          <w:rFonts w:ascii="Times New Roman" w:cs="Times New Roman" w:eastAsia="Times New Roman" w:hAnsi="Times New Roman"/>
          <w:sz w:val="16"/>
          <w:szCs w:val="16"/>
          <w:color w:val="auto"/>
        </w:rPr>
        <w:t>As of February 26, 2026, there were 390,278,787 shares of the Company’s Class A common stock, $0.0001 par value per share, issued and outstanding, and 32,535,408 shares of the Company’s Class B common stock, $0.0001 par value per share, issued and outstanding.</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55245</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5pt" to="540pt,4.35pt" o:allowincell="f" strokecolor="#000000" strokeweight="0.50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80645</wp:posOffset>
                </wp:positionV>
                <wp:extent cx="6858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5pt" to="540pt,6.35pt" o:allowincell="f" strokecolor="#000000" strokeweight="1.5pt"/>
            </w:pict>
          </mc:Fallback>
        </mc:AlternateContent>
      </w:r>
    </w:p>
    <w:p>
      <w:pPr>
        <w:sectPr>
          <w:pgSz w:w="12240" w:h="15840" w:orient="portrait"/>
          <w:cols w:equalWidth="0" w:num="1">
            <w:col w:w="10800"/>
          </w:cols>
          <w:pgMar w:left="720" w:top="880" w:right="720" w:bottom="501" w:gutter="0" w:footer="0" w:header="0"/>
        </w:sectPr>
      </w:pPr>
    </w:p>
    <w:bookmarkStart w:id="1" w:name="page2"/>
    <w:bookmarkEnd w:id="1"/>
    <w:p>
      <w:pPr>
        <w:ind w:left="3580"/>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5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9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 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5410200</wp:posOffset>
                </wp:positionH>
                <wp:positionV relativeFrom="paragraph">
                  <wp:posOffset>13970</wp:posOffset>
                </wp:positionV>
                <wp:extent cx="4445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pt,1.1pt" to="461pt,1.1pt" o:allowincell="f" strokecolor="#000000" strokeweight="0.5pt"/>
            </w:pict>
          </mc:Fallback>
        </mc:AlternateConten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0" w:lineRule="exact"/>
        <w:rPr>
          <w:sz w:val="20"/>
          <w:szCs w:val="20"/>
          <w:color w:val="auto"/>
        </w:rPr>
      </w:pPr>
    </w:p>
    <w:p>
      <w:pPr>
        <w:ind w:left="200"/>
        <w:spacing w:after="0"/>
        <w:tabs>
          <w:tab w:leader="none" w:pos="1020" w:val="left"/>
          <w:tab w:leader="none" w:pos="8840" w:val="left"/>
        </w:tabs>
        <w:rPr>
          <w:sz w:val="20"/>
          <w:szCs w:val="20"/>
          <w:color w:val="auto"/>
        </w:rPr>
      </w:pPr>
      <w:r>
        <w:rPr>
          <w:rFonts w:ascii="Times New Roman" w:cs="Times New Roman" w:eastAsia="Times New Roman" w:hAnsi="Times New Roman"/>
          <w:sz w:val="20"/>
          <w:szCs w:val="20"/>
          <w:color w:val="auto"/>
        </w:rPr>
        <w:t>Item 1.</w:t>
        <w:tab/>
        <w:t>Business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30" w:lineRule="exact"/>
        <w:rPr>
          <w:sz w:val="20"/>
          <w:szCs w:val="20"/>
          <w:color w:val="auto"/>
        </w:rPr>
      </w:pPr>
    </w:p>
    <w:p>
      <w:pPr>
        <w:ind w:left="200"/>
        <w:spacing w:after="0"/>
        <w:tabs>
          <w:tab w:leader="none" w:pos="8780" w:val="left"/>
        </w:tabs>
        <w:rPr>
          <w:sz w:val="20"/>
          <w:szCs w:val="20"/>
          <w:color w:val="auto"/>
        </w:rPr>
      </w:pPr>
      <w:r>
        <w:rPr>
          <w:rFonts w:ascii="Times New Roman" w:cs="Times New Roman" w:eastAsia="Times New Roman" w:hAnsi="Times New Roman"/>
          <w:sz w:val="20"/>
          <w:szCs w:val="20"/>
          <w:color w:val="auto"/>
        </w:rPr>
        <w:t>Item 1A.  Risk Factors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w:t>
      </w:r>
    </w:p>
    <w:p>
      <w:pPr>
        <w:spacing w:after="0" w:line="30" w:lineRule="exact"/>
        <w:rPr>
          <w:sz w:val="20"/>
          <w:szCs w:val="20"/>
          <w:color w:val="auto"/>
        </w:rPr>
      </w:pPr>
    </w:p>
    <w:p>
      <w:pPr>
        <w:ind w:left="200"/>
        <w:spacing w:after="0"/>
        <w:tabs>
          <w:tab w:leader="none" w:pos="8780" w:val="left"/>
        </w:tabs>
        <w:rPr>
          <w:sz w:val="20"/>
          <w:szCs w:val="20"/>
          <w:color w:val="auto"/>
        </w:rPr>
      </w:pPr>
      <w:r>
        <w:rPr>
          <w:rFonts w:ascii="Times New Roman" w:cs="Times New Roman" w:eastAsia="Times New Roman" w:hAnsi="Times New Roman"/>
          <w:sz w:val="20"/>
          <w:szCs w:val="20"/>
          <w:color w:val="auto"/>
        </w:rPr>
        <w:t>Item 1B.  Unresolved Staff Comments . . . . . . . . . . . . . . . . . . . . . . . . . . . . . . . . . . . . . . . . . . . . . . . . . . .</w:t>
      </w:r>
      <w:r>
        <w:rPr>
          <w:sz w:val="20"/>
          <w:szCs w:val="20"/>
          <w:color w:val="auto"/>
        </w:rPr>
        <w:tab/>
      </w:r>
      <w:r>
        <w:rPr>
          <w:rFonts w:ascii="Times New Roman" w:cs="Times New Roman" w:eastAsia="Times New Roman" w:hAnsi="Times New Roman"/>
          <w:sz w:val="20"/>
          <w:szCs w:val="20"/>
          <w:color w:val="auto"/>
        </w:rPr>
        <w:t>39</w:t>
      </w:r>
    </w:p>
    <w:p>
      <w:pPr>
        <w:spacing w:after="0" w:line="30" w:lineRule="exact"/>
        <w:rPr>
          <w:sz w:val="20"/>
          <w:szCs w:val="20"/>
          <w:color w:val="auto"/>
        </w:rPr>
      </w:pPr>
    </w:p>
    <w:p>
      <w:pPr>
        <w:ind w:left="200"/>
        <w:spacing w:after="0"/>
        <w:tabs>
          <w:tab w:leader="none" w:pos="8780" w:val="left"/>
        </w:tabs>
        <w:rPr>
          <w:sz w:val="20"/>
          <w:szCs w:val="20"/>
          <w:color w:val="auto"/>
        </w:rPr>
      </w:pPr>
      <w:r>
        <w:rPr>
          <w:rFonts w:ascii="Times New Roman" w:cs="Times New Roman" w:eastAsia="Times New Roman" w:hAnsi="Times New Roman"/>
          <w:sz w:val="20"/>
          <w:szCs w:val="20"/>
          <w:color w:val="auto"/>
        </w:rPr>
        <w:t>Item 1C.  Cybersecurity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39</w:t>
      </w:r>
    </w:p>
    <w:p>
      <w:pPr>
        <w:spacing w:after="0" w:line="30" w:lineRule="exact"/>
        <w:rPr>
          <w:sz w:val="20"/>
          <w:szCs w:val="20"/>
          <w:color w:val="auto"/>
        </w:rPr>
      </w:pPr>
    </w:p>
    <w:p>
      <w:pPr>
        <w:ind w:left="200"/>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2.</w:t>
        <w:tab/>
        <w:t>Properties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30" w:lineRule="exact"/>
        <w:rPr>
          <w:sz w:val="20"/>
          <w:szCs w:val="20"/>
          <w:color w:val="auto"/>
        </w:rPr>
      </w:pPr>
    </w:p>
    <w:p>
      <w:pPr>
        <w:ind w:left="200"/>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3.</w:t>
        <w:tab/>
        <w:t>Legal Proceedings . . . . . . . .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30" w:lineRule="exact"/>
        <w:rPr>
          <w:sz w:val="20"/>
          <w:szCs w:val="20"/>
          <w:color w:val="auto"/>
        </w:rPr>
      </w:pPr>
    </w:p>
    <w:p>
      <w:pPr>
        <w:ind w:left="200"/>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4.</w:t>
        <w:tab/>
        <w:t>Mine Safety Disclosures . . .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0"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w:t>
      </w:r>
    </w:p>
    <w:p>
      <w:pPr>
        <w:ind w:left="1240"/>
        <w:spacing w:after="0" w:line="229" w:lineRule="auto"/>
        <w:tabs>
          <w:tab w:leader="none" w:pos="878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 . . .</w:t>
      </w:r>
      <w:r>
        <w:rPr>
          <w:sz w:val="20"/>
          <w:szCs w:val="20"/>
          <w:color w:val="auto"/>
        </w:rPr>
        <w:tab/>
      </w:r>
      <w:r>
        <w:rPr>
          <w:rFonts w:ascii="Times New Roman" w:cs="Times New Roman" w:eastAsia="Times New Roman" w:hAnsi="Times New Roman"/>
          <w:sz w:val="20"/>
          <w:szCs w:val="20"/>
          <w:color w:val="auto"/>
        </w:rPr>
        <w:t>41</w:t>
      </w:r>
    </w:p>
    <w:p>
      <w:pPr>
        <w:spacing w:after="0" w:line="31" w:lineRule="exact"/>
        <w:rPr>
          <w:sz w:val="20"/>
          <w:szCs w:val="20"/>
          <w:color w:val="auto"/>
        </w:rPr>
      </w:pPr>
    </w:p>
    <w:p>
      <w:pPr>
        <w:ind w:left="200"/>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6.</w:t>
        <w:tab/>
        <w:t>[Reserved]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42</w:t>
      </w:r>
    </w:p>
    <w:p>
      <w:pPr>
        <w:spacing w:after="0" w:line="30" w:lineRule="exact"/>
        <w:rPr>
          <w:sz w:val="20"/>
          <w:szCs w:val="20"/>
          <w:color w:val="auto"/>
        </w:rPr>
      </w:pPr>
    </w:p>
    <w:p>
      <w:pPr>
        <w:ind w:left="200"/>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 Results of Operations . .</w:t>
      </w:r>
      <w:r>
        <w:rPr>
          <w:sz w:val="20"/>
          <w:szCs w:val="20"/>
          <w:color w:val="auto"/>
        </w:rPr>
        <w:tab/>
      </w:r>
      <w:r>
        <w:rPr>
          <w:rFonts w:ascii="Times New Roman" w:cs="Times New Roman" w:eastAsia="Times New Roman" w:hAnsi="Times New Roman"/>
          <w:sz w:val="20"/>
          <w:szCs w:val="20"/>
          <w:color w:val="auto"/>
        </w:rPr>
        <w:t>42</w:t>
      </w:r>
    </w:p>
    <w:p>
      <w:pPr>
        <w:spacing w:after="0" w:line="30" w:lineRule="exact"/>
        <w:rPr>
          <w:sz w:val="20"/>
          <w:szCs w:val="20"/>
          <w:color w:val="auto"/>
        </w:rPr>
      </w:pPr>
    </w:p>
    <w:p>
      <w:pPr>
        <w:ind w:left="200"/>
        <w:spacing w:after="0"/>
        <w:tabs>
          <w:tab w:leader="none" w:pos="8780" w:val="left"/>
        </w:tabs>
        <w:rPr>
          <w:sz w:val="20"/>
          <w:szCs w:val="20"/>
          <w:color w:val="auto"/>
        </w:rPr>
      </w:pPr>
      <w:r>
        <w:rPr>
          <w:rFonts w:ascii="Times New Roman" w:cs="Times New Roman" w:eastAsia="Times New Roman" w:hAnsi="Times New Roman"/>
          <w:sz w:val="20"/>
          <w:szCs w:val="20"/>
          <w:color w:val="auto"/>
        </w:rPr>
        <w:t>Item 7A.  Quantitative and Qualitative Disclosures about Market Risk . . . . . . . . . . . . . . . . . . . . . . . . . .</w:t>
      </w:r>
      <w:r>
        <w:rPr>
          <w:sz w:val="20"/>
          <w:szCs w:val="20"/>
          <w:color w:val="auto"/>
        </w:rPr>
        <w:tab/>
      </w:r>
      <w:r>
        <w:rPr>
          <w:rFonts w:ascii="Times New Roman" w:cs="Times New Roman" w:eastAsia="Times New Roman" w:hAnsi="Times New Roman"/>
          <w:sz w:val="20"/>
          <w:szCs w:val="20"/>
          <w:color w:val="auto"/>
        </w:rPr>
        <w:t>63</w:t>
      </w:r>
    </w:p>
    <w:p>
      <w:pPr>
        <w:spacing w:after="0" w:line="30" w:lineRule="exact"/>
        <w:rPr>
          <w:sz w:val="20"/>
          <w:szCs w:val="20"/>
          <w:color w:val="auto"/>
        </w:rPr>
      </w:pPr>
    </w:p>
    <w:p>
      <w:pPr>
        <w:ind w:left="200"/>
        <w:spacing w:after="0"/>
        <w:tabs>
          <w:tab w:leader="none" w:pos="1020" w:val="left"/>
          <w:tab w:leader="none" w:pos="8780" w:val="left"/>
        </w:tabs>
        <w:rPr>
          <w:sz w:val="20"/>
          <w:szCs w:val="20"/>
          <w:color w:val="auto"/>
        </w:rPr>
      </w:pPr>
      <w:r>
        <w:rPr>
          <w:rFonts w:ascii="Times New Roman" w:cs="Times New Roman" w:eastAsia="Times New Roman" w:hAnsi="Times New Roman"/>
          <w:sz w:val="20"/>
          <w:szCs w:val="20"/>
          <w:color w:val="auto"/>
        </w:rPr>
        <w:t>Item 8.</w:t>
        <w:tab/>
        <w:t>Financial Statements and Supplementary Data . . . . . . . . . . . . . . . . . . . . . . . . . . . . . . . . . . . . .</w:t>
      </w:r>
      <w:r>
        <w:rPr>
          <w:sz w:val="20"/>
          <w:szCs w:val="20"/>
          <w:color w:val="auto"/>
        </w:rPr>
        <w:tab/>
      </w:r>
      <w:r>
        <w:rPr>
          <w:rFonts w:ascii="Times New Roman" w:cs="Times New Roman" w:eastAsia="Times New Roman" w:hAnsi="Times New Roman"/>
          <w:sz w:val="20"/>
          <w:szCs w:val="20"/>
          <w:color w:val="auto"/>
        </w:rPr>
        <w:t>64</w:t>
      </w:r>
    </w:p>
    <w:p>
      <w:pPr>
        <w:spacing w:after="0" w:line="30" w:lineRule="exact"/>
        <w:rPr>
          <w:sz w:val="20"/>
          <w:szCs w:val="20"/>
          <w:color w:val="auto"/>
        </w:rPr>
      </w:pPr>
    </w:p>
    <w:p>
      <w:pPr>
        <w:ind w:left="200"/>
        <w:spacing w:after="0"/>
        <w:tabs>
          <w:tab w:leader="none" w:pos="1020" w:val="left"/>
          <w:tab w:leader="none" w:pos="874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 Financial Disclosure. . .</w:t>
      </w:r>
      <w:r>
        <w:rPr>
          <w:sz w:val="20"/>
          <w:szCs w:val="20"/>
          <w:color w:val="auto"/>
        </w:rPr>
        <w:tab/>
      </w:r>
      <w:r>
        <w:rPr>
          <w:rFonts w:ascii="Times New Roman" w:cs="Times New Roman" w:eastAsia="Times New Roman" w:hAnsi="Times New Roman"/>
          <w:sz w:val="20"/>
          <w:szCs w:val="20"/>
          <w:color w:val="auto"/>
        </w:rPr>
        <w:t>125</w:t>
      </w:r>
    </w:p>
    <w:p>
      <w:pPr>
        <w:spacing w:after="0" w:line="30" w:lineRule="exact"/>
        <w:rPr>
          <w:sz w:val="20"/>
          <w:szCs w:val="20"/>
          <w:color w:val="auto"/>
        </w:rPr>
      </w:pPr>
    </w:p>
    <w:p>
      <w:pPr>
        <w:ind w:left="200"/>
        <w:spacing w:after="0"/>
        <w:tabs>
          <w:tab w:leader="none" w:pos="8740" w:val="left"/>
        </w:tabs>
        <w:rPr>
          <w:sz w:val="20"/>
          <w:szCs w:val="20"/>
          <w:color w:val="auto"/>
        </w:rPr>
      </w:pPr>
      <w:r>
        <w:rPr>
          <w:rFonts w:ascii="Times New Roman" w:cs="Times New Roman" w:eastAsia="Times New Roman" w:hAnsi="Times New Roman"/>
          <w:sz w:val="20"/>
          <w:szCs w:val="20"/>
          <w:color w:val="auto"/>
        </w:rPr>
        <w:t>Item 9A.  Controls and Procedures . . . . . . . . . . . . . . . . . . . . . . . . . . . . . . . . . . . . . . . . . . . . . . . . . . . . . .</w:t>
      </w:r>
      <w:r>
        <w:rPr>
          <w:sz w:val="20"/>
          <w:szCs w:val="20"/>
          <w:color w:val="auto"/>
        </w:rPr>
        <w:tab/>
      </w:r>
      <w:r>
        <w:rPr>
          <w:rFonts w:ascii="Times New Roman" w:cs="Times New Roman" w:eastAsia="Times New Roman" w:hAnsi="Times New Roman"/>
          <w:sz w:val="20"/>
          <w:szCs w:val="20"/>
          <w:color w:val="auto"/>
        </w:rPr>
        <w:t>125</w:t>
      </w:r>
    </w:p>
    <w:p>
      <w:pPr>
        <w:spacing w:after="0" w:line="30" w:lineRule="exact"/>
        <w:rPr>
          <w:sz w:val="20"/>
          <w:szCs w:val="20"/>
          <w:color w:val="auto"/>
        </w:rPr>
      </w:pPr>
    </w:p>
    <w:p>
      <w:pPr>
        <w:ind w:left="200"/>
        <w:spacing w:after="0"/>
        <w:tabs>
          <w:tab w:leader="none" w:pos="8740" w:val="left"/>
        </w:tabs>
        <w:rPr>
          <w:sz w:val="20"/>
          <w:szCs w:val="20"/>
          <w:color w:val="auto"/>
        </w:rPr>
      </w:pPr>
      <w:r>
        <w:rPr>
          <w:rFonts w:ascii="Times New Roman" w:cs="Times New Roman" w:eastAsia="Times New Roman" w:hAnsi="Times New Roman"/>
          <w:sz w:val="20"/>
          <w:szCs w:val="20"/>
          <w:color w:val="auto"/>
        </w:rPr>
        <w:t>Item 9B.  Other Information . . . . . . . . . . . . . . . . . . . . . . . . . . . . . . . . . . . . . . . . . . . . . . . . . . . . . . . . . . .</w:t>
      </w:r>
      <w:r>
        <w:rPr>
          <w:sz w:val="20"/>
          <w:szCs w:val="20"/>
          <w:color w:val="auto"/>
        </w:rPr>
        <w:tab/>
      </w:r>
      <w:r>
        <w:rPr>
          <w:rFonts w:ascii="Times New Roman" w:cs="Times New Roman" w:eastAsia="Times New Roman" w:hAnsi="Times New Roman"/>
          <w:sz w:val="20"/>
          <w:szCs w:val="20"/>
          <w:color w:val="auto"/>
        </w:rPr>
        <w:t>127</w:t>
      </w:r>
    </w:p>
    <w:p>
      <w:pPr>
        <w:spacing w:after="0" w:line="30" w:lineRule="exact"/>
        <w:rPr>
          <w:sz w:val="20"/>
          <w:szCs w:val="20"/>
          <w:color w:val="auto"/>
        </w:rPr>
      </w:pPr>
    </w:p>
    <w:p>
      <w:pPr>
        <w:ind w:left="200"/>
        <w:spacing w:after="0"/>
        <w:tabs>
          <w:tab w:leader="none" w:pos="8740" w:val="left"/>
        </w:tabs>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 . . . . . . . . . . . . . . . . . . .</w:t>
      </w:r>
      <w:r>
        <w:rPr>
          <w:sz w:val="20"/>
          <w:szCs w:val="20"/>
          <w:color w:val="auto"/>
        </w:rPr>
        <w:tab/>
      </w:r>
      <w:r>
        <w:rPr>
          <w:rFonts w:ascii="Times New Roman" w:cs="Times New Roman" w:eastAsia="Times New Roman" w:hAnsi="Times New Roman"/>
          <w:sz w:val="20"/>
          <w:szCs w:val="20"/>
          <w:color w:val="auto"/>
        </w:rPr>
        <w:t>127</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0" w:lineRule="exact"/>
        <w:rPr>
          <w:sz w:val="20"/>
          <w:szCs w:val="20"/>
          <w:color w:val="auto"/>
        </w:rPr>
      </w:pPr>
    </w:p>
    <w:p>
      <w:pPr>
        <w:ind w:left="200"/>
        <w:spacing w:after="0"/>
        <w:tabs>
          <w:tab w:leader="none" w:pos="1020" w:val="left"/>
          <w:tab w:leader="none" w:pos="874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 . . . . . . . . . . . . . . . . . . . . . . . . . . . .</w:t>
      </w:r>
      <w:r>
        <w:rPr>
          <w:sz w:val="20"/>
          <w:szCs w:val="20"/>
          <w:color w:val="auto"/>
        </w:rPr>
        <w:tab/>
      </w:r>
      <w:r>
        <w:rPr>
          <w:rFonts w:ascii="Times New Roman" w:cs="Times New Roman" w:eastAsia="Times New Roman" w:hAnsi="Times New Roman"/>
          <w:sz w:val="20"/>
          <w:szCs w:val="20"/>
          <w:color w:val="auto"/>
        </w:rPr>
        <w:t>128</w:t>
      </w:r>
    </w:p>
    <w:p>
      <w:pPr>
        <w:spacing w:after="0" w:line="30" w:lineRule="exact"/>
        <w:rPr>
          <w:sz w:val="20"/>
          <w:szCs w:val="20"/>
          <w:color w:val="auto"/>
        </w:rPr>
      </w:pPr>
    </w:p>
    <w:p>
      <w:pPr>
        <w:ind w:left="200"/>
        <w:spacing w:after="0"/>
        <w:tabs>
          <w:tab w:leader="none" w:pos="1020" w:val="left"/>
          <w:tab w:leader="none" w:pos="8740" w:val="left"/>
        </w:tabs>
        <w:rPr>
          <w:sz w:val="20"/>
          <w:szCs w:val="20"/>
          <w:color w:val="auto"/>
        </w:rPr>
      </w:pPr>
      <w:r>
        <w:rPr>
          <w:rFonts w:ascii="Times New Roman" w:cs="Times New Roman" w:eastAsia="Times New Roman" w:hAnsi="Times New Roman"/>
          <w:sz w:val="20"/>
          <w:szCs w:val="20"/>
          <w:color w:val="auto"/>
        </w:rPr>
        <w:t>Item 11.</w:t>
        <w:tab/>
        <w:t>Executive Compensation . . . . . . . . . . . . . . . . . . . . . . . . . . . . . . . . . . . . . . . . . . . . . . . . . . . . . .</w:t>
      </w:r>
      <w:r>
        <w:rPr>
          <w:sz w:val="20"/>
          <w:szCs w:val="20"/>
          <w:color w:val="auto"/>
        </w:rPr>
        <w:tab/>
      </w:r>
      <w:r>
        <w:rPr>
          <w:rFonts w:ascii="Times New Roman" w:cs="Times New Roman" w:eastAsia="Times New Roman" w:hAnsi="Times New Roman"/>
          <w:sz w:val="20"/>
          <w:szCs w:val="20"/>
          <w:color w:val="auto"/>
        </w:rPr>
        <w:t>132</w:t>
      </w:r>
    </w:p>
    <w:p>
      <w:pPr>
        <w:spacing w:after="0" w:line="30"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w:t>
      </w:r>
    </w:p>
    <w:p>
      <w:pPr>
        <w:ind w:left="124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 . . .</w:t>
      </w:r>
      <w:r>
        <w:rPr>
          <w:sz w:val="20"/>
          <w:szCs w:val="20"/>
          <w:color w:val="auto"/>
        </w:rPr>
        <w:tab/>
      </w:r>
      <w:r>
        <w:rPr>
          <w:rFonts w:ascii="Times New Roman" w:cs="Times New Roman" w:eastAsia="Times New Roman" w:hAnsi="Times New Roman"/>
          <w:sz w:val="20"/>
          <w:szCs w:val="20"/>
          <w:color w:val="auto"/>
        </w:rPr>
        <w:t>146</w:t>
      </w:r>
    </w:p>
    <w:p>
      <w:pPr>
        <w:spacing w:after="0" w:line="31" w:lineRule="exact"/>
        <w:rPr>
          <w:sz w:val="20"/>
          <w:szCs w:val="20"/>
          <w:color w:val="auto"/>
        </w:rPr>
      </w:pPr>
    </w:p>
    <w:p>
      <w:pPr>
        <w:ind w:left="200"/>
        <w:spacing w:after="0"/>
        <w:tabs>
          <w:tab w:leader="none" w:pos="1020" w:val="left"/>
          <w:tab w:leader="none" w:pos="874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 . . . . . . . . . . . . .</w:t>
      </w:r>
      <w:r>
        <w:rPr>
          <w:sz w:val="20"/>
          <w:szCs w:val="20"/>
          <w:color w:val="auto"/>
        </w:rPr>
        <w:tab/>
      </w:r>
      <w:r>
        <w:rPr>
          <w:rFonts w:ascii="Times New Roman" w:cs="Times New Roman" w:eastAsia="Times New Roman" w:hAnsi="Times New Roman"/>
          <w:sz w:val="20"/>
          <w:szCs w:val="20"/>
          <w:color w:val="auto"/>
        </w:rPr>
        <w:t>148</w:t>
      </w:r>
    </w:p>
    <w:p>
      <w:pPr>
        <w:spacing w:after="0" w:line="30" w:lineRule="exact"/>
        <w:rPr>
          <w:sz w:val="20"/>
          <w:szCs w:val="20"/>
          <w:color w:val="auto"/>
        </w:rPr>
      </w:pPr>
    </w:p>
    <w:p>
      <w:pPr>
        <w:ind w:left="200"/>
        <w:spacing w:after="0"/>
        <w:tabs>
          <w:tab w:leader="none" w:pos="1020" w:val="left"/>
          <w:tab w:leader="none" w:pos="8740" w:val="left"/>
        </w:tabs>
        <w:rPr>
          <w:sz w:val="20"/>
          <w:szCs w:val="20"/>
          <w:color w:val="auto"/>
        </w:rPr>
      </w:pPr>
      <w:r>
        <w:rPr>
          <w:rFonts w:ascii="Times New Roman" w:cs="Times New Roman" w:eastAsia="Times New Roman" w:hAnsi="Times New Roman"/>
          <w:sz w:val="20"/>
          <w:szCs w:val="20"/>
          <w:color w:val="auto"/>
        </w:rPr>
        <w:t>Item 14.</w:t>
        <w:tab/>
        <w:t>Principal Accountant Fees and Services . . . . . . . . . . . . . . . . . . . . . . . . . . . . . . . . . . . . . . . . . .</w:t>
      </w:r>
      <w:r>
        <w:rPr>
          <w:sz w:val="20"/>
          <w:szCs w:val="20"/>
          <w:color w:val="auto"/>
        </w:rPr>
        <w:tab/>
      </w:r>
      <w:r>
        <w:rPr>
          <w:rFonts w:ascii="Times New Roman" w:cs="Times New Roman" w:eastAsia="Times New Roman" w:hAnsi="Times New Roman"/>
          <w:sz w:val="20"/>
          <w:szCs w:val="20"/>
          <w:color w:val="auto"/>
        </w:rPr>
        <w:t>150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0" w:lineRule="exact"/>
        <w:rPr>
          <w:sz w:val="20"/>
          <w:szCs w:val="20"/>
          <w:color w:val="auto"/>
        </w:rPr>
      </w:pPr>
    </w:p>
    <w:p>
      <w:pPr>
        <w:ind w:left="200"/>
        <w:spacing w:after="0"/>
        <w:tabs>
          <w:tab w:leader="none" w:pos="1020" w:val="left"/>
          <w:tab w:leader="none" w:pos="8740" w:val="left"/>
        </w:tabs>
        <w:rPr>
          <w:sz w:val="20"/>
          <w:szCs w:val="20"/>
          <w:color w:val="auto"/>
        </w:rPr>
      </w:pPr>
      <w:r>
        <w:rPr>
          <w:rFonts w:ascii="Times New Roman" w:cs="Times New Roman" w:eastAsia="Times New Roman" w:hAnsi="Times New Roman"/>
          <w:sz w:val="20"/>
          <w:szCs w:val="20"/>
          <w:color w:val="auto"/>
        </w:rPr>
        <w:t>Item 15.</w:t>
        <w:tab/>
        <w:t>Exhibits and Financial Statement Schedules . . . . . . . . . . . . . . . . . . . . . . . . . . . . . . . . . . . . . .</w:t>
      </w:r>
      <w:r>
        <w:rPr>
          <w:sz w:val="20"/>
          <w:szCs w:val="20"/>
          <w:color w:val="auto"/>
        </w:rPr>
        <w:tab/>
      </w:r>
      <w:r>
        <w:rPr>
          <w:rFonts w:ascii="Times New Roman" w:cs="Times New Roman" w:eastAsia="Times New Roman" w:hAnsi="Times New Roman"/>
          <w:sz w:val="20"/>
          <w:szCs w:val="20"/>
          <w:color w:val="auto"/>
        </w:rPr>
        <w:t>151</w:t>
      </w:r>
    </w:p>
    <w:p>
      <w:pPr>
        <w:spacing w:after="0" w:line="30" w:lineRule="exact"/>
        <w:rPr>
          <w:sz w:val="20"/>
          <w:szCs w:val="20"/>
          <w:color w:val="auto"/>
        </w:rPr>
      </w:pPr>
    </w:p>
    <w:p>
      <w:pPr>
        <w:ind w:left="200"/>
        <w:spacing w:after="0"/>
        <w:tabs>
          <w:tab w:leader="none" w:pos="1020" w:val="left"/>
          <w:tab w:leader="none" w:pos="8740" w:val="left"/>
        </w:tabs>
        <w:rPr>
          <w:sz w:val="20"/>
          <w:szCs w:val="20"/>
          <w:color w:val="auto"/>
        </w:rPr>
      </w:pPr>
      <w:r>
        <w:rPr>
          <w:rFonts w:ascii="Times New Roman" w:cs="Times New Roman" w:eastAsia="Times New Roman" w:hAnsi="Times New Roman"/>
          <w:sz w:val="20"/>
          <w:szCs w:val="20"/>
          <w:color w:val="auto"/>
        </w:rPr>
        <w:t>Item 16.</w:t>
        <w:tab/>
        <w:t>Form 10-K Summary . . . . . . . . . . . . . . . . . . . . . . . . . . . . . . . . . . . . . . . . . . . . . . . . . . . . . . . .</w:t>
      </w:r>
      <w:r>
        <w:rPr>
          <w:sz w:val="20"/>
          <w:szCs w:val="20"/>
          <w:color w:val="auto"/>
        </w:rPr>
        <w:tab/>
      </w:r>
      <w:r>
        <w:rPr>
          <w:rFonts w:ascii="Times New Roman" w:cs="Times New Roman" w:eastAsia="Times New Roman" w:hAnsi="Times New Roman"/>
          <w:sz w:val="20"/>
          <w:szCs w:val="20"/>
          <w:color w:val="auto"/>
        </w:rPr>
        <w:t>152</w:t>
      </w:r>
    </w:p>
    <w:p>
      <w:pPr>
        <w:spacing w:after="0" w:line="30" w:lineRule="exact"/>
        <w:rPr>
          <w:sz w:val="20"/>
          <w:szCs w:val="20"/>
          <w:color w:val="auto"/>
        </w:rPr>
      </w:pPr>
    </w:p>
    <w:p>
      <w:pPr>
        <w:spacing w:after="0"/>
        <w:tabs>
          <w:tab w:leader="none" w:pos="874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 . . . . . . . . . . . . . . .</w:t>
      </w:r>
      <w:r>
        <w:rPr>
          <w:sz w:val="20"/>
          <w:szCs w:val="20"/>
          <w:color w:val="auto"/>
        </w:rPr>
        <w:tab/>
      </w:r>
      <w:r>
        <w:rPr>
          <w:rFonts w:ascii="Times New Roman" w:cs="Times New Roman" w:eastAsia="Times New Roman" w:hAnsi="Times New Roman"/>
          <w:sz w:val="18"/>
          <w:szCs w:val="18"/>
          <w:color w:val="auto"/>
        </w:rPr>
        <w:t>153</w:t>
      </w:r>
    </w:p>
    <w:p>
      <w:pPr>
        <w:sectPr>
          <w:pgSz w:w="12240" w:h="15840" w:orient="portrait"/>
          <w:cols w:equalWidth="0" w:num="1">
            <w:col w:w="9360"/>
          </w:cols>
          <w:pgMar w:left="1440" w:top="941" w:right="1440" w:bottom="4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60"/>
          </w:cols>
          <w:pgMar w:left="1440" w:top="941" w:right="1440" w:bottom="410" w:gutter="0" w:footer="0" w:header="0"/>
          <w:type w:val="continuous"/>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7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This Annual Report on Form 10-K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integrate the business and operations of our recent acquisitions and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including our newly acquired products and services,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spacing w:after="0" w:line="172" w:lineRule="exact"/>
        <w:rPr>
          <w:sz w:val="20"/>
          <w:szCs w:val="20"/>
          <w:color w:val="auto"/>
        </w:rPr>
      </w:pPr>
    </w:p>
    <w:p>
      <w:pPr>
        <w:ind w:left="960" w:right="2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our business strategy, including launching new product offerings and expanding information and technology capabilities;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market opportunity and our ability to acquire new customers and retain existing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impact of our growth initiatives on our future financial performance;</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integrate the businesses and operations from our recent acquisitions with our current operations to realize the expected benefits of those acquisitions;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intellectual property and trade secrets;</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additional capital, as necessary, including equity or debt financing, on terms that are acceptable to us, if at all;</w:t>
      </w:r>
    </w:p>
    <w:p>
      <w:pPr>
        <w:spacing w:after="0" w:line="174"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applicable laws or regulations and extensive and evolving government regulations that impact our operations and business;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or maintain a qualified workforce;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of product service failures that could lead our customers to use competitors’ services;</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investigations, claims, disputes, enforcement actions, litigation and/or other regulatory or legal proceedings, including with respect to our AI technology;</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relating to uncertainty of our estimates of market opportunity and forecasts of market growth;</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we may be adversely affected by other economic, business, and/or competitive factors;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and uncertainties described under the section titled “Risk Factors” in this Annual Report.</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380"/>
          </w:cols>
          <w:pgMar w:left="1440" w:top="941" w:right="1420" w:bottom="348" w:gutter="0" w:footer="0" w:header="0"/>
          <w:type w:val="continuous"/>
        </w:sectPr>
      </w:pPr>
    </w:p>
    <w:bookmarkStart w:id="3" w:name="page4"/>
    <w:bookmarkEnd w:id="3"/>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You should thoroughly read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forward-looking statements made in this Annual Report relate only to events or information as of the date of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completely and with the understanding that our actual future results may be materially different from what we expect.</w:t>
      </w:r>
    </w:p>
    <w:p>
      <w:pPr>
        <w:sectPr>
          <w:pgSz w:w="12240" w:h="15840" w:orient="portrait"/>
          <w:cols w:equalWidth="0" w:num="1">
            <w:col w:w="9360"/>
          </w:cols>
          <w:pgMar w:left="1440" w:top="948"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9360"/>
          </w:cols>
          <w:pgMar w:left="1440" w:top="948" w:right="1440" w:bottom="353" w:gutter="0" w:footer="0" w:header="0"/>
          <w:type w:val="continuous"/>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color w:val="auto"/>
        </w:rPr>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Mission</w:t>
      </w:r>
    </w:p>
    <w:p>
      <w:pPr>
        <w:spacing w:after="0" w:line="177"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SoundHound’s mission is to voice-enable the world with conversational intelligence through an independent AI platform enabling humans to interact with products and services like they interact with each other — by speaking naturally.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and Employee Assist. Along with SoundHound Chat AI, a powerful voice assistant with integrated Generative AI, SoundHound powers millions of products and services, and processes billions of interactions each year for world class businesses.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73"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68"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Our market position is strengthened by the technical barriers to entry in the Voice AI space, which tend to discourage new market participants. Furthermore, our technology is backed by significant investments in intellectual property, with over 359 patents granted and over 102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Opportunity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 significant addressable market</w:t>
      </w:r>
    </w:p>
    <w:p>
      <w:pPr>
        <w:spacing w:after="0" w:line="177"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 Custom, branded voice assistants are allowing companies to improve their customer interactions at every touchpoint.</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80"/>
          </w:cols>
          <w:pgMar w:left="1440" w:top="941" w:right="1420" w:bottom="348"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Strategy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believe that Voice AI will be the next major technology disruption in computing.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we believe that voice will be the preferred or the only way to interact with these devices.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Technical Development</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In 2005,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5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SoundHound’s technology represents the evolution of several disruptive breakthroughs in voice-AI and sound recognition developed over almost two decades. Using innovative audio and music identification technology, in 2009, our founders launched the SoundHound music identification app. Since its inception, the app has received over 300 million downloads.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2015, SoundHound introduced the Houndify Voice AI platform incorporating breakthrough Speech-to-Meaning and Deep Meaning Understanding technologies, which, to SoundHound’s knowledge represented voice interaction technologies not yet broadly available at the time as its foundation.</w:t>
      </w:r>
    </w:p>
    <w:p>
      <w:pPr>
        <w:spacing w:after="0" w:line="173" w:lineRule="exact"/>
        <w:rPr>
          <w:sz w:val="20"/>
          <w:szCs w:val="20"/>
          <w:color w:val="auto"/>
        </w:rPr>
      </w:pPr>
    </w:p>
    <w:p>
      <w:pPr>
        <w:jc w:val="both"/>
        <w:ind w:firstLine="480"/>
        <w:spacing w:after="0" w:line="232" w:lineRule="auto"/>
        <w:rPr>
          <w:sz w:val="20"/>
          <w:szCs w:val="20"/>
          <w:color w:val="auto"/>
        </w:rPr>
      </w:pPr>
      <w:r>
        <w:rPr>
          <w:rFonts w:ascii="Times New Roman" w:cs="Times New Roman" w:eastAsia="Times New Roman" w:hAnsi="Times New Roman"/>
          <w:sz w:val="20"/>
          <w:szCs w:val="20"/>
          <w:color w:val="auto"/>
        </w:rPr>
        <w:t>After we went public in 2022, SoundHound rapidly introduced innovation to the market with Smart Ordering, Dynamic Interaction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20"/>
          <w:szCs w:val="20"/>
          <w:color w:val="auto"/>
        </w:rPr>
        <w:t>, SoundHound Chat AI, and Smart Answering, among other products (see “Products and Technology” hereafter).</w:t>
      </w:r>
    </w:p>
    <w:p>
      <w:pPr>
        <w:spacing w:after="0" w:line="18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Following the integration of the Amelia platform into SoundHound’s ecosystem in 2025, we enhanced our AI agent platform by enabling full-stack agentic AI for enterprises, moving beyond simple voice response to systems that can reason through IT support or customer service requests and execute backend actions autonomously. With the launch of the Amelia 7 platform in 2025, SoundHound’s AI agent orchestration platform brings new capabilities into the vehicle, enabling multiple agents to carry out tasks and transactions on behalf of the driver — from the company’s own voice commerce agents that allow food ordering and reservations with top restaurant brands, to external agents that will allow users to check email or adjust their schedules.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SoundHound’s Vision</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A typical reaction to SoundHound’s technology is “Wow! Even humans cannot do this.” This is the crux of our vision: </w:t>
      </w:r>
      <w:r>
        <w:rPr>
          <w:rFonts w:ascii="Times New Roman" w:cs="Times New Roman" w:eastAsia="Times New Roman" w:hAnsi="Times New Roman"/>
          <w:sz w:val="20"/>
          <w:szCs w:val="20"/>
          <w:i w:val="1"/>
          <w:iCs w:val="1"/>
          <w:color w:val="auto"/>
        </w:rPr>
        <w:t>Create a Voice AI platform that exceeds human capabilities and brings value and delight via an ecosystem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billions of products enhanced by innovation and monetization opportunities.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can make humans more productive and help make the world a better place.</w:t>
      </w:r>
    </w:p>
    <w:p>
      <w:pPr>
        <w:sectPr>
          <w:pgSz w:w="12240" w:h="15840" w:orient="portrait"/>
          <w:cols w:equalWidth="0" w:num="1">
            <w:col w:w="9360"/>
          </w:cols>
          <w:pgMar w:left="1440" w:top="941" w:right="1440" w:bottom="348"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941" w:right="1440" w:bottom="348" w:gutter="0" w:footer="0" w:header="0"/>
          <w:type w:val="continuous"/>
        </w:sectPr>
      </w:pPr>
    </w:p>
    <w:bookmarkStart w:id="6" w:name="page7"/>
    <w:bookmarkEnd w:id="6"/>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SoundHound’s technology, users can ask even more complicated questions, such as: “show me Asian restaurants in San Francisco, excluding Chinese and Japanese, and only show the ones that have more than three stars and are open after 9:00 PM on Wednesdays.” In addition, users can follow up and ask it to refine the criteria such as “remove Korean and Vietnamese, sort by rating then by price, and only show the ones that are good for kids and have a patio.”</w:t>
      </w:r>
    </w:p>
    <w:p>
      <w:pPr>
        <w:spacing w:after="0" w:line="15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Additionally, through SoundHound’s AI-driven restaurant voice ordering solution, Smart Ordering, automated voice technology can be deployed by any restaurant to take food and drink orders over the phone, via menu kiosks or at the drive-thru. Its sophisticated technology learns the menu of each business and can answer questions, accept modifications and even upsell, helping the restaurant process more orders quickly and efficiently.</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vision further includes empowering billions of devices around the world using our technology, with innovation and monetization opportunities for the product creators that integrate to our platform. It means product creators can not only use Voice AI to make their product better; they can also generate incremental recurring revenues from customer interactions.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and Technology</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SoundHound’s momentum in the Voice AI market can, in large part, be attributed to our large number of technology breakthroughs.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Houndify Platform</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Houndify provides a web API that takes in text queries or audio and returns actionable JavaScript Object Notation to anyone with an internet connection wanting to add Voice AI to any product or application.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CaiNET and CaiLAN Expert Domain Selections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SoundHound’s CaiNET software uses machine learning to enhance how domains work together to better handle complex queries including natural language processing, predictive analytics, and building language models, or translation of speech.</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SoundHound’s proprietary CaiLAN software expertly arbitrates responses so users get better answers from the right domain such as for use with natural language processing, predictive analytics, and building language models, or translation of speech.</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Automatic Speech Recognition (“ASR”)</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948" w:right="1440" w:bottom="348" w:gutter="0" w:footer="0" w:header="0"/>
          <w:type w:val="continuous"/>
        </w:sectPr>
      </w:pPr>
    </w:p>
    <w:bookmarkStart w:id="7" w:name="page8"/>
    <w:bookmarkEnd w:id="7"/>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Natural Language Understanding (“NLU”)</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25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i w:val="1"/>
          <w:iCs w:val="1"/>
          <w:color w:val="auto"/>
        </w:rPr>
        <w:t>These technologies are anchored by three important innovations: Speech-to-Meaning, Deep Meaning Understanding and Collective AI.</w:t>
      </w:r>
    </w:p>
    <w:p>
      <w:pPr>
        <w:spacing w:after="0" w:line="176"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Speech-to-Meaning refers to SoundHound’s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Deep Meaning Understanding is our innovative approach to language understanding that allows our Voice AI platform to understand highly complex conversation.</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 complex search like this will take many minutes to perform on a website with complex forms, but it can be done within a few seconds using SoundHound technology, which we believe to be unique in its ability to handle complex queries of this nature at scale.</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Collective AI is an architecture that gives potential to SoundHound to improve the understanding capability of its platform exponentially based on linear contributions.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948" w:right="1440" w:bottom="348"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i w:val="1"/>
          <w:iCs w:val="1"/>
          <w:color w:val="auto"/>
        </w:rPr>
        <w:t>Smart Ordering</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 Smart Ordering offers an easy-to-understand voice assistant for restaurants that takes phone orders and automatically processes them by seamlessly integrating with multiple POS systems. For enterprises, we also offer a flexible Gateway to integrate with custom POSs.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Dynamic Interaction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Dynamic Interaction is a category-level breakthrough in conversational AI that we believe raises the bar for human-computer interaction by not only recognizing and understanding speech, but also responding and acting in real-time. Where existing voice technology requires wake words and relies on turn-taking with awkward pauses to process requests, Dynamic Interaction uses the twin technologies of fragment parsing — which breaks speech down to partial-utterances and processes them in real-time — and full-duplex audio-visual integration to create an instantaneous, next-generation experience in human-computer interaction.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SoundHound Chat AI</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launched SoundHound Chat AI, which we believe will usher in a new phase of voice-enabled, conversational AI by combining the power of software engineering and machine learning generative AI.</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Chat AI integrates with dozens of knowledge domains, pulling real-time data like weather, sports, stocks, flight status, restaurants, and many more. We combine this with the most cutting-edge large language models like OpenAI’s ChatGPT to deliver the most accurate, timely, and comprehensive responses. There is no need for awkward search queries since you can speak to SoundHound Chat AI naturally, like another person. You can also follow-up questions and commands without awkward pauses to filter, sort, or add more information to the original request.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Smart Answering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 Smart Answering is built to offer all customer establishments, including restaurants, the option to build an easy to use, custom AI-powered voice assistant that can handle 100% of phone calls including, greetings, hours, menu, location, delivery, wait time, policies, promotions, including SMS functionality for reservations and appointments, and many more standard and custom options.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Wake Words</w:t>
      </w:r>
    </w:p>
    <w:p>
      <w:pPr>
        <w:spacing w:after="0" w:line="177"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15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 Domains</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Our library of over 100 public domains is available to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5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our platform while retaining the ability to iterate and update content.</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941" w:right="1440" w:bottom="348"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i w:val="1"/>
          <w:iCs w:val="1"/>
          <w:color w:val="auto"/>
        </w:rPr>
        <w:t>Text-to-speech (“TTS”)</w:t>
      </w:r>
    </w:p>
    <w:p>
      <w:pPr>
        <w:spacing w:after="0" w:line="177"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A high quality TTS helps companies create a unique voice that differentiates them from the competition. Brands can fully express their personality by choosing the gender, tone, and personality that will become their vocal identity.</w:t>
      </w:r>
    </w:p>
    <w:p>
      <w:pPr>
        <w:spacing w:after="0" w:line="15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Edge and Cloud Connectivity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With edge (embedded) we offer a fully-embedded voice solution for brands seeking the convenience of a voice user interface without the privacy or connectivity concerns of the internet. Includes full access to custom commands and the ability to instantly update commands during development.</w:t>
      </w:r>
    </w:p>
    <w:p>
      <w:pPr>
        <w:spacing w:after="0" w:line="173"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With Cloud we equip your voice assistant with real-time data from the cloud, deliver the most relevant responses with no CPU or memory restrictions, and retain ownership of customer relationships with access to data and analytics.</w:t>
      </w:r>
    </w:p>
    <w:p>
      <w:pPr>
        <w:spacing w:after="0" w:line="15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To harness the capabilities of full cloud connectivity with the reliability of embedded edge voice technology. Houndify Edge Hybrid solutions are designed to ensure that devices are always-on and responsive to commands. Allows for over-the-air product updates and a broader voice experience with the level of cloud-connectivity that best matches the product and its users.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Strengths and Differentiators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Voice AI market currently also includes “legacy vendors,” a number of whom we believe offer dated technologies.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has achieved its successes to date through technology innovation, business model innovation, and global alliances that we believe make us well-positioned to continue to grow and execute our business plan.</w:t>
      </w:r>
    </w:p>
    <w:p>
      <w:pPr>
        <w:spacing w:after="0" w:line="170"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With the popularization of Generative AI and Large Language Models in early 2023, we view this as an inflection point for Conversational AI, with a clear intersection between technology readiness and subsequent demand and adoption. Such intersections are rare, and SoundHound is in a unique position to create tremendous value.</w:t>
      </w:r>
    </w:p>
    <w:p>
      <w:pPr>
        <w:spacing w:after="0" w:line="15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With the launch of Amelia 7 platform in 2025, our AI agent orchestration platform brings new capabilities into the vehicle, enabling multiple agents to carry out tasks and transactions on behalf of the driver — from the company’s own voice commerce agents that allow food ordering and reservations with top restaurant brands, to external agents that will allow users to check email or adjust their schedules.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941" w:right="1440" w:bottom="348" w:gutter="0" w:footer="0" w:header="0"/>
          <w:type w:val="continuous"/>
        </w:sectPr>
      </w:pPr>
    </w:p>
    <w:bookmarkStart w:id="10" w:name="page11"/>
    <w:bookmarkEnd w:id="10"/>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believe the impact of Generative AI and Large Language Models to the field of Conversational AI is similar to the impact of Deep Neural Networks to Machine Learning: Better quality models can be created faster and with fewer tedious engineering requirements. And we view the market impact of this to be transformative, similar to the mobile ecosystem disruption of the last decade. Fast movers like us will create tremendous value.</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Model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Momentum</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Building a Diverse, Global Customer Base</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SoundHound continues to expand the capabilities that make us well-positioned to serve the needs of customers globally. We have grown our solution from a single language capability to 25 languages.</w:t>
      </w:r>
    </w:p>
    <w:p>
      <w:pPr>
        <w:spacing w:after="0" w:line="174"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pillars for growth</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have identified three pillars for revenue growth: Royalties, Subscription, and Monetization, and all three pillars contribute to our current revenues today. While the majority of current revenues come from royalties and subscriptions, over time we expect our revenues from monetization pillars to increase meaningfully in the future.</w:t>
      </w:r>
    </w:p>
    <w:p>
      <w:pPr>
        <w:spacing w:after="0" w:line="171" w:lineRule="exact"/>
        <w:rPr>
          <w:sz w:val="20"/>
          <w:szCs w:val="20"/>
          <w:color w:val="auto"/>
        </w:rPr>
      </w:pPr>
    </w:p>
    <w:p>
      <w:pPr>
        <w:jc w:val="both"/>
        <w:ind w:left="960" w:hanging="480"/>
        <w:spacing w:after="0" w:line="247"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Royalties</w:t>
      </w:r>
      <w:r>
        <w:rPr>
          <w:rFonts w:ascii="Times New Roman" w:cs="Times New Roman" w:eastAsia="Times New Roman" w:hAnsi="Times New Roman"/>
          <w:sz w:val="20"/>
          <w:szCs w:val="20"/>
          <w:color w:val="auto"/>
        </w:rPr>
        <w:t>: This involves voice-enabling a product. The product creator pays us a royalty based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volume, usage, or duration. SoundHound collects royalties when our platform is integrated into a product such as a car, smart TV, or IoT.</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Subscription</w:t>
      </w:r>
      <w:r>
        <w:rPr>
          <w:rFonts w:ascii="Times New Roman" w:cs="Times New Roman" w:eastAsia="Times New Roman" w:hAnsi="Times New Roman"/>
          <w:sz w:val="20"/>
          <w:szCs w:val="20"/>
          <w:color w:val="auto"/>
        </w:rPr>
        <w:t>: This involves voice-enabling a service that doesn’t rely on a physical product. Examples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 when SoundHound enables customer service or food ordering for restaurants or content management, appointments, or voice commerce, we generate subscription revenue from the service providers.</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Monetization</w:t>
      </w:r>
      <w:r>
        <w:rPr>
          <w:rFonts w:ascii="Times New Roman" w:cs="Times New Roman" w:eastAsia="Times New Roman" w:hAnsi="Times New Roman"/>
          <w:sz w:val="20"/>
          <w:szCs w:val="20"/>
          <w:color w:val="auto"/>
        </w:rPr>
        <w:t>: This pillar creates an ecosystem that enables monetization services in products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services from both pillar one and pillar two. When users of a voice-enabled product access the voice-enabled monetization, this creates new leads and transactions. SoundHound generates monetization revenue for generating these leads and transactions, and will share revenue with the product creators.</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we expect the cycle will perpetually continue to expand and create an ecosystem with a compound impact on our business.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948" w:right="1440" w:bottom="348"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i w:val="1"/>
          <w:iCs w:val="1"/>
          <w:color w:val="auto"/>
        </w:rPr>
        <w:t>SoundHound’s criteria for adoption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When it comes to criteria for adoption, our goal is to win on every dimension. We believe our product will be adopted because customers typically choose the best technology and want to own their brand and control their data. We strive to provide our customers with the best technology, and we can provide a white label solution giving our customers control of their brands. In some industries you may have to choose between technology and brand control. In our case, we aim to offer our customers the best of both, enabling them to offer disruptive technologies to their users while maintaining control of their brand and user experience.</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With our disruptive monetization strategy, we also provide a path to monetization. By choosing our platform, product creators can generate additional revenue while making their product better using Voice AI, providing further incentive to choose our platform.</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offer an ecosystem with our expert domain selections that seamlessly arbitrates between LLMs and real time domains and limits “AI hallucinations,” along with definable privacy controls, which are becoming increasingly important in the industry of Voice AI. We also offer edge, cloud and hybrid solutions, which means our technology can optionally run without a cloud connection for increased flexibility and privacy. Our focus is on delivering the most advanced Voice AI in the world and thus allowing our partners to differentiate and innovate their overall experiences for their brands. Additionally, there is no conflict of interest between us and our partners and customers as we do not compete with them (as some other Voice AI vendors do).</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platform to access the ever-growing set of domains, but the product creators can innovate on top of platform and create value for the end users in their own way.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have required more than ten years of research and development activities to fine tune our technology for commercial use. We continue to explore different innovation strategies to strengthen our capabilities.</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take an insight-driven, account-based marketing approach to build and expand our relationships with customers and partners. We collect feedback directly from them to garner insights that help drive the business and product. We also work with analysts and higher education institutions to conduct studies, test and validate technology performance, providing key proof points for those considering our products. In parallel, marketing and communications drive our brand equity and narrative through ongoing announcements, campaigns, events, speaking opportunities, and public relations efforts.</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Our demand generation efforts span the full customer funnel to target prospects across a variety of channels including: advertising, email, social media, search engines and many other digital channels.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Sales and marketing will play a critical role in the next phase of our evolution as a company, with key ongoing investments in our team and leadership. While our products are already scaling with existing customers, markets and verticals, we see significant opportunities to grow into new ones. Increased sales and marketing efforts will enable us to capitalize on the tremendous momentum we are building and we expect to continue expanding resources to grow our personnel and leadership team focused on sales and marketing.</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941" w:right="1440" w:bottom="348"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SoundHound’s intellectual property portfolio includes over 359 patents granted and over 102 patents pending worldwide. These patents cover areas such as speech recognition, natural language understanding, machine learning, human interfaces, and others, including monetization and advertising.</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Out of our 461 patents granted and pending,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At SoundHound, our success is driven by the quality of our people, who we believe are among the best and brightest in the industry. We strive to create an environment that supports employee success and a culture where everyone has a voice in driving innovation.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2025, we had approximately 954 full-time employees, of which approximately 56% were in the United States and 44% were in our international locations. We have not experienced work stoppages and believe our employee relations are good.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Experience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focus on delivering a great employee experience, anchored by meaningful work, career opportunities and well-being, to continue to attract and retain high quality talent. We support employee well-being from multiple dimensions, including economic, health, development, and lifestyle with a comprehensive suite of compensation, benefits and flexible work options.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For the vast majority of SoundHound’s employees, productivity is not tied to being in an office and collaboration can happen between people anywhere. SoundHound’s modern approach to work gives our employees more flexibility to choose where and how to work. Depending on their role, many of our employees can choose their office location, as well as work from home some or all of the time. We believe this allows us to engage with a wider pool of talent and retain employees who want or need more flexibility.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are subject to various laws, regulations, and permitting requirements of federal, state, and local authorities, related to health and safety, consumer privacy, anti-corruption, export controls and AI-related regulations.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As of the date hereof, we are party to certain material legal proceedings as described in Note 8 to our consolidated financial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Our website is located at </w:t>
      </w:r>
      <w:r>
        <w:rPr>
          <w:rFonts w:ascii="Times New Roman" w:cs="Times New Roman" w:eastAsia="Times New Roman" w:hAnsi="Times New Roman"/>
          <w:sz w:val="20"/>
          <w:szCs w:val="20"/>
          <w:i w:val="1"/>
          <w:iCs w:val="1"/>
          <w:color w:val="auto"/>
        </w:rPr>
        <w:t>www.soundhound.com</w:t>
      </w:r>
      <w:r>
        <w:rPr>
          <w:rFonts w:ascii="Times New Roman" w:cs="Times New Roman" w:eastAsia="Times New Roman" w:hAnsi="Times New Roman"/>
          <w:sz w:val="20"/>
          <w:szCs w:val="20"/>
          <w:color w:val="auto"/>
        </w:rPr>
        <w:t xml:space="preserve">, and our investor relations website is located at </w:t>
      </w:r>
      <w:r>
        <w:rPr>
          <w:rFonts w:ascii="Times New Roman" w:cs="Times New Roman" w:eastAsia="Times New Roman" w:hAnsi="Times New Roman"/>
          <w:sz w:val="20"/>
          <w:szCs w:val="20"/>
          <w:i w:val="1"/>
          <w:iCs w:val="1"/>
          <w:color w:val="auto"/>
        </w:rPr>
        <w:t>investors.soundhound.com</w:t>
      </w:r>
      <w:r>
        <w:rPr>
          <w:rFonts w:ascii="Times New Roman" w:cs="Times New Roman" w:eastAsia="Times New Roman" w:hAnsi="Times New Roman"/>
          <w:sz w:val="20"/>
          <w:szCs w:val="20"/>
          <w:color w:val="auto"/>
        </w:rPr>
        <w:t>. Access to copies of our Annual Reports on Form 10-K, Quarterly Reports on Form 10-Q,</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Current Reports on Form 8-K, and our Proxy Statements, and any amendments to these reports, is available via a link through our investor relations website, free of charge, after we file or furnish them with the Securities and Exchange Commission (“SEC”) and they are available on the SEC’s website. We also utilize our investor relations website to webcast our earnings calls and provide notifications of news or announcements regarding our business</w:t>
      </w:r>
    </w:p>
    <w:p>
      <w:pPr>
        <w:sectPr>
          <w:pgSz w:w="12240" w:h="15840" w:orient="portrait"/>
          <w:cols w:equalWidth="0" w:num="1">
            <w:col w:w="9360"/>
          </w:cols>
          <w:pgMar w:left="1440" w:top="941" w:right="1440" w:bottom="348"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941" w:right="1440" w:bottom="348" w:gutter="0" w:footer="0" w:header="0"/>
          <w:type w:val="continuous"/>
        </w:sectPr>
      </w:pPr>
    </w:p>
    <w:bookmarkStart w:id="13" w:name="page14"/>
    <w:bookmarkEnd w:id="13"/>
    <w:p>
      <w:pPr>
        <w:jc w:val="both"/>
        <w:spacing w:after="0" w:line="249" w:lineRule="auto"/>
        <w:rPr>
          <w:sz w:val="20"/>
          <w:szCs w:val="20"/>
          <w:color w:val="auto"/>
        </w:rPr>
      </w:pPr>
      <w:r>
        <w:rPr>
          <w:rFonts w:ascii="Times New Roman" w:cs="Times New Roman" w:eastAsia="Times New Roman" w:hAnsi="Times New Roman"/>
          <w:sz w:val="20"/>
          <w:szCs w:val="20"/>
          <w:color w:val="auto"/>
        </w:rPr>
        <w:t>updates, financial performance and other items that may be material or of interest to our investors, including SEC filings, investor events, press releases and earnings releases. Further, corporate governance information, including our certificate of incorporation, bylaws, governance guidelines, board committee charters, and code of ethics, is also available on our investor relations website.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16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17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i w:val="1"/>
          <w:iCs w:val="1"/>
          <w:color w:val="auto"/>
        </w:rPr>
        <w:t>Investing in our securities involves a high degree of risk. You should carefully consider the following information about these risks, together with the other information appearing elsewhere in this Annual Report, including our financial statements, the notes thereto and the section entitled “Management’s Discussion and Analysis of Financial Condition and Results of Operations.”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risk factors described below are a summary of the principal risk factors associated with an investment in us. These are not the only risks we face. You should carefully consider these risk factors and the other reports and documents filed by us with the SEC.</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and Financial Condition</w:t>
      </w:r>
    </w:p>
    <w:p>
      <w:pPr>
        <w:spacing w:after="0" w:line="177" w:lineRule="exact"/>
        <w:rPr>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generated substantial net losses and negative operating cash flows since inception and may never achieve or maintain profitability or generate positive cash flows;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require additional capital to continue planned business operations but may not be able to obtain such capital when desired on favorable terms, if at all, or without dilution to our stockholders;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results could be materially and adversely affected if it loses any of its largest customers due to concentration risk;</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in which we operate is highly competitive and rapidly changing and we may be unable to compete successfully;</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conditions in the Voice AI market or the global economy more generally could have adverse effects on our results of operations;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skilled employees and 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and data privacy incidents or breaches may damage client relations and adversely affect our operations;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subject to a variety of domestic and international laws, rules, policies and other obligations, including data protection and anticorruption;</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Interruptions or delays in our services or services from data center hosting facilities or public clouds could impair the delivery of services and harm our business;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third-party telecommunications and internet service providers, including connectivity to our cloud software, and any failure by these service providers to provide reliable services could cause us to lose customers and subject us to claims for credits or damages, among other things;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948" w:right="1440" w:bottom="348" w:gutter="0" w:footer="0" w:header="0"/>
          <w:type w:val="continuous"/>
        </w:sectPr>
      </w:pPr>
    </w:p>
    <w:bookmarkStart w:id="14" w:name="page15"/>
    <w:bookmarkEnd w:id="14"/>
    <w:p>
      <w:pPr>
        <w:jc w:val="both"/>
        <w:ind w:left="960" w:hanging="480"/>
        <w:spacing w:after="0" w:line="248"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rely on third-party telecommunications and internet service providers to provide them with access and connectivity to our cloud software, and changes in how telecommunication and internet service providers handle and charge for access to telecommunications and the internet could materially harm our customer relationships, business, financial condition and operations results;</w:t>
      </w:r>
    </w:p>
    <w:p>
      <w:pPr>
        <w:spacing w:after="0" w:line="169"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maintain and enhance our brand or reputation as an industry leader, our operating results may be adversely affected;</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acquisition of SYNQ3, Amelia, Interactions and any potential future acquisitions or strategic transactions may not be accretive and may subject us to various risks that could adversely affect our business and for which we may not achieve the anticipated benefit of such a transaction;</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identified material weaknesses in our internal control over financial reporting and may identify additional material weaknesses in the future, which may result in material misstatements of our consolidated financial statements or cause us to fail to meet our periodic reporting obligations and the trading price of our stock could be negatively affected.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Intellectual Property and Technology</w:t>
      </w:r>
    </w:p>
    <w:p>
      <w:pPr>
        <w:spacing w:after="0" w:line="177" w:lineRule="exact"/>
        <w:rPr>
          <w:sz w:val="20"/>
          <w:szCs w:val="20"/>
          <w:color w:val="auto"/>
        </w:rPr>
      </w:pPr>
    </w:p>
    <w:p>
      <w:pPr>
        <w:ind w:left="960" w:hanging="480"/>
        <w:spacing w:after="0"/>
        <w:tabs>
          <w:tab w:leader="none" w:pos="96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use of open source technology could impose limitations on our ability to commercialize our software;</w:t>
      </w:r>
    </w:p>
    <w:p>
      <w:pPr>
        <w:spacing w:after="0" w:line="181" w:lineRule="exact"/>
        <w:rPr>
          <w:rFonts w:ascii="Times New Roman" w:cs="Times New Roman" w:eastAsia="Times New Roman" w:hAnsi="Times New Roman"/>
          <w:sz w:val="19"/>
          <w:szCs w:val="19"/>
          <w:color w:val="auto"/>
        </w:rPr>
      </w:pPr>
    </w:p>
    <w:p>
      <w:pPr>
        <w:jc w:val="both"/>
        <w:ind w:left="960" w:hanging="480"/>
        <w:spacing w:after="0" w:line="248"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parties have claimed presently and in the past and may claim in the future that we are infringing their intellectual property, and we could be exposed to significant litigation or licensing expenses or be prevented from selling our products or making our technologies available to our customers if such claims are successful;</w:t>
      </w:r>
    </w:p>
    <w:p>
      <w:pPr>
        <w:spacing w:after="0" w:line="169"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Unauthorized use of our proprietary technology and intellectual property could adversely affect our business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Securities and our Dual Class Common Stock Structure</w:t>
      </w:r>
    </w:p>
    <w:p>
      <w:pPr>
        <w:spacing w:after="0" w:line="170" w:lineRule="exact"/>
        <w:rPr>
          <w:sz w:val="20"/>
          <w:szCs w:val="20"/>
          <w:color w:val="auto"/>
        </w:rPr>
      </w:pPr>
    </w:p>
    <w:p>
      <w:pPr>
        <w:ind w:left="960" w:hanging="48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stock price and trading volume has fluctuated significantly;</w:t>
      </w:r>
    </w:p>
    <w:p>
      <w:pPr>
        <w:spacing w:after="0" w:line="176" w:lineRule="exact"/>
        <w:rPr>
          <w:rFonts w:ascii="Times New Roman" w:cs="Times New Roman" w:eastAsia="Times New Roman" w:hAnsi="Times New Roman"/>
          <w:sz w:val="20"/>
          <w:szCs w:val="20"/>
          <w:color w:val="auto"/>
        </w:rPr>
      </w:pPr>
    </w:p>
    <w:p>
      <w:pPr>
        <w:ind w:left="960" w:hanging="480"/>
        <w:spacing w:after="0" w:line="268" w:lineRule="auto"/>
        <w:tabs>
          <w:tab w:leader="none" w:pos="96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requirements of being a public company may strain our resources and divert management’s attention, and the increases in legal, accounting and compliance expenses may be greater than we anticipate;</w:t>
      </w:r>
    </w:p>
    <w:p>
      <w:pPr>
        <w:spacing w:after="0" w:line="152" w:lineRule="exact"/>
        <w:rPr>
          <w:rFonts w:ascii="Times New Roman" w:cs="Times New Roman" w:eastAsia="Times New Roman" w:hAnsi="Times New Roman"/>
          <w:sz w:val="19"/>
          <w:szCs w:val="19"/>
          <w:color w:val="auto"/>
        </w:rPr>
      </w:pPr>
    </w:p>
    <w:p>
      <w:pPr>
        <w:jc w:val="both"/>
        <w:ind w:left="960" w:hanging="480"/>
        <w:spacing w:after="0" w:line="249" w:lineRule="auto"/>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 and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U.S. and International Taxation</w:t>
      </w:r>
    </w:p>
    <w:p>
      <w:pPr>
        <w:spacing w:after="0" w:line="170" w:lineRule="exact"/>
        <w:rPr>
          <w:sz w:val="20"/>
          <w:szCs w:val="20"/>
          <w:color w:val="auto"/>
        </w:rPr>
      </w:pPr>
    </w:p>
    <w:p>
      <w:pPr>
        <w:ind w:left="960" w:hanging="480"/>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use its net operating loss carryforwards and certain other tax attributes may be limited.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SoundHound’s Business and Financial Condition</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use and provision of AI-powered solutions could lead to operational or reputational damage, competitive harm, legal and regulatory risk and additional costs.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Use and provision of AI, including generative AI, is a core part of our business. The use of generative AI, a relatively new and emerging technology in the early stages of commercial use, exposes us to additional risks, such as damage to our reputation, competitive position and business, legal and regulatory risks and additional costs. For example, generative AI has been known to produce false or “hallucinatory” inferences or output, and certain generative AI uses machine learning and predictive analytics, which can create inaccurate, incomplete or misleading output, unintended biases and other discriminatory or unexpected results, errors or inadequacies, any of which may not be easily detectable. Accordingly, while AI-powered applications may help provide more tailored or personalized user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948" w:right="1440" w:bottom="348" w:gutter="0" w:footer="0" w:header="0"/>
          <w:type w:val="continuous"/>
        </w:sectPr>
      </w:pPr>
    </w:p>
    <w:bookmarkStart w:id="15" w:name="page16"/>
    <w:bookmarkEnd w:id="15"/>
    <w:p>
      <w:pPr>
        <w:jc w:val="both"/>
        <w:spacing w:after="0" w:line="246" w:lineRule="auto"/>
        <w:rPr>
          <w:sz w:val="20"/>
          <w:szCs w:val="20"/>
          <w:color w:val="auto"/>
        </w:rPr>
      </w:pPr>
      <w:r>
        <w:rPr>
          <w:rFonts w:ascii="Times New Roman" w:cs="Times New Roman" w:eastAsia="Times New Roman" w:hAnsi="Times New Roman"/>
          <w:sz w:val="20"/>
          <w:szCs w:val="20"/>
          <w:color w:val="auto"/>
        </w:rPr>
        <w:t>experiences, if the content, analyses or recommendations that AI-powered solutions assist in producing on our products and services are, or are perceived to be, deficient, inaccurate, biased, unethical or otherwise flawed, our reputation, competitive position and business may be materially and adversely affected.</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Additionally, if any of our employees, contractors, vendors or service providers use any third-party AI-powered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AI-powered software, will depend on our implementation, maintenance, monitoring and enforcement of appropriate technical and administrative safeguards, policies and procedures governing the use of AI in our business.</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Additionally, any content created by us using generative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and may affect our ability to develop our AI-powered platform innovations and features. For example, the output produced 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In addition, the use of AI has resulted in, and may in the future result in, cybersecurity breaches or incidents that implicate the personal data of users of AI-powered applications. To the extent that we do not have sufficient rights to use the data or other material or content used in or produced by the generative AI tools used in our business, or if we experience cybersecurity breaches or incidents in connection with our use of AI, it could adversely affect our reputation and expose us to legal liability or regulatory risk, including with respect to third-party intellectual property, privacy, publicity, contractual or other rights. Further, our competitors or other third parties may incorporate AI into their products more quickly or more successfully than us, which could impair our ability to compete effectively.</w:t>
      </w:r>
    </w:p>
    <w:p>
      <w:pPr>
        <w:spacing w:after="0" w:line="18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the utilization of AI becomes more prevalent, we anticipate that it will continue to present new or unanticipated ethical, reputational, technical, operational, legal, competitive and regulatory issues, among others. We expect that such utilization of AI will require additional resources, including the incurrence of additional costs, to develop and maintain our platform offerings, services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financial condition and results of operations.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Regulatory and legislative developments related to the use of AI could adversely affect our use and provision of AI-powered solutions in our products, services and business.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As the regulatory framework for machine learning technology, generative AI and automated decision making evolves, our business, financial condition and results of operations may be adversely affected. The regulatory framework for AI and similar technologies, and automated decision making, is changing rapidly. It is possible that new laws and regulations will be adopted in the United States and in non-U.S. jurisdictions, or that existing laws and regulations may be interpreted in ways that would affect our use and provision of AI-powered solutions in our products, services and business.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spacing w:after="0" w:line="156"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For example, in Europe, the European Parliament formally enacted the European Union’s Artificial Intelligence Act (the “AI Act”), which was entered into force on August 1, 2024 and will become fully applicable on August 2, 2026, with some provisions already applying from February 2025. The AI Act establishes, among other things, a</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948" w:right="1440" w:bottom="348" w:gutter="0" w:footer="0" w:header="0"/>
          <w:type w:val="continuous"/>
        </w:sectPr>
      </w:pPr>
    </w:p>
    <w:bookmarkStart w:id="16" w:name="page17"/>
    <w:bookmarkEnd w:id="16"/>
    <w:p>
      <w:pPr>
        <w:jc w:val="both"/>
        <w:spacing w:after="0" w:line="249" w:lineRule="auto"/>
        <w:rPr>
          <w:sz w:val="20"/>
          <w:szCs w:val="20"/>
          <w:color w:val="auto"/>
        </w:rPr>
      </w:pPr>
      <w:r>
        <w:rPr>
          <w:rFonts w:ascii="Times New Roman" w:cs="Times New Roman" w:eastAsia="Times New Roman" w:hAnsi="Times New Roman"/>
          <w:sz w:val="20"/>
          <w:szCs w:val="20"/>
          <w:color w:val="auto"/>
        </w:rPr>
        <w:t>risk-based governance framework for regulating AI systems operating in the European Union. This framework seeks to categorize AI systems, based on the risks associated with such AI systems’ intended purposes, as creating unacceptable or high risks, with all other AI systems being considered low risk. While the AI Act has only recently been enacted, there is a risk that our current or future AI-powered software or applications may obligate us to comply with the applicable requirements of the AI Act, which may impose additional costs on us, increase our risk of liability or adversely affect our business. For example, the AI Act would prohibit certain uses of AI systems and place numerous obligations on providers and deployers of permitted AI systems, with heightened requirements based on AI systems that are considered high risk. If enacted in this form or a similar form, this regulatory framework is expected to have a material impact on the way AI is regulated in the European Union and beyond, and, together with developing regulatory guidance and judicial decisions in this area, may affect our use of AI and our ability to provide and to improve our services, require additional compliance measures and changes to our operations and processes, result in increased compliance costs and potential increases in civil claims against us and could adversely affect our business, financial condition and results of operations.</w:t>
      </w:r>
    </w:p>
    <w:p>
      <w:pPr>
        <w:spacing w:after="0" w:line="17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expect other jurisdictions around the world will adopt similar laws. In the United States, several states and localities have enacted measures related to the use of AI and machine learning in products and services. We may have to change our business practices to comply with such obligations. For example, our employees and personnel use generative AI technologies to perform their work. Our use of this technology could result in additional compliance costs, regulatory investigations and actions, and lawsuits. If we are unable to use generative AI, it could make our business less efficient and result in competitive disadvantages. Further, under privacy and data security laws as well as other obligations, we may be required to obtain certain consents to process personal data and our inability or failure to do so could result in adverse consequences. For example, the FTC has required companies to turn over valuable insights or trainings generated through the use of AI and machine learning where they allege the company has violated privacy and consumer protection laws. If we cannot use generative AI technologies or that use is restricted, our business may be less efficient, or we may be at a competitive disadvantage.</w:t>
      </w:r>
    </w:p>
    <w:p>
      <w:pPr>
        <w:spacing w:after="0" w:line="2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market in which SoundHound operates is highly competitive and rapidly changing and SoundHound may be unable to compete successfully.</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There are a number of companies that develop or may develop products that compete in the Voice AI market. The market for SoundHound’s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SoundHound’s current and prospective customers. Furthermore, current or prospective customers may decide to develop competing products or to establish, strategic relationships with SoundHound’s competitors.</w:t>
      </w:r>
    </w:p>
    <w:p>
      <w:pPr>
        <w:spacing w:after="0" w:line="15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Competition in the Voice AI market could adversely affect SoundHound’s operating results by reducing the volume of the products and technologies SoundHound licenses or sells, the prices SoundHound can charge or the obligations of SoundHound to incur expenses or capital costs associated with the development, acquisition or promotion of new products or technologies. Some of SoundHound’s current or potential competitors are large technology companies that have significantly greater financial, technical and marketing resources than SoundHound does, and others are smaller specialized companies that possess specialized expertise or regional focus and may have greater price flexibility than SoundHound does in connection with their business models. These competitors may be able to respond more rapidly than SoundHound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SoundHound’s products, and therefore its revenue, may be adversely affected. SoundHound’s large competitors may also have greater access to customer data, which provides them with a competitive advantage in developing new products and technologies. SoundHound’s success depends substantially upon its ability to enhance its products and technologies, to develop and introduce, on a timely and cost-effective basis, new products and technologies that meet changing customer requirements and incorporate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948" w:right="1440" w:bottom="348" w:gutter="0" w:footer="0" w:header="0"/>
          <w:type w:val="continuous"/>
        </w:sectPr>
      </w:pPr>
    </w:p>
    <w:bookmarkStart w:id="17" w:name="page18"/>
    <w:bookmarkEnd w:id="17"/>
    <w:p>
      <w:pPr>
        <w:jc w:val="both"/>
        <w:spacing w:after="0" w:line="248" w:lineRule="auto"/>
        <w:rPr>
          <w:sz w:val="20"/>
          <w:szCs w:val="20"/>
          <w:color w:val="auto"/>
        </w:rPr>
      </w:pPr>
      <w:r>
        <w:rPr>
          <w:rFonts w:ascii="Times New Roman" w:cs="Times New Roman" w:eastAsia="Times New Roman" w:hAnsi="Times New Roman"/>
          <w:sz w:val="20"/>
          <w:szCs w:val="20"/>
          <w:color w:val="auto"/>
        </w:rPr>
        <w:t>technological enhancements, and to maintain SoundHound’s alignment with the technologies and market strategies of its customers, which change and advance over time. If SoundHound is unable to develop new products and enhance functionalities or technologies to adapt to these changes and maintain SoundHound’s alignment with its customers, its business will suffer.</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Adverse conditions in the Voice AI market or the global economy more generally could have adverse effects on SoundHound’s results of operations.</w:t>
      </w:r>
    </w:p>
    <w:p>
      <w:pPr>
        <w:spacing w:after="0" w:line="177"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SoundHound’s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SoundHound’s largest customers are currently in the automotive industry, and automotive production and sales are highly cyclical and depend on general economic conditions and other factors, including consumer spending and preferences, changes in interest rate levels and credit availability, tariffs, consumer confidence, fuel costs, fuel availability, environmental impact, union strikes, governmental incentives and regulatory requirements, and political volatility, especially in energy-producing countries and growth markets. Such factors may also negatively impact consumer demand for products, including automobiles, that incorporate or use SoundHound products or technologies. In addition, global production and sales trends can be affected by SoundHound’s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SoundHound’s customers, and could have a material adverse effect on SoundHound’s business, results of operations and financial condition.</w:t>
      </w:r>
    </w:p>
    <w:p>
      <w:pPr>
        <w:spacing w:after="0" w:line="2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SoundHound’s strategy to increase cloud connected and embedded products and technologies and expand the number of foreign languages SoundHound understands may adversely affect its near-term revenue growth and results of operations.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has been and is continuing to develop new cloud-connected and embedded products and technologies. The design and development of new cloud-connected and embedded products and technologies and the addition of new languages will involve significant expense. SoundHound’s research and development costs have greatly increased in recent years and, together with certain expenses associated with delivering SoundHound’s connected services, are projected to continue to escalate in the near future. SoundHound may encounter difficulties with designing, developing, and releasing new cloud-connected and embedded components, as well as integrating these components with SoundHound’s existing technologies. These development issues may further increase costs and may affect SoundHound’s ability to innovate in a manner that allows SoundHound to remain competitive relative to its peers. As a result, SoundHound’s strategy to incorporate more cloud-connected and embedded components may adversely affect its revenue growth and results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Pricing pressures from SoundHound’s customers may adversely affect its results of operations.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may experience pricing pressure from its customers in the future, including, relative to its automotive industry customers, pricing pressure resulting from the strong purchasing power of major original equipment manufacturers (“OEMs”). SoundHound may be expected to quote fixed prices or be forced to accept prices with annual price reduction commitments for long-term sales arrangements or discounted reimbursements for SoundHound’s work. Any price reductions could impact SoundHound’s sales and profit margins. SoundHound’s profitability is also influenced by its success in designing and marketing technological improvements in Voice AI systems. If SoundHound is unable to offset any price reductions in the future, its business, results of operations and financial condition would be adversely affected.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948" w:right="1440" w:bottom="348" w:gutter="0" w:footer="0" w:header="0"/>
          <w:type w:val="continuous"/>
        </w:sectPr>
      </w:pPr>
    </w:p>
    <w:bookmarkStart w:id="18" w:name="page19"/>
    <w:bookmarkEnd w:id="18"/>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Currently, SoundHound’s largest customers are OEMs, and while SoundHound invests effort and money seeking OEMs’ validation of SoundHound’s technology, and there can be no assurance that SoundHound will win or be able to renew its contracts with OEM customers, which could adversely affect SoundHound’s results of operations.</w:t>
      </w:r>
    </w:p>
    <w:p>
      <w:pPr>
        <w:spacing w:after="0" w:line="156"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Some of SoundHound’s largest customers are currently OEMs and SoundHound invests effort and money in product research and development in relationship to SoundHound’s OEM customers from the time an OEM or a “Tier 1” supplier to OEMs begins designing for an upcoming program through the date on which an OEM or Tier 1 supplier customer chooses SoundHound’s technology to be incorporated directly or indirectly into one or more specific vehicle models to be produced by such customer. This selection process is known as a “design win.” SoundHound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has an established relationship with a customer, any failure to perform under a service contract or innovate in response to their feedback may neutralize its advantage with that customer. If SoundHound fails to win a significant number of customer design competitions in the future or to renew a significant number of existing service contracts, SoundHound’s operating results would be adversely affected. Moreover, to the extent SoundHound is unable to renew existing service contracts, this would negatively impact its revenue. The period of time from winning a contract to implementation is long and SoundHound is subject to the risks of cancellation or postponement of the contract or unsuccessful implementation.</w:t>
      </w:r>
    </w:p>
    <w:p>
      <w:pPr>
        <w:spacing w:after="0" w:line="170"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SoundHound’s products are technologically complex and incorporate many technological innovations. Prospective customers generally must make significant commitments of resources to test and validate SoundHound’s products before including them in a product or vehicle. The development cycles of SoundHound’s products with new customers are approximately six months to two years after a design win, depending on the customer and the complexity of the product. These development cycles result in SoundHound investing its resources in customers and customer products prior to realizing any revenues from the related customer contracts. Further, SoundHound is subject to the risk that a customer cancels or postpones implementation of SoundHound’s technology, as well as that SoundHound will not be able to implement its technology successfully. Additionally, SoundHound’s sales could be less than forecast if the product is unsuccessful, including for reasons unrelated to its technology. Long development cycles and product cancellations or postponements may adversely affect SoundHound’s business, results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SoundHound’s operating results could be materially and adversely affected if it loses any of its largest customers.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loss of business from any of SoundHound’s major customers, whether by lower overall demand for the products manufactured by its major customers, cancellation of existing contracts or the failure to award SoundHound new business, could have a material adverse effect on SoundHound’s operating results. Alternatively, there is a risk that one or more of SoundHound’s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legally enforcing its obligations, it is likely that SoundHound will be forced to record a substantial loss. In addition, certain of SoundHound’s customers that are tier 1 suppliers to the automotive industry exclusively sell to certain OEMs, including some of SoundHound’s other customers. A bankruptcy of, or other significant disruption to, any of these OEMs could intensify any adverse impact on our business and results of operations.</w:t>
      </w:r>
    </w:p>
    <w:p>
      <w:pPr>
        <w:spacing w:after="0" w:line="156"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For the year ended December 31, 2025, there was no customer that accounted for more than 10% of the Company’s total revenues. For the year ended December 31, 2024, one customer accounted for 14% of the Company’s total revenues. For the year ended December 31, 2023, two customers accounted for 62% of the Company’s total revenues.</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2025, there was no customer that accounted for more than 10% of the Company’s consolidated accounts receivable balance. Accounts receivable balances due from one customer accounted for 23% of the Company’s consolidated accounts receivable balance at December 31, 2024.</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951" w:right="1440" w:bottom="348" w:gutter="0" w:footer="0" w:header="0"/>
          <w:type w:val="continuous"/>
        </w:sectPr>
      </w:pPr>
    </w:p>
    <w:bookmarkStart w:id="19" w:name="page20"/>
    <w:bookmarkEnd w:id="19"/>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unbilled receivables balances from five customers collectively totaled 83% of the Company’s consolidated unbilled receivables balance at December 31, 2025. The unbilled receivables balances from two customers collectively totaled 74% of the Company’s consolidated unbilled receivables balance at December 31, 2024.</w:t>
      </w:r>
    </w:p>
    <w:p>
      <w:pPr>
        <w:spacing w:after="0" w:line="15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addition to upfront payments pursuant to professional services or custom engineering agreements, SoundHound generally enters into master service agreements with its largest customers and also provides them with engineering and custom services. Our largest current customers entered into master services agreements with SoundHound pursuant to which they are provided Houndify Cloud Services and, in some cases, associated services on an as-needed basis. The license fees that SoundHound receives under our master services agreements are either fixed minimum monthly hosting fees with overage charges based on usage, or determined based on the volume of products that our customers sell that utilize SoundHound technology. Our master services agreements generally renew automatically for one year terms and are terminable by the customer upon prior written notice of six months to one year.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Adverse economic conditions or reduced technology spending may adversely impact SoundHound’s business.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business depends on the overall demand for technology and on the economic performance of our current and prospective customers. In general, worldwide economic conditions may remain unstable, including inflation, in particular in connection with the implementation of tariffs in the U.S. and abroad, and these conditions would make it difficult for our customers, prospective customers and us to forecast and plan future business activities accurately, and they could cause our customers or prospective customers to reevaluate their decision to purchase our features. Weak global economic conditions, changes in consumer behavior or a reduction in technology spending even if economic conditions stabilize, could adversely impact our business and results of operations in a number of ways, including longer sales cycles, lower demand or prices for our platform, fewer subscriptions and lower or no growth.</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operating results may fluctuate significantly from period to period, and this may cause its stock price to decline.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SoundHound’s operating results may fluctuate materially in the future. These fluctuations may cause SoundHound’s results of operations to not meet the expectations of securities analysts or investors which would likely cause the price of its stock to decline. Factors that may contribute to fluctuations in operating results include:</w:t>
      </w:r>
    </w:p>
    <w:p>
      <w:pPr>
        <w:spacing w:after="0" w:line="166" w:lineRule="exact"/>
        <w:rPr>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timing and fulfillment of large customer contracts;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renewals of existing customer contracts and wins of new customer programs;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expenditures incurred pursuing new product or market opportunities;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royalty reports;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fluctuating sales by SoundHound’s customers to their end-users;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counterparties failing to meet their contractual commitments to SoundHound;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introduction of new products by SoundHound or its competitors;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or data breaches;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in the prices of SoundHound’s products in response to competition, market conditions or contractual obligations;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to raise cash in the market place, including increased borrowing costs as a result of inflation and tariffs;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that are not collectible;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than anticipated costs related to fixed-price contracts with SoundHound’s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costs due to regulatory or trade restrictions;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948" w:right="1440" w:bottom="348" w:gutter="0" w:footer="0" w:header="0"/>
          <w:type w:val="continuous"/>
        </w:sectPr>
      </w:pPr>
    </w:p>
    <w:bookmarkStart w:id="20" w:name="page21"/>
    <w:bookmarkEnd w:id="20"/>
    <w:p>
      <w:pPr>
        <w:jc w:val="both"/>
        <w:ind w:left="960" w:right="2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in litigation matters, whether initiated by SoundHound or brought by third-parties against SoundHound, and settlements or judgments it is required to pay in connection with disputes; and</w:t>
      </w:r>
    </w:p>
    <w:p>
      <w:pPr>
        <w:spacing w:after="0" w:line="174"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trends as they affect the customer bases into which SoundHound and its customers sell and operate.</w:t>
      </w:r>
    </w:p>
    <w:p>
      <w:pPr>
        <w:spacing w:after="0" w:line="174"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Due to the foregoing factors, among others, SoundHound’s revenue and operating results may fluctuate significantly from period to period. SoundHound’s expense levels are based in significant part on its expectations of future revenue, and SoundHound may not be able to reduce its expenses quickly to respond to near-term shortfalls in projected revenue. Therefore, SoundHound’s failure to meet revenue expectations would seriously harm its operating results, financial condition, and cash flows.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SoundHound depends on skilled employees and could be impacted by a shortage of critical skills.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Much of SoundHound’s future success depends on the continued service and availability of skilled employees, particularly with respect to technical areas. Skilled and experienced personnel in the areas where SoundHound competes are in high demand, and competition for their talents is intense. Many of SoundHound’s key employees receive a total compensation package that includes equity awards. New regulations or volatility in the stock market could diminish SoundHound’s use, and the value, of its equity awards. This would place SoundHound at a competitive disadvantage in attracting qualified personnel or force it to offer more cash compensation.</w:t>
      </w:r>
    </w:p>
    <w:p>
      <w:pPr>
        <w:spacing w:after="0" w:line="25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Cybersecurity and data privacy incidents or breaches may damage client relations and inhibit SoundHound’s growth.</w:t>
      </w:r>
    </w:p>
    <w:p>
      <w:pPr>
        <w:spacing w:after="0" w:line="17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The confidentiality and security of SoundHound’s information, and that of third parties, is critical to SoundHound’s business. SoundHound’s services involve the transmission, use, and storage of customers’ and their customers’ information, which may be confidential or contain personally identifiable information. Any cybersecurity or data privacy incidents could have a material adverse effect on SoundHound’s results of operations and financial condition. While SoundHound maintains a broad array of information security and privacy measures, policies and practices, its networks may be breached through a variety of means, resulting in someone obtaining unauthorized access to SoundHound’s information, to information of SoundHound’s customers or their customers, or to SoundHound’s intellectual property; disabling or degrading service; or sabotaging systems or information. In addition, hardware, software, systems, or applications SoundHound develops or procure from third parties may contain defects in design or manufacture or other problems that could unexpectedly compromise information security. Unauthorized parties may also attempt to gain access to SoundHound’s systems or facilities, or those of third parties with whom SoundHound does business, through fraud or other forms of deceiving SoundHound’s employees, contractors, and vendors. Because the techniques used to obtain unauthorized access, or to sabotage systems, change frequently and generally are not recognized until launched against a target, SoundHound may be unable to anticipate these techniques or to implement adequate preventative measures. SoundHound will continue to incur significant costs to continuously enhance its information security measures to defend against the threat of cybercrime. Any cybersecurity or data privacy incident or breach may result in:</w:t>
      </w:r>
    </w:p>
    <w:p>
      <w:pPr>
        <w:spacing w:after="0" w:line="163" w:lineRule="exact"/>
        <w:rPr>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 resulting from the operational disruption;</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 or increased bad debt expense due to the inability to invoice properly or to customer dissatisfaction resulting in collection issues;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 due to loss of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remediation costs to recreate or restore systems;</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investments in new or enhanced systems in order to enhance SoundHound’s information security posture;</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of incentives offered to customers to restore confidence and maintain business relationships;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reputational damage resulting in the failure to retain or attract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potential litigation or governmental investigations;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any required notices of a data breach;</w:t>
      </w:r>
    </w:p>
    <w:p>
      <w:pPr>
        <w:sectPr>
          <w:pgSz w:w="12240" w:h="15840" w:orient="portrait"/>
          <w:cols w:equalWidth="0" w:num="1">
            <w:col w:w="9380"/>
          </w:cols>
          <w:pgMar w:left="1440" w:top="948" w:right="1420" w:bottom="348"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80"/>
          </w:cols>
          <w:pgMar w:left="1440" w:top="948" w:right="1420" w:bottom="348" w:gutter="0" w:footer="0" w:header="0"/>
          <w:type w:val="continuous"/>
        </w:sectPr>
      </w:pPr>
    </w:p>
    <w:bookmarkStart w:id="21" w:name="page22"/>
    <w:bookmarkEnd w:id="21"/>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the potential loss of critical business data;</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enhancing or creating new products due to loss of data or data integrity issues; and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consequences of which SoundHound is not currently aware but would discover through the process of remediating any cybersecurity or data privacy incidents or breaches that may occur.</w:t>
      </w:r>
    </w:p>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business is subject to a variety of domestic and international laws, rules, policies and other obligations, including data protection and anticorruption.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is subject to U.S. and international laws and regulations in multiple areas, including data protection, anticorruption, labor relations, tax, foreign currency, anti-competition, import, export and trade regulations, and SoundHound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 SoundHound to incur substantial costs and may require it to change our business practices.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Additionally, China has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of carrying out its business in China, require significant changes to its operations or even prevent SoundHound from providing certain service offerings in jurisdictions in which SoundHound currently operates or in which it may operate in the future.</w:t>
      </w:r>
    </w:p>
    <w:p>
      <w:pPr>
        <w:spacing w:after="0" w:line="171"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Despite SoundHound’s efforts to comply with applicable laws, regulations and other obligations relating to privacy, data protection and information security, it is possible that SoundHound’s practices, offerings or platform could fail to meet all of the requirements imposed on SoundHound by legislation relating to cybersecurity, data security and/or related implementing regulations. Any failure on SoundHound’s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SoundHound’s reputation, discourage new and existing counterparties from contracting with SoundHound or result in investigations, fines, suspension or other penalties and private claims or litigation, any of which could materially adversely affect SoundHound’s business, financial condition and results of operations. Even if SoundHound’s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Compliance with data security and personal information protection laws, may result in additional expenses to SoundHound and subject it to negative publicity, which could harm SoundHound’s reputation among users and negatively affect the trading price of its shares in the future. Furthermore, SoundHound’s data transfer policies may be subject to additional compliance requirement and regulatory burdens, and SoundHound may be required to make further adjustments to its business practices to comply with the interpretation and implementation of such laws, which may increase our compliance costs and adversely affect our operating results.</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Any failure by SoundHound, its customers or other parties with whom SoundHound does business to comply with its privacy policy or with federal, state or international privacy-related or data protection laws and regulations could result in proceedings against SoundHound by governmental entities or others. Any alleged or actual failure to comply with applicable privacy laws and regulations may:</w:t>
      </w:r>
    </w:p>
    <w:p>
      <w:pPr>
        <w:spacing w:after="0" w:line="163" w:lineRule="exact"/>
        <w:rPr>
          <w:sz w:val="20"/>
          <w:szCs w:val="20"/>
          <w:color w:val="auto"/>
        </w:rPr>
      </w:pPr>
    </w:p>
    <w:p>
      <w:pPr>
        <w:ind w:left="960" w:hanging="480"/>
        <w:spacing w:after="0"/>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SoundHound’s customers to lose confidence in its solutions;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harm SoundHound’s reputation;</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941" w:right="1440" w:bottom="348" w:gutter="0" w:footer="0" w:header="0"/>
          <w:type w:val="continuous"/>
        </w:sectPr>
      </w:pPr>
    </w:p>
    <w:bookmarkStart w:id="22" w:name="page23"/>
    <w:bookmarkEnd w:id="22"/>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expose SoundHound to litigation, regulatory investigations and to resulting liabilities including reimbursement of customer costs, damages penalties or fines imposed by regulatory agencies;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SoundHound to incur significant expenses for remediation.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Because a significant portion of SoundHound’s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Because SoundHound operates worldwide, its business is subject to risks associated with doing business internationally. SoundHound currently generates most of its international revenue in Europe and Asia, and SoundHound anticipates that revenue from international operations could increase in the future. SoundHound conducts a significant portion of the development of its voice recognition and natural language understanding solutions in Canada, Germany, Japan and China. SoundHound is exposed to fluctuating exchange rates of foreign currencies including the euro, British pound, Canadian dollar, Chinese RMB, Japanese yen, Indian rupee and South Korean won. Accordingly, SoundHound’s future results could be harmed by a variety of factors associated with international sales and operations, including:</w:t>
      </w:r>
    </w:p>
    <w:p>
      <w:pPr>
        <w:spacing w:after="0" w:line="164" w:lineRule="exact"/>
        <w:rPr>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political and economic conditions, or changes to such conditions, in a specific region or country;</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protection measures, including tariffs and import/export controls, imposed by the United States and/or by other countries or regional authorities such as China, Canada or the European Union;</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foreign currency exchange rates or the lack of ability to hedge certain foreign currencies;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laws and regulations in many countries and any subsequent changes in such laws and regulations;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turmoil, including terrorism and war;</w:t>
      </w:r>
    </w:p>
    <w:p>
      <w:pPr>
        <w:spacing w:after="0" w:line="17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changing data privacy regulations and customer requirements to locate data centers in certain jurisdictions;</w:t>
      </w:r>
    </w:p>
    <w:p>
      <w:pPr>
        <w:spacing w:after="0" w:line="181" w:lineRule="exact"/>
        <w:rPr>
          <w:rFonts w:ascii="Times New Roman" w:cs="Times New Roman" w:eastAsia="Times New Roman" w:hAnsi="Times New Roman"/>
          <w:sz w:val="19"/>
          <w:szCs w:val="19"/>
          <w:color w:val="auto"/>
        </w:rPr>
      </w:pPr>
    </w:p>
    <w:p>
      <w:pPr>
        <w:jc w:val="both"/>
        <w:ind w:left="960" w:hanging="480"/>
        <w:spacing w:after="0" w:line="246"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applicable tax laws;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operations in multiple locations in many countries;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payment cycles of foreign customers and timing of collections in foreign jurisdictions;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effective protection of intellectual property than in the United States.</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Interruptions or delays in SoundHound’s services or services from data center hosting facilities or public clouds could impair the delivery of its services and harm its business.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Because SoundHound’s services are complex and incorporate a variety of third-party hardware and software, its services may have errors or defects that could result in unanticipated downtime for its customers and harm to its reputation and its business. SoundHound has from time to time, found defects in its services, and new errors in its services may be detected in the future. In addition, SoundHound currently serves its customers from data center hosting facilities or third-party public clouds SoundHound directly manages. Any damage to, or failure of,</w:t>
      </w:r>
    </w:p>
    <w:p>
      <w:pPr>
        <w:sectPr>
          <w:pgSz w:w="12240" w:h="15840" w:orient="portrait"/>
          <w:cols w:equalWidth="0" w:num="1">
            <w:col w:w="9360"/>
          </w:cols>
          <w:pgMar w:left="1440" w:top="948" w:right="1440" w:bottom="348"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948" w:right="1440" w:bottom="348" w:gutter="0" w:footer="0" w:header="0"/>
          <w:type w:val="continuous"/>
        </w:sectPr>
      </w:pPr>
    </w:p>
    <w:bookmarkStart w:id="23" w:name="page24"/>
    <w:bookmarkEnd w:id="23"/>
    <w:p>
      <w:pPr>
        <w:jc w:val="both"/>
        <w:spacing w:after="0" w:line="248" w:lineRule="auto"/>
        <w:rPr>
          <w:sz w:val="20"/>
          <w:szCs w:val="20"/>
          <w:color w:val="auto"/>
        </w:rPr>
      </w:pPr>
      <w:r>
        <w:rPr>
          <w:rFonts w:ascii="Times New Roman" w:cs="Times New Roman" w:eastAsia="Times New Roman" w:hAnsi="Times New Roman"/>
          <w:sz w:val="20"/>
          <w:szCs w:val="20"/>
          <w:color w:val="auto"/>
        </w:rPr>
        <w:t>the systems and facilities that serve SoundHound’s customers in whole or in part could result in interruptions in its service. Interruptions in SoundHound’s service may reduce its revenue, cause SoundHound to issue credits or pay service level agreement penalties, cause customers to terminate their on-demand services, and adversely affect SoundHound’s renewal rates and its ability to attract new customers.</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 is subject to certain U.S. and foreign anti-corruption, anti-money laundering, export control, sanctions, and other trade laws and regulations. SoundHound can face serious consequences for violations.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also expects its non-U.S. activities to increase in time.</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business is subject to risks, expenses and uncertainties associated with selling its solutions in locations outside the United States that could adversely affect its operating results.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the years ended December 31, 2025, 2024 and 2023, SoundHound derived approximately 36%, 45% and 85%, respectively, of its revenues from customers located in countries outside the United States, and SoundHound plans to increase its international operations in the future. Accordingly, SoundHound expects to increasingly face significant operational risks and expenses from doing business internationally.</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SoundHound’s international operating results may be affected by volatility in currency exchange rates and its ability to effectively manage its currency transaction risks. SoundHound would incur currency transaction risks if SoundHound were to enter into either a purchase or a sale transaction using a different currency from the currency in which SoundHound reports revenue. In such cases, SoundHound may suffer an exchange loss because SoundHound does not currently engage in currency swaps or other currency hedging strategies to address this risk. As SoundHound realizes its strategy to expand internationally, its exposure to currency risks may increase. Given the volatility of exchange rates, SoundHound can give no assurance that it will be able to effectively manage its Currency transaction risks or that any volatility in currency exchange rates will not have a material adverse effect on its results of operations.</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Other risks and uncertainties SoundHound faces from its global operations include, but are not limited to:</w:t>
      </w:r>
    </w:p>
    <w:p>
      <w:pPr>
        <w:spacing w:after="0" w:line="170" w:lineRule="exact"/>
        <w:rPr>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foreign operations;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protection for the enforcement of contract and intellectual property rights in certain countries where SoundHound may sell SoundHound’s solutions or work with suppliers or other third parties;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potentially longer sales and payment cycles and potentially greater difficulties in collecting accounts receivable;</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and difficulties of customizing solutions for foreign countries;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providing solutions across a significant distance, in different languages and among different cultures;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and business practices favoring local competition;</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subject to a wide variety of complex foreign laws, treaties and regulations and adjusting to any unexpected changes in such laws, treaties and regulations;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specific and significant regulations, including, but not limited to, the European Union’s GDPR, which imposes compliance obligations on companies who possess and use data of EU residents;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differences in analysis of regulatory, legal and tax issues across various countries, such as different interpretations of antitrust and competition laws;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948" w:right="1440" w:bottom="348" w:gutter="0" w:footer="0" w:header="0"/>
          <w:type w:val="continuous"/>
        </w:sectPr>
      </w:pPr>
    </w:p>
    <w:bookmarkStart w:id="24" w:name="page25"/>
    <w:bookmarkEnd w:id="24"/>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U.S. laws affecting activities of U.S. companies abroad, including the U.S. Foreign Corrupt Practices Act;</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related to geopolitical risks, including the relationship between the U.S. government and the government of other nations;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tariffs, trade barriers and other regulatory or contractual limitations on SoundHound’s ability to sell or develop its solutions in certain foreign markets;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 countries with a higher incidence of corruption and fraudulent business practices;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regulatory requirements, including export controls, tariffs and embargoes, other trade restrictions, competition, corporate practices and data privacy concerns;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adverse tax consequences arising from global operations;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reductions in business activity in certain parts of the world, particularly during the summer months in Europe and at year-end globally;</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rapid changes in government, economic and political policies and conditions; and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or civil unrest or instability, terrorism or epidemics or pandemics and other similar outbreaks or events.</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SoundHound’s failure to effectively manage the risks and uncertainties associated with its existing and planned global operations could limit the future growth of its business and adversely affect its operating results.</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SoundHound relies on third-party telecommunications and internet service providers, including connectivity to its cloud software, and any failure by these service providers to provide reliable services could cause SoundHound to lose customers and subject it to claims for credits or damages, among other things.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 relies on services from third-party telecommunications providers in order to provide services to its customers and their customers, including telephone numbers. In addition, SoundHound depends on its internet bandwidth suppliers to provide uninterrupted and error-free service through their networks. SoundHound exercises little control over these third-party providers, which increases its vulnerability to problems with the services they provide.</w:t>
      </w:r>
    </w:p>
    <w:p>
      <w:pPr>
        <w:spacing w:after="0" w:line="172"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When problems occur, it may be difficult to identify the source of the problem. Service disruption or outages, whether caused by SoundHound’s service, the products or services of SoundHound’s third-party service providers, or SoundHound’s customers’ or their customers’ equipment and systems, may result in loss of market acceptance of its products and technologies and any necessary remedial actions may force it to incur significant costs and expenses.</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If any of these service providers fail to provide reliable services, suffer outages, degrade, disrupt, increase the cost of or terminate the services that SoundHound and its customers depend on, SoundHound may be required to switch to another service provider. Delays caused by switching SoundHound’s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SoundHound’s customers rely on third-party telecommunications and internet service providers to provide them with access and connectivity to SoundHound’s cloud software, and changes in how telecommunication and internet service providers handle and charge for access to telecommunications and the internet could materially harm SoundHound’s customer relationships, business, financial condition and operations results.</w:t>
      </w:r>
    </w:p>
    <w:p>
      <w:pPr>
        <w:spacing w:after="0" w:line="171"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SoundHound’s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w:t>
      </w:r>
    </w:p>
    <w:p>
      <w:pPr>
        <w:sectPr>
          <w:pgSz w:w="12240" w:h="15840" w:orient="portrait"/>
          <w:cols w:equalWidth="0" w:num="1">
            <w:col w:w="9360"/>
          </w:cols>
          <w:pgMar w:left="1440" w:top="948" w:right="1440" w:bottom="348"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948" w:right="1440" w:bottom="348" w:gutter="0" w:footer="0" w:header="0"/>
          <w:type w:val="continuous"/>
        </w:sectPr>
      </w:pPr>
    </w:p>
    <w:bookmarkStart w:id="25" w:name="page26"/>
    <w:bookmarkEnd w:id="25"/>
    <w:p>
      <w:pPr>
        <w:jc w:val="both"/>
        <w:spacing w:after="0" w:line="249" w:lineRule="auto"/>
        <w:rPr>
          <w:sz w:val="20"/>
          <w:szCs w:val="20"/>
          <w:color w:val="auto"/>
        </w:rPr>
      </w:pPr>
      <w:r>
        <w:rPr>
          <w:rFonts w:ascii="Times New Roman" w:cs="Times New Roman" w:eastAsia="Times New Roman" w:hAnsi="Times New Roman"/>
          <w:sz w:val="20"/>
          <w:szCs w:val="20"/>
          <w:color w:val="auto"/>
        </w:rPr>
        <w:t>companies could charge SoundHound, its customers, or both fees to guarantee a service amount of capacity, or for quality of wireless telecommunications and broadband internet access services, that could advantage SoundHound’s competitors by degrading, disrupting, limiting, or otherwise restricting the use of infrastructure required to support SoundHound’s services. These providers likely have the ability to increase SoundHound’s rates, SoundHound’s customers’ rates, or both for wireless telecommunications and/or broadband internet access services which may increase the cost of SoundHound’s products and technologies making its products and technologies less competitive or decreasing SoundHound’s profit margins.</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plans to expand upon and establish new public cloud-based data centers for its U.S. and international operations may be unsuccessful and may present execution and competitive risks.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plans to expand upon and establish new public cloud deployments in the future to facilitate its platform in the U.S. and certain international markets. SoundHound may partner with one or more third-parties to develop, test and deploy its technology to offer a full stack of products on the public cloud in the U.S. and certain international markets. SoundHound’s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SoundHound’s normal operations. Deficiencies in the design, implementation or maintenance of the cloud-based data centers could materially harm SoundHound’s business.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SoundHound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could experience anti-competitive practices that could impede its growth, cause it to incur additional expenses or otherwise harm its business. Future regulations or changes in laws and regulations or their existing interpretations or applications could also hinder SoundHound’s operational flexibility, raise compliance costs and result in additional liabilities for SoundHound, which may harm its business.</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Sales to customers outside the United States or customers with international operations and SoundHound’s international sales efforts and operations expose it to risks inherent in international sales and operations.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An element of SoundHound’s growth strategy is to expand its international sales efforts and develop a worldwide customer base. SoundHound’s international expansion may not be successful and may not produce the return on investment it expects.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SoundHound’s international subsidiaries employ workers primarily in Canada, Germany, France and India. Operating in international markets requires significant resources and management attention and subjects it to intellectual property, regulatory, economic and political risks that are different from those in the United States. As SoundHound increases its international sales efforts it will face risks in doing business internationally that could harm its business, including:</w:t>
      </w:r>
    </w:p>
    <w:p>
      <w:pPr>
        <w:spacing w:after="0" w:line="165" w:lineRule="exact"/>
        <w:rPr>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establish and protect SoundHound’s brand in international markets;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localize and adapt SoundHound’s products for specific countries, including translation into foreign languages and associated costs and expenses;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foreign operations, particularly hiring and training qualified sales and service personnel;</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implement and offer customer care in various languages;</w:t>
      </w:r>
    </w:p>
    <w:p>
      <w:pPr>
        <w:spacing w:after="0" w:line="17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different pricing environments, longer sales and accounts receivable payment cycles and collections issues;</w:t>
      </w:r>
    </w:p>
    <w:p>
      <w:pPr>
        <w:spacing w:after="0" w:line="181" w:lineRule="exact"/>
        <w:rPr>
          <w:rFonts w:ascii="Times New Roman" w:cs="Times New Roman" w:eastAsia="Times New Roman" w:hAnsi="Times New Roman"/>
          <w:sz w:val="19"/>
          <w:szCs w:val="19"/>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weaker protection for intellectual property and other legal rights than in the U.S. and practical difficulties in enforcing intellectual property and other rights outside of the U.S.;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privacy and data protection laws and regulations that are complex, expensive to comply with and may require that customer data be stored and processed in a designated territory;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948" w:right="1440" w:bottom="348" w:gutter="0" w:footer="0" w:header="0"/>
          <w:type w:val="continuous"/>
        </w:sectPr>
      </w:pPr>
    </w:p>
    <w:bookmarkStart w:id="26" w:name="page27"/>
    <w:bookmarkEnd w:id="26"/>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risk of piracy, counterfeiting and other misappropriation of SoundHound’s intellectual property in its locations outside the U.S.;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and different sources of competition;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in international markets;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value of the U.S. dollar and foreign currencies, which may make SoundHound’s products more expensive in other countries or may increase its costs, impacting its operating results when translated into U.S. dollars;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68" w:lineRule="auto"/>
        <w:tabs>
          <w:tab w:leader="none" w:pos="9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challenges related to the complexity of multiple, conflicting and changing governmental laws and regulations, including employment, tax, telecommunications and telemarketing laws and regulations;</w:t>
      </w:r>
    </w:p>
    <w:p>
      <w:pPr>
        <w:spacing w:after="0" w:line="145"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risk of international telecom fraud;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and business practices favoring local competitors;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SoundHound’s ability to sell its products in certain foreign markets, and the risks and costs of non-compliance;</w:t>
      </w:r>
    </w:p>
    <w:p>
      <w:pPr>
        <w:spacing w:after="0" w:line="165"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financial accounting and reporting burdens and complexities;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or taxes on the transfer of funds;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tax consequences;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unstable economic and political conditions and potential accompanying shifts in laws and regulations.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These risks could harm SoundHound’s international operations, increase its operating costs and hinder its ability to grow its international business and, consequently, its overall business and results of operations.</w:t>
      </w:r>
    </w:p>
    <w:p>
      <w:pPr>
        <w:spacing w:after="0" w:line="1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addition, compliance with laws and regulations applicable to SoundHound’s international operations increases its cost of doing business outside the United States. SoundHound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SoundHound’s internal policies and procedures or United States or international regulations applicable to it. Although SoundHound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Tax matters may cause significant variability in SoundHound’s operating results and may impact its overall financial condition.</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SoundHound’s businesses are subject to income taxation in the United States, as well as in many tax jurisdictions throughout the world. Tax rates in these jurisdictions may be subject to significant change. If SoundHound’s effective tax rate increases, its operating results and cash flow could be adversely affected. SoundHound’s effective income tax rate can vary significantly between periods due to a number of complex factors including:</w:t>
      </w:r>
    </w:p>
    <w:p>
      <w:pPr>
        <w:spacing w:after="0" w:line="148" w:lineRule="exact"/>
        <w:rPr>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projected levels of taxable income;</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pre-tax income being lower than anticipated in countries with lower statutory rates or higher than anticipated in countries with higher statutory rates;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or decreases to valuation allowances recorded against deferred tax assets;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948" w:right="1440" w:bottom="348" w:gutter="0" w:footer="0" w:header="0"/>
          <w:type w:val="continuous"/>
        </w:sectPr>
      </w:pPr>
    </w:p>
    <w:bookmarkStart w:id="27" w:name="page28"/>
    <w:bookmarkEnd w:id="27"/>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audits conducted and settled by various tax authorities;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income taxes upon finalization of income tax returns;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claim foreign tax credits;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repatriation of non-U.S. earnings for which SoundHound has not previously provided for income taxes;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and their interpretations in countries in which SoundHound is subject to taxation.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SoundHound’s current and projected operating results. A decline in future operating results could provide substantial evidence that a full or partial valuation allowance for deferred tax assets is necessary. This could have a material adverse effect on SoundHound’s results of operations and financial condition.</w:t>
      </w:r>
    </w:p>
    <w:p>
      <w:pPr>
        <w:spacing w:after="0" w:line="2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Forecasts of SoundHound’s market and market growth may prove to be inaccurate, and even if the markets in which it competes achieve the forecasted growth, there can be no assurance that its business will grow at similar rates, or at all.</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Growth forecasts described in this Annual Report relating to SoundHound’s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Annual Report should not be taken as indicative of its future growth.</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SoundHound is unable to acquire new customers, its operating results will be harmed. Likewise, potential customer turnover in the future, or costs it incurs to retain its existing customers, could materially and adversely affect its operating results.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SoundHound’s success depends on its ability to acquire new customers in new and existing verticals, and in new and existing geographic markets. If SoundHound is unable to attract a sufficient number of new customers, it may be unable to reduce gross margins at desired rates and its operating results may suffer. The Voice AI market is competitive and many of SoundHound’s competitors have substantial financial, personnel and other resources that they utilize to develop solutions and attract customers. As a result, it may be difficult for us to add new customers to SoundHound’s existing customer base. Competition in the marketplace may also lead us to win fewer new customers or result in us providing discounts and other commercial incentives. Additional factors that impact SoundHound’s ability to acquire new customers include the perceived need for Voice AI -enabled products or Voice AI services, the size of prospective customers’ budgets for Voice AI, the utility and efficacy of SoundHound’s existing and new products, whether proven or perceived, and general economic conditions. These factors may have a meaningful negative impact on operating results.</w:t>
      </w:r>
    </w:p>
    <w:p>
      <w:pPr>
        <w:spacing w:after="0" w:line="2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SoundHound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 cannot guarantee that it will be able to anticipate future market needs and opportunities or be able to develop product and service enhancements or new products and services to meet such needs or opportunities in a timely manner, if at all. Even if SoundHound is able to anticipate, develop and commercially introduce enhancements and new products and services, there can be no assurance that enhancements or new products and services will achieve widespread market acceptance.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941" w:right="1440" w:bottom="348" w:gutter="0" w:footer="0" w:header="0"/>
          <w:type w:val="continuous"/>
        </w:sectPr>
      </w:pPr>
    </w:p>
    <w:bookmarkStart w:id="28" w:name="page29"/>
    <w:bookmarkEnd w:id="28"/>
    <w:p>
      <w:pPr>
        <w:ind w:firstLine="480"/>
        <w:spacing w:after="0" w:line="243" w:lineRule="auto"/>
        <w:rPr>
          <w:sz w:val="20"/>
          <w:szCs w:val="20"/>
          <w:color w:val="auto"/>
        </w:rPr>
      </w:pPr>
      <w:r>
        <w:rPr>
          <w:rFonts w:ascii="Times New Roman" w:cs="Times New Roman" w:eastAsia="Times New Roman" w:hAnsi="Times New Roman"/>
          <w:sz w:val="20"/>
          <w:szCs w:val="20"/>
          <w:color w:val="auto"/>
        </w:rPr>
        <w:t>New products, as well as enhancements to its existing products, could fail to attain sufficient market acceptance for many reasons, including:</w:t>
      </w:r>
    </w:p>
    <w:p>
      <w:pPr>
        <w:spacing w:after="0" w:line="168" w:lineRule="exact"/>
        <w:rPr>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releasing new products, or product enhancements;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accurately predict market demand and to supply products that meet this demand in a timely fashion;</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defects in its products, errors or failures of its products;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publicity or perceptions about the performance or effectiveness of products;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introduction or anticipated introduction of competing products or technologies by its competitors;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installation, configuration or usage errors by its customers.</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If SoundHound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5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If SoundHound spends significant time and effort on research and development and is unable to generate an adequate return on its investment, its results of operations may be materially and adversely affected.</w:t>
      </w:r>
    </w:p>
    <w:p>
      <w:pPr>
        <w:spacing w:after="0" w:line="2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SoundHound’s business model is predicated, in part, on maintaining a customer base that will generate a recurring stream of revenues. If that recurring stream of revenues is not maintained or does not increase as expected, or if SoundHound’s business model changes as the industry evolves, its operating results may be adversely affected.</w:t>
      </w:r>
    </w:p>
    <w:p>
      <w:pPr>
        <w:spacing w:after="0" w:line="156"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SoundHound’s business model is dependent, in part, on its ability to maintain and increase a customer base that generates recurring revenues. Existing and future customers of SoundHound’s products, technologies and systems may not purchase its subscriptions for its proprietary products or enter into service contracts with SoundHound at the same rate at which customers currently purchase those subscriptions or enter into service contracts with us. If SoundHound’s current and future customers purchase a lower volume of subscriptions for SoundHound’s proprietary products or do not continue entering into service contracts with us, SoundHound’s recurring revenue stream relative to its total revenues would be reduced and its operating results would be adversely affected.</w:t>
      </w:r>
    </w:p>
    <w:p>
      <w:pPr>
        <w:spacing w:after="0" w:line="2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SoundHound’s brand, reputation and ability to attract, retain and serve its customers are dependent in part upon the reliable performance of its products and technologies. If SoundHound is unable to maintain and enhance its brand or reputation as an industry leader, its operating results may be adversely affected.</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Interruptions in SoundHound’s systems or the third-party systems on which SoundHound and its products rely, whether due to system failures, computer viruses, physical or electronic break-ins, or other factors, could affect the security or availability of our products, network infrastructure, cloud infrastructure and website.</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Problems with the reliability or security of SoundHound’s systems could harm its reputation. Damage to SoundHound’s reputation and the cost of remedying these problems could negatively affect its business, financial condition, and operating results. Additionally, SoundHound’s third-party hosting suppliers in certain instances may have no obligations to renew their agreements with us on commercially reasonable terms or at all, and certain of the agreements governing these relationships may be terminated by either party at any time. If SoundHound is unable to maintain, renew, or expand its agreements with these providers on commercially reasonable terms, it may experience costs or downtime as it transitions its operations.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Any disruptions or other performance problems with its products could harm SoundHound’s reputation and business and may damage its customers’ businesses. Interruptions in its service delivery might reduce SoundHound’s revenue, cause SoundHound to issue credits to customers, subject us to potential liability and cause customers not to renew their subscription purchases of its products, which eventually adversely affected SoundHound’s operating results.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948" w:right="1440" w:bottom="348" w:gutter="0" w:footer="0" w:header="0"/>
          <w:type w:val="continuous"/>
        </w:sectPr>
      </w:pPr>
    </w:p>
    <w:bookmarkStart w:id="29" w:name="page30"/>
    <w:bookmarkEnd w:id="29"/>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may engage in future acquisitions or strategic transactions which may require us to seek additional financing or financial commitments, increase our expenses and/or present significant distractions to our management.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completed our acquisitions of Synq3, Inc. (“SYNQ3”) in January 2024, Amelia Holdings, Inc. (“Amelia”) in August 2024, and Interactions Corporation (“Interactions”) in September 2025, and we continue to actively evaluate opportunities to grow and enhance our business and technologies. We have incurred certain significant costs relating to the SYNQ3, Amelia and Interactions acquisitions, such as legal, accounting, financial advisory and other professional services fees, as well as other customary payments. In the event we engage in an acquisition or other strategic transaction, including by making an investment in another company, we may need to acquire additional financing. Obtaining financing through the issuance or sale of additional equity and/or debt securities, if possible, may not be at favorable terms and may result in additional dilution to our current stockholders. Additionally,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an acquisition or strategic transaction, may entail numerous operational and financial risks, including the risks outlined above and additionally:</w:t>
      </w:r>
    </w:p>
    <w:p>
      <w:pPr>
        <w:spacing w:after="0" w:line="170" w:lineRule="exact"/>
        <w:rPr>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unknown financial or product liabilities;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of our business and diversion of our management’s time and attention in order to develop acquired products or technologies;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than expected acquisition and integration costs;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write-downs of assets or goodwill or impairment charges;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amortization expenses;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and cost in combining the operations and personnel of any acquired businesses with our operations and personnel which may result in reorganizations and reductions in force;</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of relationships with key suppliers or customers of any acquired businesses due to changes in management and ownership;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retain key employees of any acquired businesses.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2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intangible assets and goodwill that we recorded in connection with our acquisitions, including our SYNQ3, Amelia, and Interactions acquisitions, become impaired, we may have to take significant charges against earnings, which would have a negative impact on our financial condition and results of operations.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record goodwill and intangible assets at fair value upon the acquisition of a business. Goodwill represents the excess of amounts paid for acquiring businesses over the fair value of the net assets acquired. Under generally accepted accounting principles in the United States, we must assess, at least annually and potentially more frequently, whether the value of indefinite-lived intangible assets and goodwill have been impaired. Intangible assets and goodwill will be assessed for impairment in the event of an impairment indicator. Any reduction or impairment of the value of intangible assets and goodwill will result in a charge against earnings, which could materially adversely affect our results of operations and stockholders’ equity in future periods.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951" w:right="1440" w:bottom="348" w:gutter="0" w:footer="0" w:header="0"/>
          <w:type w:val="continuous"/>
        </w:sectPr>
      </w:pPr>
    </w:p>
    <w:bookmarkStart w:id="30" w:name="page31"/>
    <w:bookmarkEnd w:id="30"/>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acquisitions expose us to risks that could adversely affect our business, and we may not achieve the anticipated benefits of acquisitions of businesses or technologies.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a part of our growth strategy, we have made and may continue to make selected acquisitions of complementary products and/or businesses. Any acquisition involves numerous risks and operational, financial, and managerial challenges, including the following, any of which could adversely affect our business, financial condition, or results of operations:</w:t>
      </w:r>
    </w:p>
    <w:p>
      <w:pPr>
        <w:spacing w:after="0" w:line="163" w:lineRule="exact"/>
        <w:rPr>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integrating new operations, technologies, products, and personnel;</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problems maintaining uniform procedures, controls and policies with respect to our financial accounting systems;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synergies or the inability to realize expected synergies and cost-savings;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managing geographically dispersed operations, including risks associated with entering foreign markets in which we have no or limited prior experience;</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underperformance of any acquired technology, product, or business relative to our expectations and the price we paid;</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near-term impacts on financial results after an acquisition, including acquisition-related earnings charges and contingent acquisition liabilities related to earnout payments or otherwise;</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loss of key employees, customers, and strategic partners of acquired companies;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by terminated employees and shareholders of acquired companies or other third parties related to the transaction;</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assumption or incurrence of additional debt obligations or expenses, or use of substantial portions of our cash;</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equity securities to finance or as consideration for any acquisitions that dilute the ownership of our stockholders (which in the case of certain of our prior acquisitions were significant);</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equity securities to finance or as consideration for any acquisitions may not be an option if the price of our common stock is low or volatile which could preclude us from completing any such acquisitions;</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and company resources from existing operations of the business;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inconsistencies in standards, controls, procedures, and policies;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impairment of intangible assets as a result of technological advancements, or worse-than-expected performance of acquired companies;</w:t>
      </w:r>
    </w:p>
    <w:p>
      <w:pPr>
        <w:spacing w:after="0" w:line="174" w:lineRule="exact"/>
        <w:rPr>
          <w:rFonts w:ascii="Times New Roman" w:cs="Times New Roman" w:eastAsia="Times New Roman" w:hAnsi="Times New Roman"/>
          <w:sz w:val="20"/>
          <w:szCs w:val="20"/>
          <w:color w:val="auto"/>
        </w:rPr>
      </w:pPr>
    </w:p>
    <w:p>
      <w:pPr>
        <w:ind w:left="960" w:hanging="480"/>
        <w:spacing w:after="0" w:line="268" w:lineRule="auto"/>
        <w:tabs>
          <w:tab w:leader="none" w:pos="9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assumption of, or exposure to, historical liabilities of the acquired business, including unknown contingent or similar liabilities, including product liability, that are difficult to identify or accurately quantify; and</w:t>
      </w:r>
    </w:p>
    <w:p>
      <w:pPr>
        <w:spacing w:after="0" w:line="152" w:lineRule="exact"/>
        <w:rPr>
          <w:rFonts w:ascii="Times New Roman" w:cs="Times New Roman" w:eastAsia="Times New Roman" w:hAnsi="Times New Roman"/>
          <w:sz w:val="19"/>
          <w:szCs w:val="19"/>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acquiring intellectual property, including potential disputes regarding acquired companies’ intellectual property.</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the successful integration of acquired businesses requires significant efforts and expense across all operational areas, including sales and marketing, research and development, finance, legal, and information technologies. There can be no assurance that any of the acquisitions we may make will be successful or will be, or will remain, profitable or accretive. Our failure to successfully address the foregoing risks may prevent us from achieving the anticipated benefits from any acquisition in a reasonable time frame, or at all.</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951" w:right="1440" w:bottom="348" w:gutter="0" w:footer="0" w:header="0"/>
          <w:type w:val="continuous"/>
        </w:sectPr>
      </w:pPr>
    </w:p>
    <w:bookmarkStart w:id="31" w:name="page32"/>
    <w:bookmarkEnd w:id="31"/>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integration of our acquisitions, and in particular, our acquisition of SYNQ3, Amelia, and Interactions, may result in significant accounting charges that adversely affect the financial results of our company.</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financial results of our company may be adversely affected by cash expenses and non-cash accounting charges incurred in connection with our acquisitions. In addition to the anticipated cash charges, costs associated with the amortization of intangible assets are expected. The price of our common stock could decline to the extent our financial results are materially affected by the foregoing charges or if the foregoing charges are larger than anticipated.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acquisitions may result in unexpected consequences to our business and results of operations.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Although we believe that our recently acquired businesses will generally be subject to risks similar to those to which we are subject to in our existing operations, we may not have discovered all risks applicable to these businesses during the due diligence process. Some of these risks could produce unexpected and unwanted consequences for us. Undiscovered risks may result in us incurring financial liabilities, which could be material and have a negative impact on our business operations.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Failure to realize the benefits expected from our recent acquisitions could adversely affect the value of our common stock.</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success of our recent acquisitions will depend, in part, on our ability to:</w:t>
      </w:r>
    </w:p>
    <w:p>
      <w:pPr>
        <w:spacing w:after="0" w:line="177" w:lineRule="exact"/>
        <w:rPr>
          <w:sz w:val="20"/>
          <w:szCs w:val="20"/>
          <w:color w:val="auto"/>
        </w:rPr>
      </w:pPr>
    </w:p>
    <w:p>
      <w:pPr>
        <w:ind w:left="960" w:hanging="480"/>
        <w:spacing w:after="0" w:line="243"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integrate SYNQ3, Amelia, and Interactions’ customer bases and capitalize on our cross-selling opportunities;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realize cost savings from reduced back-office and infrastructure expenses, eliminate duplicative company and management structure costs;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our combined businesses efficiently, achieve the strategic operating objectives for our business and realize significant cost savings and synergies;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realize the attractive risk-adjusted equity returns from our acquisitions for our stockholders; and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 on the embedded and/or underexploited expansion opportunities offered by our acquisitions that we can expand upon.</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However, to realize the anticipated benefits of our acquisitions we must successfully integrate their businesses in a manner that permits those benefits and cost savings to be realized. Although we expect benefits to result from these acquisitions, there can be no assurance that we will be able to successfully realize these benefits. The challenges involved in this integration will be complex and time consuming and may require a disproportionate amount of resources and management attention and could result in the loss of valuable employees, the disruption of each company’s ongoing business or inconsistencies in standards, controls, procedures, practices, and policies that could adversely impact our operations. If we do not successfully manage these and related issues and challenges, we may not achieve the anticipated benefits of these acquisitions and our revenue, expenses, operating results, financial condition and stock price could be materially adversely affected.</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 has generated substantial net losses and negative operating cash flows since its inception and may continue to do so for the foreseeable future.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To date, SoundHound has generated substantial net losses and negative cash flows from operating activities. SoundHound will likely continue to have net losses and negative operating cash flows as SoundHound continues to invest in its development activities, and in sales and marketing. SoundHound also expects to continue to incur the incremental costs of operating as a public company, contributing to SoundHound’s losses and operating uses of cash. SoundHound’s costs may also increase due to such factors as higher than anticipated financing and other costs; increases in the costs of labor or infrastructure, in particular following the implementation of the restructuring plan; and major incidents or catastrophic events. If any of these or similar factors occur, SoundHound’s net losses and accumulated deficit could increase significantly and the price of shares of its common stock could decline.</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951" w:right="1440" w:bottom="348" w:gutter="0" w:footer="0" w:header="0"/>
          <w:type w:val="continuous"/>
        </w:sectPr>
      </w:pPr>
    </w:p>
    <w:bookmarkStart w:id="32" w:name="page33"/>
    <w:bookmarkEnd w:id="32"/>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SoundHound may require additional capital to continue its planned business operations but may not be able to obtain such capital when desired on favorable terms, if at all, or without dilution to its stockholders.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Even though the total unrestricted cash and cash equivalents on hand as of December 31, 2025 was $248.5 million, we have had negative cash flows from operations of $98.2 million, $108.9 million and $68.3 million, respectively, during the years ended December 31, 2025, 2024 and 2023. Accordingly, SoundHound may require additional capital to continue its planned business operations. SoundHound anticipates that current cash, cash equivalents, cash provided by operating activities and funds available through SoundHound’s at-the-market offering program (“ATM”), will not be sufficient to meet its long-term expected future capital needs. SoundHound will need additional financing to execute on its current or future business strategies, including to:</w:t>
      </w:r>
    </w:p>
    <w:p>
      <w:pPr>
        <w:spacing w:after="0" w:line="170" w:lineRule="exact"/>
        <w:rPr>
          <w:sz w:val="20"/>
          <w:szCs w:val="20"/>
          <w:color w:val="auto"/>
        </w:rPr>
      </w:pPr>
    </w:p>
    <w:p>
      <w:pPr>
        <w:ind w:left="960" w:right="20" w:hanging="480"/>
        <w:spacing w:after="0" w:line="243" w:lineRule="auto"/>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potentially hire additional software engineers, sales and marketing professionals, and other personnel as needed following implementation of the restructuring plan;</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new or enhance existing products and services;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SoundHound’s operating infrastructure;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complementary businesses or technologies; or</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respond to competitive pressures.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If SoundHound raises additional funds through the issuance of equity, including its ATM program, or convertible debt securities, or grants competitive equity awards to attract and retain qualified employees, the percentage ownership of its stockholders could be significantly diluted, and these newly-issued securities may have rights, preferences or privileges senior to those of existing stockholders, including those acquiring shares in this offering. SoundHound cannot assure you that additional financing will be available on terms favorable to SoundHound, or at all, particularly in light of inflationary pressures and resulting increases in the cost of borrowing. If adequate funds are not available or are not available on acceptable terms, if and when needed, SoundHound’s ability to fund its operations, take advantage of unanticipated opportunities, develop or enhance its products, or otherwise respond to competitive pressures would be significantly limited.</w:t>
      </w:r>
    </w:p>
    <w:p>
      <w:pPr>
        <w:spacing w:after="0" w:line="25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loss of one or more key members of SoundHound’s management team or personnel, or its failure to attract, integrate and retain additional personnel in the future, could harm its business and negatively affect its ability to successfully grow its business.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SoundHound is highly dependent upon the continued service and performance of the key members of SoundHound’s management team and other personnel. The loss of any of these individuals, each of whom is “at will” and may terminate his or her employment relationship with us at any time, could disrupt SoundHound’s operations and significantly delay or prevent the achievement of our business objectives.</w:t>
      </w:r>
    </w:p>
    <w:p>
      <w:pPr>
        <w:spacing w:after="0" w:line="169"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Additionally, if any of SoundHound’s key management team members or other employees were to leave, SoundHound could face substantial difficulty in hiring qualified successors, particularly with consideration to our recent reduction in force related to our restructuring plan and could experience a loss in productivity while any successor obtains the necessary training and experience. Although SoundHound has arrangements with some of its executive officers designed to promote retention, its employment relationships are generally at-will and SoundHound has had key employees leave in the past. SoundHound cannot assure you that one or more key employees will not leave in the future. SoundHound intends to continue to hire additional highly qualified personnel, including research and development and operational personnel, as needed (with consideration to our restructuring plan) but may not be able to attract, assimilate or retain qualified personnel in the future or may be required to pay increased compensation in order to do so. Any failure to attract, integrate, motivate and retain such employees could harm SoundHound’s business or impair our ability to timely meet business goals and objectives.</w:t>
      </w:r>
    </w:p>
    <w:p>
      <w:pPr>
        <w:sectPr>
          <w:pgSz w:w="12240" w:h="15840" w:orient="portrait"/>
          <w:cols w:equalWidth="0" w:num="1">
            <w:col w:w="9380"/>
          </w:cols>
          <w:pgMar w:left="1440" w:top="95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80"/>
          </w:cols>
          <w:pgMar w:left="1440" w:top="951" w:right="1420" w:bottom="348" w:gutter="0" w:footer="0" w:header="0"/>
          <w:type w:val="continuous"/>
        </w:sectPr>
      </w:pPr>
    </w:p>
    <w:bookmarkStart w:id="33" w:name="page34"/>
    <w:bookmarkEnd w:id="33"/>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The Company has identified material weaknesses in its internal control over financial reporting and may identify additional material weaknesses in the future, which may result in material misstatements of the Company’s consolidated financial statements or cause the Company to fail to meet its periodic reporting obligations and the trading price of the Company’s stock could be negatively affected.</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a public company, we are required to comply with the SEC’s rules implementing Sections 302 and 404 of the Sarbanes-Oxley Act of 2002, or the Sarbanes-Oxley Act, which require management to certify financial and other information in our quarterly and annual reports and provide an annual management report on the effectiveness of internal control over financial reporting.</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Pursuant to SEC rules and regulations,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If we fail to maintain the adequacy of our internal control over financial reporting, we will not be able to conclude on an ongoing basis that we have effective internal control over financial reporting. Failure to achieve and maintain effective internal control over financial reporting could result in material misstatements in our financial statements and a failure to meet our reporting and financial obligations, each of which could have a material adverse effect on our financial condition and the trading price of our common stock. This could result in significant expenses to remediate any internal control deficiencies and lead to a decline in our stock price.</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identified material weaknesses in internal control over financial reporting as of December 31, 2025. These material weaknesses were previously disclosed and continue to exist.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Company did not maintain an effective control environment as it lacked sufficient oversight of activities related to its internal control over financial reporting due to a lack of an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not designing and maintaining effective controls related to substantially all accounts and disclosures. These material weaknesses contributed to the following additional material weaknesses that continue to exist as of December 31, 2025:</w:t>
      </w:r>
    </w:p>
    <w:p>
      <w:pPr>
        <w:spacing w:after="0" w:line="175" w:lineRule="exact"/>
        <w:rPr>
          <w:sz w:val="20"/>
          <w:szCs w:val="20"/>
          <w:color w:val="auto"/>
        </w:rPr>
      </w:pPr>
    </w:p>
    <w:p>
      <w:pPr>
        <w:jc w:val="both"/>
        <w:ind w:left="960" w:hanging="480"/>
        <w:spacing w:after="0" w:line="246"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controls related to the identification of and accounting for certain non-routine, unusual or complex transactions, including the accounting for complex financing transactions.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material weaknesses related to the control environment, risk assessment and the accounting for certain non-routine, unusual or complex transactions resulted in the revision of the consolidated financial statements as of and for the periods ended September 30, 2022, December 31, 2022, March 31, 2023, June 30, 2023, and immaterial errors in various accounts during the interim and annual periods during 2023, 2024 and 2025. The material weakness related to segregation of duties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Effective internal control over financial reporting is necessary to provide reliable financial reports and to assist in the effective prevention or detection of material misstatements due to error or fraud. Any inability to provide reliable financial reports or prevent or detect material misstatements due to error or fraud could harm our business. We regularly review and update our internal control over financial reporting, disclosure controls and procedures, and corporate governance policies. In addition, we are required under the rules and regulations of the SEC regarding compliance with SOX to report annually on the effectiveness of our internal control over financial reporting. Any system of internal controls, however well designed and operated, is based in part on certain assumptions and can provide only reasonable, not absolute, assurances that the objectives of the system are met.</w:t>
      </w:r>
    </w:p>
    <w:p>
      <w:pPr>
        <w:sectPr>
          <w:pgSz w:w="12240" w:h="15840" w:orient="portrait"/>
          <w:cols w:equalWidth="0" w:num="1">
            <w:col w:w="9360"/>
          </w:cols>
          <w:pgMar w:left="1440" w:top="951" w:right="1440" w:bottom="348"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951" w:right="1440" w:bottom="348" w:gutter="0" w:footer="0" w:header="0"/>
          <w:type w:val="continuous"/>
        </w:sectPr>
      </w:pPr>
    </w:p>
    <w:bookmarkStart w:id="34" w:name="page35"/>
    <w:bookmarkEnd w:id="34"/>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While we are in the process of addressing the material weaknesses as disclosed herein, elements of our remediation plan can only be accomplished over time and we can offer no assurance that these initiatives will ultimately have the intended effects. Any failure to maintain effective internal control over financial reporting could adversely impact our ability to report our financial results on a timely and accurate basis. If our financial statements are not accurate, investors may not have a complete understanding of our operations or may lose confidence in our reported financial information. Likewise, if our financial statements are not filed on a timely basis as required by the SEC and The NASDAQ Stock Market, we could face severe consequences from those authorities. In either case, it could result in a material adverse effect on our business or have a negative effect on the trading price of our common stock. Further, if we fail to remedy these deficiencies (or any other future deficiencies) or maintain effective internal control over financial reporting, we could be subject to regulatory scrutiny, civil or criminal penalties or stockholder litigation. We can give no assurance that the measures we have taken and plan to take in the future will remediate the material weaknesses identified or that any additional material weaknesses or restatements of our financial statements will not arise in the future due to a failure to implement and maintain adequate internal control over financial reporting or circumvention of those controls.</w:t>
      </w:r>
    </w:p>
    <w:p>
      <w:pPr>
        <w:spacing w:after="0" w:line="18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Further, in the future, 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Natural disasters, health epidemics, or other catastrophic events may cause damage or disruption to our operations, commerce and the global economy, and have a negative effect on our business and operations.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 significant natural disaster, such as an earthquake, wildfire, flood, hurricane or significant power outage or other similar events, such as infectious disease outbreaks or pandemic events, could have an adverse effect on our business and operating results, by impacting, among other things, the demand for our services, our ability to achieve or maintain profitability and our ability to raise additional capital in the future. Our corporate headquarters are located in the San Francisco Bay Area of California, a region known for seismic and wildfire activities. Customer data could be lost, significant recovery time could be required to resume operations and our financial condition and operating results could be adversely affected in the event of a major natural disaster or catastrophic event. Although we maintain crisis management and disaster response plans, such events could make it difficult or impossible for us to deliver our services to our customers, could decrease demand for our services, and could cause us to incur substantial expense. Our insurance may not be sufficient to cover losses or additional expenses that we may sustain. In addition, the impacts of climate change on the global economy and our industry are rapidly evolving. We may be subject to increased regulations, reporting requirements, standards or expectations regarding the environmental impacts of our business.</w:t>
      </w:r>
    </w:p>
    <w:p>
      <w:pPr>
        <w:spacing w:after="0" w:line="2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Although SoundHound is not directly impacted by the tariffs as a software-as-a-service (“SaaS”) provider, SoundHound’s business or stock price may be adversely affected by the imposition of duties and tariffs and other trade barriers and retaliatory countermeasures on our customers implemented by the U.S. and other governments.</w:t>
      </w:r>
    </w:p>
    <w:p>
      <w:pPr>
        <w:spacing w:after="0" w:line="15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2025, there have been significant changes to U.S. trade policies, sanctions, legislation, treaties and tariffs, including, but not limited to, trade policies and tariffs affecting products from outside of the U.S. For example, in early April, 2025, the current U.S. presidential administration announced significant new tariffs on foreign imports into the U.S. from about 90 nations. Although SoundHound is not directly impacted by the tariffs as a SaaS provider, the extent and duration of increased tariffs and the resulting impact on general economic conditions and on our business partners are uncertain and depend on various factors, such as negotiations between the U.S. and affected countries, the responses of other countries or regions, and exemptions or exclusions that may be granted. Any new or additional tariffs on goods imported to the U.S. could eventually impact the demand of our products and services from our business partners or our pricing strategy. Additionally, U.S. policy changes and uncertainty about such changes could increase market volatility and currency exchange rate fluctuations, which may ultimately increase the unpredictability of our business or stock price.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948" w:right="1440" w:bottom="348"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Risks Relating to SoundHound’s Intellectual Property and Technology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SoundHound’s use of open source technology could impose limitations on its ability to commercialize its software.</w:t>
      </w:r>
    </w:p>
    <w:p>
      <w:pPr>
        <w:spacing w:after="0" w:line="17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 uses open source technology in some of its software and expect to continue to use open source technology in the future. Although we monitor its use of open source technology to avoid subjecting its software to conditions SoundHound does not intend, we may face allegations from others alleging ownership of, or seeking to enforce the terms of, an open source license, including by demanding release of the open source software, derivative works, or SoundHound’s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SoundHound’s business and revenue.</w:t>
      </w:r>
    </w:p>
    <w:p>
      <w:pPr>
        <w:spacing w:after="0" w:line="15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use of open source technology could subject SoundHound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SoundHound’s software. If SoundHound is unable to successfully address these challenges, its operating results may be adversely affected, and its development costs may increase</w:t>
      </w:r>
      <w:r>
        <w:rPr>
          <w:rFonts w:ascii="Times New Roman" w:cs="Times New Roman" w:eastAsia="Times New Roman" w:hAnsi="Times New Roman"/>
          <w:sz w:val="20"/>
          <w:szCs w:val="20"/>
          <w:b w:val="1"/>
          <w:bCs w:val="1"/>
          <w:i w:val="1"/>
          <w:iCs w:val="1"/>
          <w:color w:val="auto"/>
        </w:rPr>
        <w:t>.</w:t>
      </w:r>
    </w:p>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Third parties have claimed in the past and may claim in the future that SoundHound is infringing their intellectual property, and we could be exposed to significant litigation or licensing expenses or be prevented from selling SoundHound’s products or making its technologies available to its customers if such claims are successful.</w:t>
      </w:r>
    </w:p>
    <w:p>
      <w:pPr>
        <w:spacing w:after="0" w:line="156"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SoundHound has been, is currently and in the future may be subject to claims and legal actions alleging that we or its customers may be infringing or contributing to the infringement of the intellectual property rights of others. For example, on November 21, 2024, VB Assets, LLC, a non-practicing entity, filed a complaint against the Company in the United States District Court for the District of Delaware alleging patent infringement under 35 U.S.C. § 271. See “Legal Proceedings” for more information.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SoundHound’s business and its financial results. Any of these could seriously harm SoundHound’s business.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Unauthorized use of SoundHound’s proprietary technology and intellectual property could adversely affect its business and results of operations.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SoundHound’s intellectual property and proprietary rights. Unauthorized parties may attempt to copy or discover aspects of SoundHound’s products or to obtain, license, sell or otherwise use information that we regard as proprietary. Policing unauthorized use of SoundHound’s products is difficult and we may not be able to protect its technology from unauthorized use. Additionally, SoundHound’s competitors may independently develop technologies that are</w:t>
      </w:r>
    </w:p>
    <w:p>
      <w:pPr>
        <w:sectPr>
          <w:pgSz w:w="12240" w:h="15840" w:orient="portrait"/>
          <w:cols w:equalWidth="0" w:num="1">
            <w:col w:w="9360"/>
          </w:cols>
          <w:pgMar w:left="1440" w:top="941" w:right="1440" w:bottom="348"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941" w:right="1440" w:bottom="348" w:gutter="0" w:footer="0" w:header="0"/>
          <w:type w:val="continuous"/>
        </w:sectPr>
      </w:pPr>
    </w:p>
    <w:bookmarkStart w:id="36" w:name="page37"/>
    <w:bookmarkEnd w:id="36"/>
    <w:p>
      <w:pPr>
        <w:jc w:val="both"/>
        <w:spacing w:after="0" w:line="264" w:lineRule="auto"/>
        <w:rPr>
          <w:sz w:val="20"/>
          <w:szCs w:val="20"/>
          <w:color w:val="auto"/>
        </w:rPr>
      </w:pPr>
      <w:r>
        <w:rPr>
          <w:rFonts w:ascii="Times New Roman" w:cs="Times New Roman" w:eastAsia="Times New Roman" w:hAnsi="Times New Roman"/>
          <w:sz w:val="19"/>
          <w:szCs w:val="19"/>
          <w:color w:val="auto"/>
        </w:rPr>
        <w:t>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SoundHound’s proprietary rights to the same extent as the laws of the United States. Although the source code for SoundHound’s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24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software products may have bugs, which could result in delayed or lost revenue, expensive correction, liability to its customers and claims against us.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Complex software products such as SoundHound’s may contain errors, defects or bugs. Defects in the solutions or products that we develop and sell to its customers could require expensive corrections and result in delayed or lost revenue, adverse customer reaction and negative publicity about us or SoundHound’s products and technologies. Customers who are not satisfied with any of SoundHound’s products may also bring claims against us for damages, which, even if unsuccessful, would likely be time-consuming to defend, and could result in costly litigation and payment of damages. Such claims could harm SoundHound’s reputation, financial results and competitive position.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respond quickly enough to changes in technology and technological risks and to develop its intellectual property into commercially viable products.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Changes in legislative, regulatory or industry requirements or in competitive technologies may render certain of SoundHound’s products obsolete or less attractive to its customers, which could adversely affect its results of operations. SoundHound’s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is also subject to the risks generally associated with new product introductions and applications, including lack of market acceptance, delays in product development and failure of products to operate properly. These risks could have a material adverse effect on SoundHound’s business, results of operations and financial condition.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SoundHound’s Class A Common Stock and the Securities Market</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SoundHound’s stock price and trading volume has fluctuated significantly and may continue to fluctuate significantly in the future.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market price and trading volume of SoundHound’s Class A common stock, $0.0001 par value per share (“Class A Common Stock”) has fluctuated widely and may continue to fluctuate widely, depending on many factors, some of which may be beyond our control, including:</w:t>
      </w:r>
    </w:p>
    <w:p>
      <w:pPr>
        <w:spacing w:after="0" w:line="166" w:lineRule="exact"/>
        <w:rPr>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results of operations due to factors related to our business;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 or failure of our business strategies;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and industry capacity;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interest rates and other factors that affect earnings and cash flow;</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level of indebtedness, our ability to make payments on or service our indebtedness and our ability to obtain financing as needed;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and recruit qualified personnel, particularly in light of our recent restructuring;</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quarterly or annual earnings or losses, or those of other companies in our industry;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acquisitions or dispositions;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guidance, interpretations or principles;</w:t>
      </w:r>
    </w:p>
    <w:p>
      <w:pPr>
        <w:spacing w:after="0" w:line="17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purchases or sales of our ClassA Common Stock by large or influential investors or stockholders;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948" w:right="1440" w:bottom="348" w:gutter="0" w:footer="0" w:header="0"/>
          <w:type w:val="continuous"/>
        </w:sectPr>
      </w:pPr>
    </w:p>
    <w:bookmarkStart w:id="37" w:name="page38"/>
    <w:bookmarkEnd w:id="37"/>
    <w:p>
      <w:pPr>
        <w:ind w:left="960" w:hanging="480"/>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securities analysts to cover, or positively cover, our Class A Common Stock;</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earnings estimates by securities analysts or our ability to meet those estimates;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operating and stock price performance of other comparable companies;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 of the Company and the AI industry;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market fluctuations unrelated to our operating performance;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from any material litigation or government investigation;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(including tax laws and regulations) affecting our business;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capital gains taxes and taxes on dividends affecting stockholders;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other external factors.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Low trading volume for SoundHound’s Class A Common Stock would amplify the effect of the above factors on stock price volatility.</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over the last few years, the stock market more broadly has experienced price and volume fluctuations, including due to factors relating to the outbreak of COVID-19, inflationary pressures, the wars in Ukraine and in the Middle East and the imposition and/or threat of tariffs, and this volatility has sometimes been unrelated to the operating performance of particular companies. As a result, there is a potential for rapid and substantial decreases in the price of our Class A Common Stock, including decreases unrelated to our operating performance or prospects. This market and share price volatility relating to these outside effects, as well as general economic, market or political conditions, has and could further reduce the market price of our Class A Common Stock in spite of our operating performance and could also increase our cost of capital, which could prevent us from accessing debt and equity capital on terms acceptable to us or at all.</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Additionally, a proportion of our Class A Common Stock may be traded by short sellers which may put pressure on the supply and demand for our Class A Common Stock, creating further price volatility. In particular, a possible “short squeeze” due to a sudden increase in demand of our Class A Common Stock that largely exceeds supply may lead to sudden extreme price volatility in our Class A Common Stock. Investors may purchase our Class A Common Stock to hedge existing exposure in our Class A Common Stock or to speculate on the price of our Class A Common Stock. Speculation on the price of our Class A Common Stock may involve long and short exposures. To the extent aggregate short exposure exceeds the number of shares of Class A Common Stock available for purchase in the open market, investors with short exposure may have to pay a premium to repurchase our Class A Common Stock for delivery to lenders of our Class A Common Stock. Those repurchases may in turn, dramatically increase the price of our Class A Common Stock until investors with short exposure are able to purchase additional shares to cover their short position. This is often referred to as a “short squeeze.” Following such a short squeeze, once investors purchase the shares necessary to cover their short position, the price of our Class A Common Stock may rapidly decline. A short squeeze could lead to volatile price movements in our shares that are not directly correlated to the performance or prospects of our company and could cause purchasers of our Class A Common Stock to incur substantial losses.</w:t>
      </w:r>
    </w:p>
    <w:p>
      <w:pPr>
        <w:spacing w:after="0" w:line="155"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Should the market price of our shares drop significantly, stockholders may institute securities class action lawsuits against us. A lawsuit against SoundHound could cause SoundHound to incur substantial costs and could divert the time and attention of its management and other resources.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cash dividends for the foreseeable future.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of directors deems relevant. We do not intend to and there can be no assurance that we will pay any dividend in the future.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941" w:right="1440" w:bottom="348" w:gutter="0" w:footer="0" w:header="0"/>
          <w:type w:val="continuous"/>
        </w:sectPr>
      </w:pPr>
    </w:p>
    <w:bookmarkStart w:id="38" w:name="page39"/>
    <w:bookmarkEnd w:id="38"/>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requirements of being a public company may strain SoundHound’s resources and divert management’s attention, and the increases in legal, accounting and compliance expenses may be greater than SoundHound anticipates.</w:t>
      </w:r>
    </w:p>
    <w:p>
      <w:pPr>
        <w:spacing w:after="0" w:line="173"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As a public company and a large accelerated filer, we will continue to incur significant legal, accounting and other expenses that SoundHound did not incur as a private company. SoundHound is subject to the reporting requirements of the Exchange Act, and is required to comply with the applicable requirements of the Sarbanes-Oxley Act, and the Dodd-Frank Wall Street Reform and Consumer Protection Act, as well as the rules and regulations subsequently implemented by the SEC and the listing standards of Nasdaq, including changes in corporate governance practices and the establishment and maintenance of effective disclosure and financial controls. Compliance with these rules and regulations can be burdensome. SoundHound’s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has incurred and expects to continue to incur significant expenses and devote substantial management effort toward ensuring compliance with the requirements of Section 404 of the Sarbanes-Oxley Act. SoundHound has hired and will continue to need to hire additional accounting and financial staff, including as a result of our acquisitions in 2024, and engage outside consultants, all with appropriate public company experience and technical accounting knowledge and maintain an internal audit function, which has and will increase its operating expenses. Moreover, SoundHound could incur additional compensation costs in the event that it decides to pay cash compensation closer to that of other publicly listed companies, which would increase its general and administrative expenses and could materially and adversely affect its profitability. SoundHound will evaluate these rules and regulations, and cannot predict or estimate the amount of additional costs SoundHound may incur or the timing of such costs.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may not have adequate personnel with the appropriate level of knowledge, experience and training in the accounting policies, practices or internal control over financial reporting required of public companies. SoundHound’s management will need to continually assess its staffing and training procedures to improve its internal control over financial reporting. For example, SoundHound did not timely file its Form 10-Q for the quarter ended March 31, 2021 and had to file extensions for its Form 10-Q for the quarter ended September 30, 2023 and its Form 10-K for the years ended December 31, 2023 and 2024. Unless the matters discussed in this risk factor and elsewhere in this Annual Report are mitigated, the risk exists that SoundHound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will be required to expand its employee base and hire additional employees to support its operations as a public company which will increase our operating costs in future periods.</w:t>
      </w:r>
    </w:p>
    <w:p>
      <w:pPr>
        <w:spacing w:after="0" w:line="17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Changing laws, regulations and standards relating to corporate governance and public disclosure, including regulations implemented by the SEC and Nasdaq, are subject to varying interpretations, and as a result, their application in practice may evolve over time as new guidance is provided by regulatory and governing bodies. SoundHound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951" w:right="1440" w:bottom="348"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Risks Applicable to a Dual Class Common Stock Structure</w:t>
      </w:r>
    </w:p>
    <w:p>
      <w:pPr>
        <w:spacing w:after="0" w:line="2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SoundHound has a dual class common stock structure that has the effect of concentrating voting control with the holders of our Class B common stock, $0.0001 par value per share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 has a dual class common stock structure and the holders of SoundHound Class B Common Stock have ten votes per share. SoundHound’s founders (Keyvan Mohajer, Majid Emami and James Hom) own shares of Class B Common Stock representing approximately 47% of the voting power of the outstanding capital stock of SoundHound as of December 31, 2025.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Restated Certificate of Incorporation of the Company (the “Restated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Restated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Restated Charter provides for a dual-class multiple voting Common Stock structure, and we cannot predict the effect this structure of our common stock may have on the market price of our Class A Common Stock.</w:t>
      </w:r>
    </w:p>
    <w:p>
      <w:pPr>
        <w:spacing w:after="0" w:line="177"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We cannot predict whether having an Restated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ectPr>
          <w:pgSz w:w="12240" w:h="15840" w:orient="portrait"/>
          <w:cols w:equalWidth="0" w:num="1">
            <w:col w:w="9360"/>
          </w:cols>
          <w:pgMar w:left="1440" w:top="941" w:right="1440" w:bottom="348"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941" w:right="1440" w:bottom="348" w:gutter="0" w:footer="0" w:header="0"/>
          <w:type w:val="continuous"/>
        </w:sectPr>
      </w:pPr>
    </w:p>
    <w:bookmarkStart w:id="40" w:name="page41"/>
    <w:bookmarkEnd w:id="40"/>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Delaware law and provisions in our charter documents could make a merger, tender offer, or proxy contest difficult, thereby depressing the trading price of our common stock.</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Restated Charter, Amended &amp; Restated Bylaws of the Company (the “Amended Bylaws”), and Delaware law contain provisions that could depress the trading price of our common stock by acting to discourage, delay, or prevent a change of control of SoundHound or changes in SoundHound that our management or stockholders may deem advantageous. Among other things, the Restated Charter and Amended Bylaws include the following provisions:</w:t>
      </w:r>
    </w:p>
    <w:p>
      <w:pPr>
        <w:spacing w:after="0" w:line="155" w:lineRule="exact"/>
        <w:rPr>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the board of directors to establish the number of directors and fill any vacancies and newly created directorships;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the issuance of “blank check” preferred stock that our board of directors could use to implement a stockholder rights plan;</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eliminates the ability of our stockholders to call special meetings of stockholders, except to the extent otherwise provided in the Amended Bylaws;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stockholder action by written consent, except to the extent otherwise provided in the Amended Bylaws, which requires all stockholder actions to be taken at a meeting of our stockholders;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the board of directors is expressly authorized to make, alter, or repeal our Amended Bylaws; and</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of directors or for proposing matters that can be acted upon by stockholders at annual stockholder meetings.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our management. As a Delaware corporation, we are also subject to provisions of Delaware law. Any provision of our Restated Charter, our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U.S. and International Taxation Generally</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Changes in tax laws or exposure to additional income tax liabilities could affect SoundHound’s future profitability.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Factors that could materially affect SoundHound’s future effective tax rates include but are not limited to:</w:t>
      </w:r>
    </w:p>
    <w:p>
      <w:pPr>
        <w:spacing w:after="0" w:line="170" w:lineRule="exact"/>
        <w:rPr>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or the regulatory environment;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and tax standards or practices;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composition of operating income by tax jurisdiction;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SoundHound’s operating results before taxes.</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Because SoundHound does not have a long history of operating at its present scale and it has significant expansion plans, SoundHound’s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legislation has had no effect on SoundHound’s provision for income taxes because SoundHound has incurred annual losses in the U.S. to date and management set up a full valuation allowance against its U.S. federal and states deferred tax assets.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951" w:right="1440" w:bottom="348" w:gutter="0" w:footer="0" w:header="0"/>
          <w:type w:val="continuous"/>
        </w:sectPr>
      </w:pPr>
    </w:p>
    <w:bookmarkStart w:id="41" w:name="page42"/>
    <w:bookmarkEnd w:id="41"/>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July 4, 2025, the United States enacted tax reform legislation through the One Big Beautiful Bill Act. Included in this legislation are provisions that allow for the immediate expensing of domestic United States research and development expenses, immediate expensing of certain capital expenditures, and other changes to the U.S. taxation of profits derived from foreign operations. We do not expect that the enactment of the legislation will lead to a significant change of our tax expense during 2025, primarily due to our taxable loss position and the full valuation allowance on deferred tax assets in the US jurisdiction. The Company continues to evaluate the impact the new legislation will have on our annual or interim consolidated financial statements.</w:t>
      </w:r>
    </w:p>
    <w:p>
      <w:pPr>
        <w:spacing w:after="0" w:line="170"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addition to the impact of the Tax Act on SoundHound’s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SoundHound’s future intercompany charges, cross-jurisdictional transfer pricing or other matters and assess additional taxes. If SoundHound does not prevail in any such disagreements, its profitability may be affected.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SoundHound’s ability to use its net operating loss carryforwards and certain other tax attributes may be limited.</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2025, SoundHound had $892.9 million of U.S. federal and $379.7 million of state net operating loss carryforwards available to reduce future taxable income. The federal and state net operating loss carryforwards will start to expire in 2026 with the exception of $691.0 million federal net operating loss carryforwards and $18.5 million state net operating loss carryforwards, which can be carried forward indefinitely. It is possible that SoundHound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SoundHound’s ownership by “5-percent stockholders” that exceeds 50 percentage points over a rolling three-year period. Similar rules may apply under state tax laws.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2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166" w:lineRule="exact"/>
        <w:rPr>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valuation of our deferred tax assets and liabilities;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timing and amount of the release of any tax valuation allowances;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effects of stock-based compensation;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intercompany restructurings;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regulations or interpretations thereof; or</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than anticipated future earnings in jurisdictions where we have lower statutory tax rates and higher than anticipated future earnings in jurisdictions where we have higher statutory tax rates.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addition, we may be subject to audits of our income, sales and other transaction taxes by taxing authorities.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Outcomes from these audits could have an adverse effect on our financial condition and results of operations.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948" w:right="1440" w:bottom="348" w:gutter="0" w:footer="0" w:header="0"/>
          <w:type w:val="continuous"/>
        </w:sectPr>
      </w:pPr>
    </w:p>
    <w:bookmarkStart w:id="42" w:name="page43"/>
    <w:bookmarkEnd w:id="42"/>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acknowledges the increasing importance of cybersecurity in its operations and recognizes the potential risks and threats associated with cyber incidents. The Company is committed to maintaining the confidentiality, integrity, and availability of its information systems and data. However, no system can be completely immune to cyber threats. We face a number of cybersecurity risks in connection with our business. To date, such risks have not materially affected our business, including threats to and breaches of our data systems, malware and computer virus attacks.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following information provides an overview of our approach to managing cybersecurity risks. The Company assesses, identifies and manages cybersecurity related risks. Cybersecurity related risks are continuously evaluated to assess top risks to the enterprise. SoundHound has implemented a comprehensive cybersecurity program designed to identify, assess, and manage cyber risks.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This program includes, but is not limited to:</w:t>
      </w:r>
    </w:p>
    <w:p>
      <w:pPr>
        <w:spacing w:after="0" w:line="170" w:lineRule="exact"/>
        <w:rPr>
          <w:sz w:val="20"/>
          <w:szCs w:val="20"/>
          <w:color w:val="auto"/>
        </w:rPr>
      </w:pPr>
    </w:p>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 risk assessments and vulnerability assessments.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Implementation of industry-accepted cybersecurity controls and best practices.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training and awareness programs to enhance the company’s overall cybersecurity posture.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Continuous monitoring and incident response plans to detect and mitigate potential threats promptly.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have a set of Company-wide policies and procedures concerning cybersecurity matters, such as policies related to encryption standards, antivirus protection, remote access, multi factor authentication, confidential information and the use of the internet, social media, email and wireless devices. These policies go through an annual internal review process and are approved by appropriate members of management.</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have continued to expand investments in our overall security posture, including additional end-user training, using defense in depth, identifying and protecting critical assets, strengthening monitoring and alerting, and engaging experts. We regularly test our defenses through simulations, both at the technical level and through reviews of our operational policies and procedures. We review our operational policies and procedures with third-party experts as part of our annual audit process. We also maintain cyber insurance coverage.</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to assessing our own cybersecurity preparedness, we also consider and evaluate cybersecurity risks associated with use of third-party service providers. We conduct an annual review of third-party hosted applications with a specific focus on any sensitive data. We perform user access reviews on all third-party applications. We obtain compliance reports, such as SOC 1 and SOC 2, from all critical third-party vendors annually. If a third-party vendor is not able to provide compliance reports, we take additional steps to assess their cybersecurity preparedness and assess our relationship on that basis. Our assessment of risks associated with use of third-party providers is part of our overall cybersecurity risk management framework.</w:t>
      </w:r>
    </w:p>
    <w:p>
      <w:pPr>
        <w:spacing w:after="0" w:line="170"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 will report any cybersecurity incidents determined to be material. Material aspects of the nature, scope and timing of the incident, and the impact or reasonably likely impact of the incident on the Company, including on SoundHound’s financial condition and results of operations will be disclosed.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Audit Committee oversees risks from cybersecurity threats as part of its broader risk oversight responsibilities.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recognizes the importance of cybersecurity in safeguarding the company’s assets and operations.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SoundHound has a dedicated Information Security Management Committee responsible for overseeing risks from cybersecurity threats. The Committee’s charter outlines its specific responsibilities related to cybersecurity risk oversight, and assists senior management in fulfilling its oversight responsibilities by creating, implementing,</w:t>
      </w:r>
    </w:p>
    <w:p>
      <w:pPr>
        <w:sectPr>
          <w:pgSz w:w="12240" w:h="15840" w:orient="portrait"/>
          <w:cols w:equalWidth="0" w:num="1">
            <w:col w:w="9360"/>
          </w:cols>
          <w:pgMar w:left="1440" w:top="941" w:right="1440" w:bottom="348"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941" w:right="1440" w:bottom="348" w:gutter="0" w:footer="0" w:header="0"/>
          <w:type w:val="continuous"/>
        </w:sectPr>
      </w:pPr>
    </w:p>
    <w:bookmarkStart w:id="43" w:name="page44"/>
    <w:bookmarkEnd w:id="43"/>
    <w:p>
      <w:pPr>
        <w:jc w:val="both"/>
        <w:spacing w:after="0" w:line="248" w:lineRule="auto"/>
        <w:rPr>
          <w:sz w:val="20"/>
          <w:szCs w:val="20"/>
          <w:color w:val="auto"/>
        </w:rPr>
      </w:pPr>
      <w:r>
        <w:rPr>
          <w:rFonts w:ascii="Times New Roman" w:cs="Times New Roman" w:eastAsia="Times New Roman" w:hAnsi="Times New Roman"/>
          <w:sz w:val="20"/>
          <w:szCs w:val="20"/>
          <w:color w:val="auto"/>
        </w:rPr>
        <w:t>overseeing and maintaining SoundHound’s Information Security Management System. The purpose of the ISMS is to protect the Company’s information systems and assets, taking into account the potential for external threats, internal threats, and threats arising from transactions with trusted third parties and vendors. The board of directors is informed of cybersecurity risks, at least annually, through established processes, including periodic briefings, reports, and updates on the evolving landscape of cybersecurity threats.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 designates the Information Security Management Committee as responsible for assessing and managing cybersecurity risks. Committee members possess professional experience or backgrounds presenting relevant experience or capacity to address those matters within the scope of the Committee’s responsibility, including senior executives, department leaders, and subject matter experts. Committee members are familiar, or have the ability to quickly gain familiarity, with major technology platforms employed by the Company; have knowledge of technological ecosystems and challenges confronted in current or emerging business environments; have the capacity to understand new or emerging technologies and cyber security threats; are familiar, or have the ability to quickly gain familiarity, with information security principles, privacy regulations, standards, and guidelines; and possess experience relating to enterprise risk management and process.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view cybersecurity as a shared responsibility. All employees are required to complete cybersecurity training as part of onboarding, on an annual basis and have access to more frequent cybersecurity training online. We also require employees in certain roles to complete additional role-based, specialized cybersecurity training. The designated persons or committees actively monitor cybersecurity incidents through processes that monitor the prevention, detection, mitigation and remediation of cybersecurity incidents, including continuous assessment and adaptation to emerging threats.</w:t>
      </w: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corporate headquarters is located in Santa Clara, California, within a consolidated building covering 61,360 square feet. Our lease began in 2017 and is set to expire in 2026. In addition to our headquarters, we lease offices in Toronto, Paris and various other locations in the U.S. and internationally.</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75" w:lineRule="exact"/>
        <w:rPr>
          <w:sz w:val="20"/>
          <w:szCs w:val="20"/>
          <w:color w:val="auto"/>
        </w:rPr>
      </w:pPr>
    </w:p>
    <w:p>
      <w:pPr>
        <w:jc w:val="both"/>
        <w:ind w:firstLine="480"/>
        <w:spacing w:after="0" w:line="244" w:lineRule="auto"/>
        <w:rPr>
          <w:sz w:val="20"/>
          <w:szCs w:val="20"/>
          <w:color w:val="auto"/>
        </w:rPr>
      </w:pPr>
      <w:r>
        <w:rPr>
          <w:rFonts w:ascii="Times New Roman" w:cs="Times New Roman" w:eastAsia="Times New Roman" w:hAnsi="Times New Roman"/>
          <w:sz w:val="20"/>
          <w:szCs w:val="20"/>
          <w:color w:val="auto"/>
        </w:rPr>
        <w:t xml:space="preserve">The material set forth in the section titled “Legal Proceedings” in Note </w:t>
      </w:r>
      <w:r>
        <w:rPr>
          <w:rFonts w:ascii="Times New Roman" w:cs="Times New Roman" w:eastAsia="Times New Roman" w:hAnsi="Times New Roman"/>
          <w:sz w:val="20"/>
          <w:szCs w:val="20"/>
          <w:b w:val="1"/>
          <w:bCs w:val="1"/>
          <w:color w:val="auto"/>
        </w:rPr>
        <w:t>8</w:t>
      </w:r>
      <w:r>
        <w:rPr>
          <w:rFonts w:ascii="Times New Roman" w:cs="Times New Roman" w:eastAsia="Times New Roman" w:hAnsi="Times New Roman"/>
          <w:sz w:val="20"/>
          <w:szCs w:val="20"/>
          <w:color w:val="auto"/>
        </w:rPr>
        <w:t xml:space="preserve"> of our Notes to Consolidated Financial Statements is incorporated herein by reference.</w:t>
      </w:r>
    </w:p>
    <w:p>
      <w:pPr>
        <w:spacing w:after="0" w:line="2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948" w:right="1440" w:bottom="348"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5"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for Common Stock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Class A Common Stock is listed on the Nasdaq Global Market under the symbol “SOUN.” Our Class B Common Stock is neither listed nor traded. Our listed redeemable warrants are listed on the Nasdaq Global Market under the symbol “SOUNW.”</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According to the records of our transfer agent, there were 73 holders of record of our Class A Common Stock, 3 holders of record of our Class B Common Stock and 5 holders of record of our listed redeemable warrants on December 31, 2025.</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do not anticipate paying any cash dividends in the foreseeable future.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Plans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sets forth information as of December 31, 2025 relating to all our equity compensation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Securities to be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Issued Upon</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5"/>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Granted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Exercise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5"/>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Restricted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4"/>
              </w:rPr>
              <w:t>Stock Awards</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Future</w:t>
            </w: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of Outstanding</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0"/>
        </w:trPr>
        <w:tc>
          <w:tcPr>
            <w:tcW w:w="34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Plan Category</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5"/>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44"/>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 plans approved by</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3"/>
        </w:trPr>
        <w:tc>
          <w:tcPr>
            <w:tcW w:w="34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w w:val="99"/>
              </w:rPr>
              <w:t>security holders . . . . . . . . . . . . . . . . . . . .</w:t>
            </w:r>
          </w:p>
        </w:tc>
        <w:tc>
          <w:tcPr>
            <w:tcW w:w="14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3,883</w:t>
            </w:r>
          </w:p>
        </w:tc>
        <w:tc>
          <w:tcPr>
            <w:tcW w:w="3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4.55</w:t>
            </w:r>
          </w:p>
        </w:tc>
        <w:tc>
          <w:tcPr>
            <w:tcW w:w="14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22,663</w:t>
            </w:r>
          </w:p>
        </w:tc>
        <w:tc>
          <w:tcPr>
            <w:tcW w:w="14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7,559</w:t>
            </w:r>
          </w:p>
        </w:tc>
      </w:tr>
      <w:tr>
        <w:trPr>
          <w:trHeight w:val="257"/>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w w:val="98"/>
              </w:rPr>
              <w:t>Equity compensation plans not approved by</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3"/>
        </w:trPr>
        <w:tc>
          <w:tcPr>
            <w:tcW w:w="34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w w:val="99"/>
              </w:rPr>
              <w:t>security holders . . . . . . . . . . . . . . . . . . . .</w:t>
            </w: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6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3,883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22,663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7,559</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graph below compares the cumulative total return to our stockholders between April 28, 2022 (the date our Class A common stock commenced trading on the Nasdaq Global Select Market) through December 31, 2025 in comparison to the Nasdaq Composite Index and the Company’s self-determined peer group (the “Peer Group”). The graph assumes $100 was invested in the Company’s Class A common stock, the Peer Group, the Nasdaq Composite Index (COMP-USA) and the NASD Nasdaq AQ US Small Cap Software Index (NQUSS10101015-USA), and assumes reinvestment of any dividends.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941" w:right="1440" w:bottom="348" w:gutter="0" w:footer="0" w:header="0"/>
          <w:type w:val="continuous"/>
        </w:sectPr>
      </w:pPr>
    </w:p>
    <w:bookmarkStart w:id="45" w:name="page46"/>
    <w:bookmarkEnd w:id="45"/>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Peer Group consists of BigBear.ai Holdings (BBAI), Cerence (CRNC), Five9 (FIVN), KORE Group Holdings (KORE), LivePerson (LPSN), Movella Holdings (MVLA), Fiscalnote Holdings (NOTE), Planet Labs (PL), Presto Automation (PRST), RingCentral (RNG), and Veritone (VERI). The Company believes that the Peer Group reflects a broader group of peers within the software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79375</wp:posOffset>
            </wp:positionV>
            <wp:extent cx="4995545" cy="3148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extLst>
                    </a:blip>
                    <a:srcRect/>
                    <a:stretch>
                      <a:fillRect/>
                    </a:stretch>
                  </pic:blipFill>
                  <pic:spPr bwMode="auto">
                    <a:xfrm>
                      <a:off x="0" y="0"/>
                      <a:ext cx="4995545" cy="3148965"/>
                    </a:xfrm>
                    <a:prstGeom prst="rect">
                      <a:avLst/>
                    </a:prstGeom>
                    <a:noFill/>
                  </pic:spPr>
                </pic:pic>
              </a:graphicData>
            </a:graphic>
          </wp:anchor>
        </w:drawing>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102" w:type="dxa"/>
        <w:tblCellMar>
          <w:top w:w="0" w:type="dxa"/>
          <w:left w:w="0" w:type="dxa"/>
          <w:bottom w:w="0" w:type="dxa"/>
          <w:right w:w="0" w:type="dxa"/>
        </w:tblCellMar>
      </w:tblPr>
      <w:tr>
        <w:trPr>
          <w:trHeight w:val="860"/>
        </w:trPr>
        <w:tc>
          <w:tcPr>
            <w:tcW w:w="220" w:type="dxa"/>
            <w:vAlign w:val="bottom"/>
            <w:textDirection w:val="btLr"/>
          </w:tcPr>
          <w:p>
            <w:pPr>
              <w:spacing w:after="0"/>
              <w:rPr>
                <w:sz w:val="20"/>
                <w:szCs w:val="20"/>
                <w:color w:val="auto"/>
              </w:rPr>
            </w:pPr>
            <w:r>
              <w:rPr>
                <w:rFonts w:ascii="Calibri" w:cs="Calibri" w:eastAsia="Calibri" w:hAnsi="Calibri"/>
                <w:sz w:val="18"/>
                <w:szCs w:val="18"/>
                <w:color w:val="161920"/>
              </w:rPr>
              <w:t>Index Value</w:t>
            </w:r>
          </w:p>
        </w:tc>
      </w:tr>
    </w:tbl>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Calibri" w:cs="Calibri" w:eastAsia="Calibri" w:hAnsi="Calibri"/>
          <w:sz w:val="18"/>
          <w:szCs w:val="18"/>
          <w:color w:val="161920"/>
        </w:rPr>
        <w:t>300</w:t>
      </w:r>
    </w:p>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color w:val="161920"/>
        </w:rPr>
        <w:t>250</w:t>
      </w:r>
    </w:p>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color w:val="161920"/>
        </w:rPr>
        <w:t>200</w:t>
      </w:r>
    </w:p>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color w:val="161920"/>
        </w:rPr>
        <w:t>150</w:t>
      </w:r>
    </w:p>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color w:val="161920"/>
        </w:rPr>
        <w:t>100</w:t>
      </w:r>
    </w:p>
    <w:p>
      <w:pPr>
        <w:spacing w:after="0" w:line="200" w:lineRule="exact"/>
        <w:rPr>
          <w:sz w:val="20"/>
          <w:szCs w:val="20"/>
          <w:color w:val="auto"/>
        </w:rPr>
      </w:pPr>
    </w:p>
    <w:p>
      <w:pPr>
        <w:sectPr>
          <w:pgSz w:w="12240" w:h="15840" w:orient="portrait"/>
          <w:cols w:equalWidth="0" w:num="2">
            <w:col w:w="1321" w:space="79"/>
            <w:col w:w="7960"/>
          </w:cols>
          <w:pgMar w:left="1440" w:top="948" w:right="1440" w:bottom="348" w:gutter="0" w:footer="0" w:header="0"/>
          <w:type w:val="continuous"/>
        </w:sectPr>
      </w:pPr>
    </w:p>
    <w:p>
      <w:pPr>
        <w:spacing w:after="0" w:line="110" w:lineRule="exact"/>
        <w:rPr>
          <w:sz w:val="20"/>
          <w:szCs w:val="20"/>
          <w:color w:val="auto"/>
        </w:rPr>
      </w:pPr>
    </w:p>
    <w:p>
      <w:pPr>
        <w:ind w:left="1500"/>
        <w:spacing w:after="0"/>
        <w:rPr>
          <w:sz w:val="20"/>
          <w:szCs w:val="20"/>
          <w:color w:val="auto"/>
        </w:rPr>
      </w:pPr>
      <w:r>
        <w:rPr>
          <w:rFonts w:ascii="Calibri" w:cs="Calibri" w:eastAsia="Calibri" w:hAnsi="Calibri"/>
          <w:sz w:val="18"/>
          <w:szCs w:val="18"/>
          <w:color w:val="161920"/>
        </w:rPr>
        <w:t>50</w:t>
      </w:r>
    </w:p>
    <w:p>
      <w:pPr>
        <w:spacing w:after="0" w:line="310" w:lineRule="exact"/>
        <w:rPr>
          <w:sz w:val="20"/>
          <w:szCs w:val="20"/>
          <w:color w:val="auto"/>
        </w:rPr>
      </w:pPr>
    </w:p>
    <w:p>
      <w:pPr>
        <w:ind w:left="1540"/>
        <w:spacing w:after="0"/>
        <w:rPr>
          <w:sz w:val="20"/>
          <w:szCs w:val="20"/>
          <w:color w:val="auto"/>
        </w:rPr>
      </w:pPr>
      <w:r>
        <w:rPr>
          <w:rFonts w:ascii="Calibri" w:cs="Calibri" w:eastAsia="Calibri" w:hAnsi="Calibri"/>
          <w:sz w:val="18"/>
          <w:szCs w:val="18"/>
          <w:color w:val="1619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80"/>
        <w:spacing w:after="0"/>
        <w:rPr>
          <w:sz w:val="20"/>
          <w:szCs w:val="20"/>
          <w:color w:val="auto"/>
        </w:rPr>
      </w:pPr>
      <w:r>
        <w:rPr>
          <w:sz w:val="1"/>
          <w:szCs w:val="1"/>
          <w:color w:val="auto"/>
        </w:rPr>
        <w:drawing>
          <wp:inline distT="0" distB="0" distL="0" distR="0">
            <wp:extent cx="302895" cy="57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extLst>
                    </a:blip>
                    <a:srcRect/>
                    <a:stretch>
                      <a:fillRect/>
                    </a:stretch>
                  </pic:blipFill>
                  <pic:spPr bwMode="auto">
                    <a:xfrm>
                      <a:off x="0" y="0"/>
                      <a:ext cx="302895" cy="57150"/>
                    </a:xfrm>
                    <a:prstGeom prst="rect">
                      <a:avLst/>
                    </a:prstGeom>
                    <a:noFill/>
                    <a:ln>
                      <a:noFill/>
                    </a:ln>
                  </pic:spPr>
                </pic:pic>
              </a:graphicData>
            </a:graphic>
          </wp:inline>
        </w:drawing>
      </w:r>
      <w:r>
        <w:rPr>
          <w:rFonts w:ascii="Calibri" w:cs="Calibri" w:eastAsia="Calibri" w:hAnsi="Calibri"/>
          <w:sz w:val="14"/>
          <w:szCs w:val="14"/>
          <w:color w:val="161920"/>
        </w:rPr>
        <w:t xml:space="preserve">SoundHound AI Inc.,                   </w:t>
      </w:r>
      <w:r>
        <w:rPr>
          <w:sz w:val="1"/>
          <w:szCs w:val="1"/>
          <w:color w:val="auto"/>
        </w:rPr>
        <w:drawing>
          <wp:inline distT="0" distB="0" distL="0" distR="0">
            <wp:extent cx="302895" cy="571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extLst>
                    </a:blip>
                    <a:srcRect/>
                    <a:stretch>
                      <a:fillRect/>
                    </a:stretch>
                  </pic:blipFill>
                  <pic:spPr bwMode="auto">
                    <a:xfrm>
                      <a:off x="0" y="0"/>
                      <a:ext cx="302895" cy="57150"/>
                    </a:xfrm>
                    <a:prstGeom prst="rect">
                      <a:avLst/>
                    </a:prstGeom>
                    <a:noFill/>
                    <a:ln>
                      <a:noFill/>
                    </a:ln>
                  </pic:spPr>
                </pic:pic>
              </a:graphicData>
            </a:graphic>
          </wp:inline>
        </w:drawing>
      </w:r>
      <w:r>
        <w:rPr>
          <w:rFonts w:ascii="Calibri" w:cs="Calibri" w:eastAsia="Calibri" w:hAnsi="Calibri"/>
          <w:sz w:val="14"/>
          <w:szCs w:val="14"/>
          <w:color w:val="161920"/>
        </w:rPr>
        <w:t>NASDAQ Composite Index</w:t>
      </w:r>
    </w:p>
    <w:p>
      <w:pPr>
        <w:spacing w:after="0" w:line="135" w:lineRule="exact"/>
        <w:rPr>
          <w:sz w:val="20"/>
          <w:szCs w:val="20"/>
          <w:color w:val="auto"/>
        </w:rPr>
      </w:pPr>
    </w:p>
    <w:p>
      <w:pPr>
        <w:ind w:left="1480"/>
        <w:spacing w:after="0"/>
        <w:rPr>
          <w:sz w:val="20"/>
          <w:szCs w:val="20"/>
          <w:color w:val="auto"/>
        </w:rPr>
      </w:pPr>
      <w:r>
        <w:rPr>
          <w:sz w:val="1"/>
          <w:szCs w:val="1"/>
          <w:color w:val="auto"/>
        </w:rPr>
        <w:drawing>
          <wp:inline distT="0" distB="0" distL="0" distR="0">
            <wp:extent cx="302895" cy="57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extLst>
                    </a:blip>
                    <a:srcRect/>
                    <a:stretch>
                      <a:fillRect/>
                    </a:stretch>
                  </pic:blipFill>
                  <pic:spPr bwMode="auto">
                    <a:xfrm>
                      <a:off x="0" y="0"/>
                      <a:ext cx="302895" cy="57150"/>
                    </a:xfrm>
                    <a:prstGeom prst="rect">
                      <a:avLst/>
                    </a:prstGeom>
                    <a:noFill/>
                    <a:ln>
                      <a:noFill/>
                    </a:ln>
                  </pic:spPr>
                </pic:pic>
              </a:graphicData>
            </a:graphic>
          </wp:inline>
        </w:drawing>
      </w:r>
      <w:r>
        <w:rPr>
          <w:rFonts w:ascii="Calibri" w:cs="Calibri" w:eastAsia="Calibri" w:hAnsi="Calibri"/>
          <w:sz w:val="14"/>
          <w:szCs w:val="14"/>
          <w:color w:val="161920"/>
        </w:rPr>
        <w:t xml:space="preserve">NASDAQ US Small Cap So ware Index     </w:t>
      </w:r>
      <w:r>
        <w:rPr>
          <w:sz w:val="1"/>
          <w:szCs w:val="1"/>
          <w:color w:val="auto"/>
        </w:rPr>
        <w:drawing>
          <wp:inline distT="0" distB="0" distL="0" distR="0">
            <wp:extent cx="302895" cy="57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302895" cy="57150"/>
                    </a:xfrm>
                    <a:prstGeom prst="rect">
                      <a:avLst/>
                    </a:prstGeom>
                    <a:noFill/>
                    <a:ln>
                      <a:noFill/>
                    </a:ln>
                  </pic:spPr>
                </pic:pic>
              </a:graphicData>
            </a:graphic>
          </wp:inline>
        </w:drawing>
      </w:r>
      <w:r>
        <w:rPr>
          <w:rFonts w:ascii="Calibri" w:cs="Calibri" w:eastAsia="Calibri" w:hAnsi="Calibri"/>
          <w:sz w:val="14"/>
          <w:szCs w:val="14"/>
          <w:color w:val="161920"/>
        </w:rPr>
        <w:t>Peer Index</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None that have not already been disclosed in a prior Quarterly Report on Form 10-Q or Current Report on Form 8-K.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17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i w:val="1"/>
          <w:iCs w:val="1"/>
          <w:color w:val="auto"/>
        </w:rPr>
        <w:t>The following discussion and analysis of the financial condition and results of operations of SoundHound should be read together with our consolidated financial statements and the related notes thereto. The fiscal years presented are the periods ended December 31, 2025 (“2025”) and December 31, 2024 (“2024”). Information concerning the fiscal year ended December 31, 2023 (“2023”) and a comparison of 2024 and 2023 may be found under “Item 7. Management’s Discussion and Analysis of Financial Condition and Results of Operations” in the Company’s Annual Report on Form 10-K for the fiscal year ended December 31, 2024, filed with the SEC on March 11, 2025.</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Some of the information contained in this discussion and analysis or set forth elsewhere in this report,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 and our subsidiaries.</w:t>
      </w:r>
    </w:p>
    <w:p>
      <w:pPr>
        <w:sectPr>
          <w:pgSz w:w="12240" w:h="15840" w:orient="portrait"/>
          <w:cols w:equalWidth="0" w:num="1">
            <w:col w:w="9360"/>
          </w:cols>
          <w:pgMar w:left="1440" w:top="948" w:right="1440" w:bottom="34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948" w:right="1440" w:bottom="348"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73"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68"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Our market position is strengthened by the technical barriers to entry in the Voice AI space, which tend to discourage new market participants. Furthermore, our technology is backed by significant investments in intellectual property, with over 359 patents granted and over 102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w:t>
      </w:r>
    </w:p>
    <w:p>
      <w:pPr>
        <w:spacing w:after="0" w:line="158"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spacing w:after="0" w:line="168"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69"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69"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When it comes to criteria for adoption, our goal is to win on every dimension. We believe to be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80"/>
          </w:cols>
          <w:pgMar w:left="1440" w:top="941" w:right="1420" w:bottom="348" w:gutter="0" w:footer="0" w:header="0"/>
          <w:type w:val="continuous"/>
        </w:sectPr>
      </w:pPr>
    </w:p>
    <w:bookmarkStart w:id="47" w:name="page48"/>
    <w:bookmarkEnd w:id="47"/>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spacing w:after="0" w:line="170"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When a product is voice enabled, we see three stages of integration and value propositions. The first stage is to enable the core use case of the product. For example, the product could be a TV, a coffee machine, a car, a wearable device, a robot, a smart speaker or an appliance,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a few seconds, but it can take many steps to use alternative interfaces such as a remote control or a companion app.</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7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There are three pillars to our revenue model. The first pillar is Product Royalties, where we voice enable a product and the product creator pays us a royalty based on volume, usage or duration. SoundHound collects royalty revenue when our technology is placed in a car, smart speaker or an appliance, for example.</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third pillar seeks to create a monetization ecosystem that brings the services from pillar two to the products in pillar one. When the users of a voice-enabled product in pillar one access the voice-enabled services of pillar two, these services generate new leads and transactions. SoundHound will generate monetization revenue from the services for generating these leads and transactions, and we will share the revenue with the product creators of pillar one.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948" w:right="1440" w:bottom="348" w:gutter="0" w:footer="0" w:header="0"/>
          <w:type w:val="continuous"/>
        </w:sectPr>
      </w:pPr>
    </w:p>
    <w:bookmarkStart w:id="48" w:name="page49"/>
    <w:bookmarkEnd w:id="48"/>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During the periods presented in the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the majority of the contribution is currently from our first and second pillar with only a small contribution from pillar three from our music identification app. Over time, we expect our revenues from the monetization pillar to increase meaningfully in the future.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Interactions Acquisition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September 3, 2025 (the “Interactions Acquisition Date”), we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combination also introduces certain new major powerhouse brands to the SoundHound customer portfolio, including global consumer icons, large technology device brands, insurers, automakers, and other preeminent Fortune 100 companies across industries.</w:t>
      </w:r>
    </w:p>
    <w:p>
      <w:pPr>
        <w:spacing w:after="0" w:line="170"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We have incurred certain significant costs relating to the SYNQ3, Amelia and Interactions acquisitions, such as legal, accounting, financial advisory and other professional services fees, as well as other customary payments. Refer to “Item 1A. Risk Factors” in our Form 10-K for a discussion regarding the risks associated with the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Known Trends, Demands, Commitments, Events or Uncertainties Impacting Our Business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believe that our performance and future success depend on many factors that present significant opportunities for us but also pose risks and challenges, including the following:</w:t>
      </w:r>
    </w:p>
    <w:p>
      <w:pPr>
        <w:spacing w:after="0" w:line="174" w:lineRule="exact"/>
        <w:rPr>
          <w:sz w:val="20"/>
          <w:szCs w:val="20"/>
          <w:color w:val="auto"/>
        </w:rPr>
      </w:pPr>
    </w:p>
    <w:p>
      <w:pPr>
        <w:jc w:val="both"/>
        <w:ind w:left="960" w:hanging="480"/>
        <w:spacing w:after="0" w:line="249" w:lineRule="auto"/>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Investments in Technology. </w:t>
      </w:r>
      <w:r>
        <w:rPr>
          <w:rFonts w:ascii="Times New Roman" w:cs="Times New Roman" w:eastAsia="Times New Roman" w:hAnsi="Times New Roman"/>
          <w:sz w:val="20"/>
          <w:szCs w:val="20"/>
          <w:color w:val="auto"/>
        </w:rPr>
        <w:t>Our business model since inception has been to invest in our technology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the form of dedicated research and development. We will continue to invest in the development of our software platform to deliver consumers with continually improving value and delight. Our investments include continuous enhancements to our technology we’ve developed over the last two decades or acquired from acquisitions, investments in data to help refine and improve our underlying algorithms and other costs to attract and retain a world-class technical workforce.</w:t>
      </w:r>
    </w:p>
    <w:p>
      <w:pPr>
        <w:spacing w:after="0" w:line="168"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Revenue Growth. </w:t>
      </w:r>
      <w:r>
        <w:rPr>
          <w:rFonts w:ascii="Times New Roman" w:cs="Times New Roman" w:eastAsia="Times New Roman" w:hAnsi="Times New Roman"/>
          <w:sz w:val="20"/>
          <w:szCs w:val="20"/>
          <w:color w:val="auto"/>
        </w:rPr>
        <w:t>Our commercial success, including acceptance and use of our applications, will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depend on a number of factors, some of which are beyond our control, such as size of the market opportunity, successful integration with OEM, competition and demand from the public and members of the conversational AI community. Our product offerings, including those offerings that we have acquired, have disruptive effects in the ways human interact with computers and we are developing</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948" w:right="1440" w:bottom="348" w:gutter="0" w:footer="0" w:header="0"/>
          <w:type w:val="continuous"/>
        </w:sectPr>
      </w:pPr>
    </w:p>
    <w:bookmarkStart w:id="49" w:name="page50"/>
    <w:bookmarkEnd w:id="49"/>
    <w:p>
      <w:pPr>
        <w:jc w:val="both"/>
        <w:ind w:left="960"/>
        <w:spacing w:after="0" w:line="249" w:lineRule="auto"/>
        <w:rPr>
          <w:sz w:val="20"/>
          <w:szCs w:val="20"/>
          <w:color w:val="auto"/>
        </w:rPr>
      </w:pPr>
      <w:r>
        <w:rPr>
          <w:rFonts w:ascii="Times New Roman" w:cs="Times New Roman" w:eastAsia="Times New Roman" w:hAnsi="Times New Roman"/>
          <w:sz w:val="20"/>
          <w:szCs w:val="20"/>
          <w:color w:val="auto"/>
        </w:rPr>
        <w:t>new, innovative economic models and acquiring companies such as SYNQ3, Amelia, and Interactions which have synergistic businesses to ours that we believe will enhance value to customers, partners and stockholders.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As we build new customer relationships, we continually focus on maintaining and growing our existing relationships through long-term partnerships through significant upfront investment in customer specific engineering projects. Additionally, in addition to our acquisitions of SYNQ3, Amelia, and Interactions, we may look to acquire other companies in the industry to develop synergies with our existing business.</w:t>
      </w:r>
    </w:p>
    <w:p>
      <w:pPr>
        <w:spacing w:after="0" w:line="174" w:lineRule="exact"/>
        <w:rPr>
          <w:sz w:val="20"/>
          <w:szCs w:val="20"/>
          <w:color w:val="auto"/>
        </w:rPr>
      </w:pPr>
    </w:p>
    <w:p>
      <w:pPr>
        <w:jc w:val="both"/>
        <w:ind w:left="960" w:hanging="480"/>
        <w:spacing w:after="0" w:line="249" w:lineRule="auto"/>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Cost of Revenues. </w:t>
      </w:r>
      <w:r>
        <w:rPr>
          <w:rFonts w:ascii="Times New Roman" w:cs="Times New Roman" w:eastAsia="Times New Roman" w:hAnsi="Times New Roman"/>
          <w:sz w:val="20"/>
          <w:szCs w:val="20"/>
          <w:color w:val="auto"/>
        </w:rPr>
        <w:t>The results of our business will depend in part on our ability to establish and increase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9" w:lineRule="auto"/>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Seasonality. </w:t>
      </w:r>
      <w:r>
        <w:rPr>
          <w:rFonts w:ascii="Times New Roman" w:cs="Times New Roman" w:eastAsia="Times New Roman" w:hAnsi="Times New Roman"/>
          <w:sz w:val="20"/>
          <w:szCs w:val="20"/>
          <w:color w:val="auto"/>
        </w:rPr>
        <w:t>Our ability to accurately forecast demand for our technology could be negatively affected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many factors, including seasonal demand. We anticipate that we will experience fluctuations in customer and user demand based on seasonality. For example, in the past, we have seen approximately 40% of our revenue in the first half of the year with the remaining 60% in the second half. Additionally, given that we address markets across several different industry verticals, the associated overall seasonality impact to us may not be consistent year-to-year.</w:t>
      </w:r>
    </w:p>
    <w:p>
      <w:pPr>
        <w:spacing w:after="0" w:line="168" w:lineRule="exact"/>
        <w:rPr>
          <w:rFonts w:ascii="Times New Roman" w:cs="Times New Roman" w:eastAsia="Times New Roman" w:hAnsi="Times New Roman"/>
          <w:sz w:val="20"/>
          <w:szCs w:val="20"/>
          <w:color w:val="auto"/>
        </w:rPr>
      </w:pPr>
    </w:p>
    <w:p>
      <w:pPr>
        <w:jc w:val="both"/>
        <w:ind w:left="960" w:hanging="480"/>
        <w:spacing w:after="0" w:line="266" w:lineRule="auto"/>
        <w:tabs>
          <w:tab w:leader="none" w:pos="96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Development of International Markets. </w:t>
      </w:r>
      <w:r>
        <w:rPr>
          <w:rFonts w:ascii="Times New Roman" w:cs="Times New Roman" w:eastAsia="Times New Roman" w:hAnsi="Times New Roman"/>
          <w:sz w:val="19"/>
          <w:szCs w:val="19"/>
          <w:color w:val="auto"/>
        </w:rPr>
        <w:t>We have rapidly expanded our capabilities and global reach.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example, we have globalized our solution to include 25 languages. We view opportunities for conversational Voice AI to be global in reach, and we expect our growth to be fueled across multiple geographies.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fixed monthly fees or fees based on usage-based 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implementation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“Amelia Software Platform” and “Virtual Assistance” meaning our AI-based digital resource solution that enables AI in our customers’ services, ranging across multiple industries. This generally includes revenue from hosted services if the customer elects our SaaS offering, or from licensing revenue if the customer requires an on-premise solution. Professional services are also offered and included within professional services revenue. The revenues from Amelia Software Platform and Virtual Assistance are included within Service Subscriptions, and are recognized point in time or over time depending on the arrangement.</w:t>
      </w:r>
    </w:p>
    <w:p>
      <w:pPr>
        <w:sectPr>
          <w:pgSz w:w="12240" w:h="15840" w:orient="portrait"/>
          <w:cols w:equalWidth="0" w:num="1">
            <w:col w:w="9360"/>
          </w:cols>
          <w:pgMar w:left="1440" w:top="948" w:right="1440" w:bottom="348"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948" w:right="1440" w:bottom="348" w:gutter="0" w:footer="0" w:header="0"/>
          <w:type w:val="continuous"/>
        </w:sectPr>
      </w:pPr>
    </w:p>
    <w:bookmarkStart w:id="50" w:name="page51"/>
    <w:bookmarkEnd w:id="50"/>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and may continue to experience volatility for our remaining performance obligations and deferred revenue as a result of the timing for completing our performance obligations. We had remaining performance obligations in the amount of $79.5 million as of December 31, 2025. Given the applicable contract terms, $47.8 million is expected to be recognized as revenue within one year, $30.1 million is expected to be recognized between 2 to 5 years and the remainder of $1.6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consolidated financial statements included within this Annual Report on Form 10-K for more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classify our operating expenses into the following seven categories, which are cost of revenues, sales and marketing, research and development, general and administrative, change in fair value of contingent acquisition liabilities, amortization of intangible assets and restructuring. With respect to sales and marketing, research and development, and general and administrative,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as well as acquisitions, we expect it will stabilize as we continue to scale our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including personnel costs under call centers that are directly related to these revenue streams. Additionally, our cost of revenues also includes the amortization of developed technology acquired from SYNQ3, Amelia, Interactions and other acquisition as intangible assets.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Sales and marketing expenses consist of personnel-related costs of the sales and marketing team, promotional campaigns, advertising fees and other marketing related costs. Advertising costs are expensed to sales and marketing when incurred.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Our research and development expenses are our largest operating expense as we continue to develop our software platforms and produce new technological capabilities.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in the periods in which they are incurred.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General and administrative expenses consist of personnel-related costs, accounting and legal expenses, third-party consulting costs, insurance and allocated overhead including rent, depreciation and utilities.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948" w:right="1440" w:bottom="348"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Contingent Acquisition Liabilities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change in fair value of contingent acquisition liabilities is related to contingent consideration from the SYNQ3, Amelia, and Interactions acquisitions. The contingent consideration was determined to be liability classified and is remeasured as of each reporting period with a corresponding change in fair value recorded.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Amortization of Intangible Assets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Amortization of acquired customer relationships, tradename and conversation data is included within operating expenses and arises from the amortization of assets acquired through the acquisitions. We review intangible assets for impairment at least annually, or whenever events or changes in circumstances indicate that the carrying amount may not be recoverable. If an evaluation of recoverability is required, the estimated undiscounted future cash flows directly associated with the asset are compared with the asset’s carrying amount. If the estimated future cash flows from the use of the asset are less than the carrying value, an impairment charge would be recorded to write down the asset to its estimated fair value.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Interest expense consists of stated interest incurred on our formerly outstanding convertible notes and term debt during the relevant periods, as well as the amortization of debt discounts and issuance costs over the life of the instruments or a shorter period if a lender can demand payment in the event certain events occur that are outside of our control.</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No interest expense was incurred during the year ended December 31, 2025 due to the repayment of Amelia Debt in December 2024 and the repayment of Term Loan in June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Other income, net consists of the change in fair value related to our derivative liability, interest income and other income (expense).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(benefit) for Income Taxes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Income tax expense includes federal, state and foreign taxes and is based on reported income before income taxes. We are in a cumulative loss position for tax purposes based on historical earnings. As of December 31, 2025, we had $892.9 million of U.S. federal and $379.7 million of state net operating loss carryforwards available to reduce future taxable income. The federal and state net operating loss carryforwards will start to expire in 2026 with the exception of $691.0 million federal net operating loss carryforwards and $18.5 million state net operating loss carryforwards, which can be carried forward indefinitely.</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had federal and state research and development credit carryforwards of $27.2 million and $15.4 million, respectively, as of December 31, 2025. The federal credits will expire starting in 2029 if not utilized. The state credits can be carried forward indefinitely. We also had Canadian SR&amp;ED tax credits of $1.9 million, which expire starting in 2039 if not utilized.</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941" w:right="1440" w:bottom="348"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sets forth the significant components of our results of operations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740"/>
              <w:spacing w:after="0" w:line="201" w:lineRule="exact"/>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1"/>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1"/>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Revenues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168,920</w:t>
            </w:r>
          </w:p>
        </w:tc>
        <w:tc>
          <w:tcPr>
            <w:tcW w:w="120" w:type="dxa"/>
            <w:vAlign w:val="bottom"/>
          </w:tcPr>
          <w:p>
            <w:pPr>
              <w:spacing w:after="0"/>
              <w:rPr>
                <w:sz w:val="21"/>
                <w:szCs w:val="21"/>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84,693</w:t>
            </w:r>
          </w:p>
        </w:tc>
        <w:tc>
          <w:tcPr>
            <w:tcW w:w="12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84,227</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4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Cost of revenues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97,369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43,309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54,060</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Sales and marketing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61,640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29,126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32,514</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Research and development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98,250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70,555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27,695</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General and administrative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82,188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28,918</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57"/>
        </w:trPr>
        <w:tc>
          <w:tcPr>
            <w:tcW w:w="366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Change in fair value of contingent</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acquisition liabilities* . . . . . . . . . . . . .</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(163,127)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222,670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(385,797)</w:t>
            </w:r>
          </w:p>
        </w:tc>
        <w:tc>
          <w:tcPr>
            <w:tcW w:w="380" w:type="dxa"/>
            <w:vAlign w:val="bottom"/>
          </w:tcPr>
          <w:p>
            <w:pPr>
              <w:spacing w:after="0"/>
              <w:rPr>
                <w:sz w:val="19"/>
                <w:szCs w:val="19"/>
                <w:color w:val="auto"/>
              </w:rPr>
            </w:pPr>
          </w:p>
        </w:tc>
        <w:tc>
          <w:tcPr>
            <w:tcW w:w="10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(173)%</w:t>
            </w:r>
          </w:p>
        </w:tc>
        <w:tc>
          <w:tcPr>
            <w:tcW w:w="0" w:type="dxa"/>
            <w:vAlign w:val="bottom"/>
          </w:tcPr>
          <w:p>
            <w:pPr>
              <w:spacing w:after="0"/>
              <w:rPr>
                <w:sz w:val="1"/>
                <w:szCs w:val="1"/>
                <w:color w:val="auto"/>
              </w:rPr>
            </w:pPr>
          </w:p>
        </w:tc>
      </w:tr>
      <w:tr>
        <w:trPr>
          <w:trHeight w:val="261"/>
        </w:trPr>
        <w:tc>
          <w:tcPr>
            <w:tcW w:w="3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Amortization of intangible assets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8,756</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Total operating expenses . . . . . . . . . .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192,192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426,046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(233,854)</w:t>
            </w:r>
          </w:p>
        </w:tc>
        <w:tc>
          <w:tcPr>
            <w:tcW w:w="3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8"/>
              </w:rPr>
              <w:t>Loss from operations . . . . . . . . . . . . . . . . . .</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(23,272)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(341,353)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318,081</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4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Loss on early extinguishment of debt . . .</w:t>
            </w: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(15,629)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15,629</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Interest expense . . . . . . . .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(670)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(12,168)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11,498</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Other income, net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5,446</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20"/>
                <w:szCs w:val="20"/>
                <w:color w:val="auto"/>
              </w:rPr>
              <w:t>Total other income (expense), net</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660" w:type="dxa"/>
            <w:vAlign w:val="bottom"/>
            <w:gridSpan w:val="2"/>
            <w:vMerge w:val="continue"/>
          </w:tcPr>
          <w:p>
            <w:pPr>
              <w:jc w:val="right"/>
              <w:ind w:right="200"/>
              <w:spacing w:after="0" w:line="192" w:lineRule="exact"/>
              <w:rPr>
                <w:sz w:val="20"/>
                <w:szCs w:val="20"/>
                <w:color w:val="auto"/>
              </w:rPr>
            </w:pPr>
            <w:r>
              <w:rPr>
                <w:rFonts w:ascii="Times New Roman" w:cs="Times New Roman" w:eastAsia="Times New Roman" w:hAnsi="Times New Roman"/>
                <w:sz w:val="20"/>
                <w:szCs w:val="20"/>
                <w:color w:val="auto"/>
              </w:rPr>
              <w:t>. . .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(18,575)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32,573</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0" w:type="dxa"/>
            <w:vAlign w:val="bottom"/>
          </w:tcPr>
          <w:p>
            <w:pPr>
              <w:spacing w:after="0"/>
              <w:rPr>
                <w:sz w:val="1"/>
                <w:szCs w:val="1"/>
                <w:color w:val="auto"/>
              </w:rPr>
            </w:pPr>
          </w:p>
        </w:tc>
      </w:tr>
      <w:tr>
        <w:trPr>
          <w:trHeight w:val="237"/>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before provision (benefit) for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taxes . . . . . . . . . . . . . . . . . . . . . . . . . . . .</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(9,274)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(359,928)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350,654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8"/>
              </w:rPr>
              <w:t>Provision (benefit) for income taxes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(9,247)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13,979</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Net loss . .</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660" w:type="dxa"/>
            <w:vAlign w:val="bottom"/>
            <w:gridSpan w:val="2"/>
            <w:vMerge w:val="continue"/>
          </w:tcPr>
          <w:p>
            <w:pPr>
              <w:jc w:val="right"/>
              <w:ind w:right="200"/>
              <w:spacing w:after="0" w:line="192" w:lineRule="exact"/>
              <w:rPr>
                <w:sz w:val="20"/>
                <w:szCs w:val="20"/>
                <w:color w:val="auto"/>
              </w:rPr>
            </w:pPr>
            <w:r>
              <w:rPr>
                <w:rFonts w:ascii="Times New Roman" w:cs="Times New Roman" w:eastAsia="Times New Roman" w:hAnsi="Times New Roman"/>
                <w:sz w:val="20"/>
                <w:szCs w:val="20"/>
                <w:color w:val="auto"/>
              </w:rPr>
              <w:t>.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(14,006)</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(350,681)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336,675</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2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480" w:hanging="480"/>
        <w:spacing w:after="0" w:line="251" w:lineRule="auto"/>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fair value of acquisition related liabilities is mainly driven by the movements in our stock price during the reporting period and changes in the assessed probability of achieving certain future revenue targets defined as part of the acquisition agreements. See Note 12 to our consolidated financial statements included within this report for more information.</w:t>
      </w:r>
    </w:p>
    <w:p>
      <w:pPr>
        <w:spacing w:after="0" w:line="169"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table summarizes our gross profit and gross margin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5"/>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0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0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2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Revenues . . . . . . . . . . . . . . . . . . . . . . . . . . . . . . . . . . . . . . . . . .</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168,920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84,693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99%</w:t>
            </w:r>
          </w:p>
        </w:tc>
      </w:tr>
      <w:tr>
        <w:trPr>
          <w:trHeight w:val="26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Cost of revenues . . . . . . . . . . .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97,369</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43,309</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125%</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4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Gross profit . . . . . . . . . . . . . . . . . . . . . . . . . . . . . . . . . . . . . . . .</w:t>
            </w:r>
          </w:p>
        </w:tc>
        <w:tc>
          <w:tcPr>
            <w:tcW w:w="8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71,551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41,384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73%</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39"/>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Gross margin . . . . . . . . . . . . . . . . . . . . . . . .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tables summarize our revenues by type and geographic regions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3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2"/>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Service Subscriptions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133,547</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56,347</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77,200</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Product royalties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34,913</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27,964</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6,949</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61"/>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Monetization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0"/>
        </w:trPr>
        <w:tc>
          <w:tcPr>
            <w:tcW w:w="3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4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168,920</w:t>
            </w:r>
          </w:p>
        </w:tc>
        <w:tc>
          <w:tcPr>
            <w:tcW w:w="18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84,693</w:t>
            </w:r>
          </w:p>
        </w:tc>
        <w:tc>
          <w:tcPr>
            <w:tcW w:w="18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84,227</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0"/>
        </w:trPr>
        <w:tc>
          <w:tcPr>
            <w:tcW w:w="3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942" w:right="1440" w:bottom="348"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2"/>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Americas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116,333</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51,094</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65,239</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Asia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27,465</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17,678</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9,787</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EMEA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25,122</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15,921</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9,201</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0"/>
        </w:trPr>
        <w:tc>
          <w:tcPr>
            <w:tcW w:w="366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Total . . . . . . . . . . . . . . . . . . . . . . . . . . . .</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660" w:type="dxa"/>
            <w:vAlign w:val="bottom"/>
            <w:vMerge w:val="continue"/>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168,920</w:t>
            </w:r>
          </w:p>
        </w:tc>
        <w:tc>
          <w:tcPr>
            <w:tcW w:w="18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84,693</w:t>
            </w:r>
          </w:p>
        </w:tc>
        <w:tc>
          <w:tcPr>
            <w:tcW w:w="18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84,227</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Total revenues increased by 99% in 2025 compared to 2024. The increase of $77.2 million in service subscription revenue, primarily based in the Americas, was driven by the contribution of revenue from acquisitions. The increase of $6.9 million in product royalties revenue was due to the increase in license revenue in the Asia region.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Cost of revenues increased by $54.1 million, or 125%, in 2025 compared to 2024. Gross margin decreased to 42% in 2025 compared to 49% in 2024 primarily due to the acquisition of Amelia in 2024, which included a amortization of acquired intangible assets in the amount of $14.1 million for the year ended December 31, 2025, and the acquisition of Interactions in 2025, which included a amortization of acquired intangible assets in the amount of $0.8 million for the year ended December 31, 2025. In the past, our gross margin has fluctuated and may continue to fluctuate from quarter to quarter due to revenue contributions from varying product mixes. However, we expect to gradually improve gross margins in the mid-term, especially as it relates the integration of Amelia, Interactions and SYNQ3.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Sales and marketing expenses increased by $32.5 million, or 112%, from $61.6 million in 2025 compared to $29.1 million in 2024, primarily due to increases in 2025 of $27.6 million in personnel-related costs caused by Amelia and Interactions acquisitions, $3.3 million in office expense, $1.1 million in consulting fees, $0.8 million in advertising expenses, $0.8 million in travel expenses, $0.2 million in legal and professional fees, and $0.2 million in meal and entertainment, which were partially offset by a decrease of $1.5 million incurred for information technology and facility allocations.</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expect our sales and marketing expenses to remain stable in the short term. However, in the long term, we expect sales and marketing expenses to grow at a rate below that of our revenue, aligning with our strategic emphasis on cost effectiveness and sustainable financial performance.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Research and development expenses increased by $27.7 million, or 39%, in 2025 compared to 2024, primarily due to increases in 2025 of $25.6 million in personnel-related costs caused by Amelia and Interactions acquisitions, $2.7 million in legal and professional fees, $2.7 million in office expense, $1.8 million in consulting fees, $0.2 million in utilities, $0.2 million in travel expense, and $0.1 million in hardware cost, which were partially offset by a decrease of $4.5 million incurred for information technology and facility allocations, $0.6 million in rent expense and $0.5 million in cloud computing services.</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expect our research and development expenses to remain stable in the short term. However, in the long term, we expect research and development expenses to grow at a rate below that of our revenue, aligning with our strategic emphasis on cost effectiveness and sustainable financial performance.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General and administrative expenses increased by $28.9 million, or 54%, in 2025 compared to 2024, primarily due to increases in 2025 of $16.3 million in personnel-related costs caused by Amelia and Interactions acquisitions, $6.0 million in information technology and facility allocations, $2.5 million in legal and professional fees, $1.5 million in bad debt expense, $0.9 million in office expense, $0.5 million in insurance expense, $0.5 million in hardware and software cost, $0.4 million in taxes and licenses, $0.2 million in tax and payroll processing fees, $0.1 million in rent</w:t>
      </w:r>
    </w:p>
    <w:p>
      <w:pPr>
        <w:sectPr>
          <w:pgSz w:w="12240" w:h="15840" w:orient="portrait"/>
          <w:cols w:equalWidth="0" w:num="1">
            <w:col w:w="9360"/>
          </w:cols>
          <w:pgMar w:left="1440" w:top="973"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973" w:right="1440" w:bottom="348" w:gutter="0" w:footer="0" w:header="0"/>
          <w:type w:val="continuous"/>
        </w:sectPr>
      </w:pPr>
    </w:p>
    <w:bookmarkStart w:id="54" w:name="page55"/>
    <w:bookmarkEnd w:id="54"/>
    <w:p>
      <w:pPr>
        <w:jc w:val="both"/>
        <w:spacing w:after="0" w:line="246" w:lineRule="auto"/>
        <w:rPr>
          <w:sz w:val="20"/>
          <w:szCs w:val="20"/>
          <w:color w:val="auto"/>
        </w:rPr>
      </w:pPr>
      <w:r>
        <w:rPr>
          <w:rFonts w:ascii="Times New Roman" w:cs="Times New Roman" w:eastAsia="Times New Roman" w:hAnsi="Times New Roman"/>
          <w:sz w:val="20"/>
          <w:szCs w:val="20"/>
          <w:color w:val="auto"/>
        </w:rPr>
        <w:t>expense, $0.1 million in utilities, and other immaterial increase totaling $0.1 million including virtual services, meals and entertainment, and consulting fees, which were partially offset by a decrease of $0.2 million in cloud computing services.</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expect our general and administrative expenses to increase in the short term as we invest in our control environment. However, in the long term, we expect general and administrative expenses to grow at a rate below that of our revenue, aligning with our strategic emphasis on cost effectiveness and sustainable financial performance.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Fair Value of Contingent Acquisition Liabilities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change in fair value of acquisition related liabilities, which is marked-to-market based on the movements in our stock price and changes in the assessed probability of achieving certain future revenue targets, was a gain of $163.1 million for the year ended December 31, 2025, compared to a loss of $222.7 million for the year ended December 31, 2024. The decrease of the Company’s stock price as of December 31, 2025 compared to the stock price as of December 31, 2024, resulted in a decrease in its fair value of contingent acquisition liabilities during the year ended December 31, 2025. The fluctuation is non-operating and non-cash in nature. We will continue to review our estimates on a quarterly basis over the remaining earnout period until 2026. See Note 12 to our consolidated financial statements included within this report for more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Amortization of Intangibles Assets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Amortization of acquired developed technology is included within cost of revenues, while the amortization of other intangible assets, including acquired customer relationships, tradename and conversation data, are included within operating expenses. All intangible assets are amortized on a straight-line basis over their estimated useful lives.</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amortization of intangible assets by operating expense category ($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4"/>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Cost of revenues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17,175</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7,696</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9,479</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60"/>
        </w:trPr>
        <w:tc>
          <w:tcPr>
            <w:tcW w:w="3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Amortization of intangible assets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15,872</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7,116</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8,756</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0"/>
        </w:trPr>
        <w:tc>
          <w:tcPr>
            <w:tcW w:w="366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Total amortization . . . . . . . . . . . . . . . . . .</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660" w:type="dxa"/>
            <w:vAlign w:val="bottom"/>
            <w:vMerge w:val="continue"/>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33,047</w:t>
            </w:r>
          </w:p>
        </w:tc>
        <w:tc>
          <w:tcPr>
            <w:tcW w:w="18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14,812</w:t>
            </w:r>
          </w:p>
        </w:tc>
        <w:tc>
          <w:tcPr>
            <w:tcW w:w="18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18,235</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Amortization of intangibles increased by $18.2 million during the year ended December 31, 2025 compared to the same period in 2024. The increase in amortization of intangibles was primarily attributable to the Amelia Acquisition that was closed during the third quarter of 2024 and Interaction Acquisition that was closed during the third quarter of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Extinguishment of Debt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$15.6 million decrease in loss on extinguishment of debt during the year ended December 31, 2025 was attributable to a loss on the repayment of Amelia Debt in December 2024 and the repayment of Term Loan in June 2024. See Note 10 to our consolidated financial statements included within this report for more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Interest expense decreased by $11.5 million, or 94%, in 2025 compared to 2024. The decrease in interest expense was primarily attributable to the early repayment of Term Loan in June, 2024 and Amelia Debt in December, 2024, resulting in the decrease in interest expense.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948" w:right="1440" w:bottom="348"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other income, net by type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3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3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3660" w:type="dxa"/>
            <w:vAlign w:val="bottom"/>
          </w:tcPr>
          <w:p>
            <w:pPr>
              <w:jc w:val="right"/>
              <w:ind w:right="2120"/>
              <w:spacing w:after="0"/>
              <w:rPr>
                <w:sz w:val="20"/>
                <w:szCs w:val="20"/>
                <w:color w:val="auto"/>
              </w:rPr>
            </w:pPr>
            <w:r>
              <w:rPr>
                <w:rFonts w:ascii="Times New Roman" w:cs="Times New Roman" w:eastAsia="Times New Roman" w:hAnsi="Times New Roman"/>
                <w:sz w:val="20"/>
                <w:szCs w:val="20"/>
                <w:color w:val="auto"/>
                <w:w w:val="98"/>
              </w:rPr>
              <w:t>Other income, net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Interest income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9,799</w:t>
            </w:r>
          </w:p>
        </w:tc>
        <w:tc>
          <w:tcPr>
            <w:tcW w:w="1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8,370</w:t>
            </w:r>
          </w:p>
        </w:tc>
        <w:tc>
          <w:tcPr>
            <w:tcW w:w="120" w:type="dxa"/>
            <w:vAlign w:val="bottom"/>
          </w:tcPr>
          <w:p>
            <w:pPr>
              <w:spacing w:after="0"/>
              <w:rPr>
                <w:sz w:val="22"/>
                <w:szCs w:val="2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17%</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Change in fair value of derivative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4,676</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Gain on bargain purchase . . . . . . . . . . . .</w:t>
            </w: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1,223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(1,223)</w:t>
            </w:r>
          </w:p>
        </w:tc>
        <w:tc>
          <w:tcPr>
            <w:tcW w:w="3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1"/>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income (expense), net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(371)</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0"/>
        </w:trPr>
        <w:tc>
          <w:tcPr>
            <w:tcW w:w="3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4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other income, net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5,446</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59%</w:t>
            </w:r>
          </w:p>
        </w:tc>
      </w:tr>
      <w:tr>
        <w:trPr>
          <w:trHeight w:val="20"/>
        </w:trPr>
        <w:tc>
          <w:tcPr>
            <w:tcW w:w="3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Interest income increased by $1.4 million, or 17%, in 2025 compared to 2024. The increase was primarily attributable to interest earned on greater money market and treasury bond balances during the year ended December 31, 2025, as we engaged in significant transactions that increased our liquidity. Refer to “Liquidity and Capital Resources” for a discussion of the changes in our business that led to an increase in cash for the year ended December 31,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Gain on Bargain Purchase</w:t>
      </w:r>
    </w:p>
    <w:p>
      <w:pPr>
        <w:spacing w:after="0" w:line="177" w:lineRule="exact"/>
        <w:rPr>
          <w:sz w:val="20"/>
          <w:szCs w:val="20"/>
          <w:color w:val="auto"/>
        </w:rPr>
      </w:pPr>
    </w:p>
    <w:p>
      <w:pPr>
        <w:jc w:val="both"/>
        <w:ind w:right="20" w:firstLine="480"/>
        <w:spacing w:after="0" w:line="265" w:lineRule="auto"/>
        <w:rPr>
          <w:sz w:val="20"/>
          <w:szCs w:val="20"/>
          <w:color w:val="auto"/>
        </w:rPr>
      </w:pPr>
      <w:r>
        <w:rPr>
          <w:rFonts w:ascii="Times New Roman" w:cs="Times New Roman" w:eastAsia="Times New Roman" w:hAnsi="Times New Roman"/>
          <w:sz w:val="19"/>
          <w:szCs w:val="19"/>
          <w:color w:val="auto"/>
        </w:rPr>
        <w:t>The gain on bargain purchase of $1.2 million was recorded within other income, net in the consolidated statements of operations and comprehensive loss in the year ended December 31, 2024 as a result of a favorable fair value of identifiable net assets acquired from an immaterial acquisition at the date of acquisition as compared with the purchase price. See Note 3 to our consolidated financial statements included within this report for more information.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Derivative</w:t>
      </w:r>
    </w:p>
    <w:p>
      <w:pPr>
        <w:spacing w:after="0" w:line="177"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Change in fair value of derivative increased by $4.7 million or 100% in the year ended December 31, 2025 compared to the same period in 2024. The increase was primarily attributable to the remeasurement gain from the change in fair value of a derivative assumed from Amelia acquisition. See Note 12 to our consolidated financial statements included within this report for more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(benefit) for Income Taxes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5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348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8"/>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7"/>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5"/>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r>
      <w:tr>
        <w:trPr>
          <w:trHeight w:val="245"/>
        </w:trPr>
        <w:tc>
          <w:tcPr>
            <w:tcW w:w="3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Provision (benefit) for income taxes . . . . . .  $</w:t>
            </w:r>
          </w:p>
        </w:tc>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3"/>
              </w:rPr>
              <w:t>4,732</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(9,247)</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13,979</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w:t>
            </w:r>
          </w:p>
        </w:tc>
      </w:tr>
    </w:tbl>
    <w:p>
      <w:pPr>
        <w:spacing w:after="0" w:line="15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Provision (benefit) for income taxes increased by $14.0 million, or 151%, in 2025 compared to 2024. This increase was primarily attributable to decreased tax benefit from acquisitions.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Total unrestricted cash and cash equivalents on hand as of December 31, 2025 was $248.5 million. Although we have incurred recurring losses each year since our inception, except for a net income of $129.9 million reported for the three months ended March 31 2025, $55.2 million reported for the six months ended June 30, 2025 and $40.1 million reported for the three months ended December 31, 2025, primarily due to the change in fair value of acquisition related liabilities, we expect we will be able to fund our operations for at least the next twelve months. We believe we will meet longer-term expected future cash requirements and obligations through a combination of cash flows from operating activities, available cash balances and expected cash proceeds from the future ATM program. Our consolidated financial statements have been prepared assuming that we will continue as a going concern, which contemplates, among other things, the realization of assets and satisfaction of liabilities in the normal course of business.</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80"/>
          </w:cols>
          <w:pgMar w:left="1440" w:top="941" w:right="1420" w:bottom="348"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Sources of Cash and Material Cash Requirements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principal sources of liquidity are our cash and cash equivalents, which are sourced primarily from the sale of marketable securities. The primary uses of cash include the funding of operating expenses, as well as acquisition related costs.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presents our material cash requirements for future periods: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2"/>
              <w:spacing w:after="0" w:line="201" w:lineRule="exact"/>
              <w:rPr>
                <w:sz w:val="20"/>
                <w:szCs w:val="20"/>
                <w:color w:val="auto"/>
              </w:rPr>
            </w:pPr>
            <w:r>
              <w:rPr>
                <w:rFonts w:ascii="Times New Roman" w:cs="Times New Roman" w:eastAsia="Times New Roman" w:hAnsi="Times New Roman"/>
                <w:sz w:val="18"/>
                <w:szCs w:val="18"/>
                <w:b w:val="1"/>
                <w:bCs w:val="1"/>
                <w:color w:val="auto"/>
              </w:rPr>
              <w:t>Thereafter</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Cloud service provider agreement . . . . . . . . . . . . . . . . . . . . . .</w:t>
            </w: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64,000</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64,000</w:t>
            </w: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 . . . . . . . . . . . . . . . . . . . . . . . . . . . . . . . . . . .</w:t>
            </w: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2,037</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4,249</w:t>
            </w:r>
          </w:p>
        </w:tc>
      </w:tr>
      <w:tr>
        <w:trPr>
          <w:trHeight w:val="261"/>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leases . . . . . . . . . . . . . . . . . . . . . . . . . . . . . . . . . . . . . .</w:t>
            </w:r>
          </w:p>
        </w:tc>
        <w:tc>
          <w:tcPr>
            <w:tcW w:w="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w:t>
            </w: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Total material cash requirements . . . . . . . . . . . . . . . . . . . . . . .</w:t>
            </w:r>
          </w:p>
        </w:tc>
        <w:tc>
          <w:tcPr>
            <w:tcW w:w="80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2,414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66,371</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68,785</w:t>
            </w:r>
          </w:p>
        </w:tc>
      </w:tr>
      <w:tr>
        <w:trPr>
          <w:trHeight w:val="20"/>
        </w:trPr>
        <w:tc>
          <w:tcPr>
            <w:tcW w:w="5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Second Equity Distribution Agreement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January 24, 2025, we entered into an Equity Distribution Agreement (the “Second Equity Distribution Agreement”) with Cantor Fitzgerald &amp; Co., Guggenheim Securities, LLC, Oppenheimer &amp; Co. Inc., Wedbush Securities Inc., Ladenburg Thalmann &amp; Co. Inc. and Northland Securities, Inc. with respect to an ATM program. Under this program, we may offer and sell up to $250.0 million of shares of our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are entitled to commission at a fixed rate of 2.0% of the gross sales price per share for their services in acting as agent in the sale of our Class A Common Stock. During the year ended December 31, 2025, we sold an aggregate of 13,913,014 shares of our common stock under the Second Equity Distribution Agreement, at an average price of $14.48 per share and raised $201.5 million of gross proceeds. The commissions and offering costs borne by us were approximately $4.0 million. As of December 31, 2025, the Company had a remaining capacity to sell up to an additional $48.5 million of our common stock under the Second Equity Distribution Agreement.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SYNQ3 Acquisition</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On January 3, 2024 (the “SYNQ3 Acquisition Date”), we acquired all of the issued and outstanding equity of SYNQ3, a leading provider of voice AI and other technology solutions to the restaurant industry, for total purchase consideration of $15.8 million (the “SYNQ3 Acquisition”).</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total purchase consideration includes $3.9 million in cash paid and 5,755,910 in shares of our Class A Common Stock issued as of the SYNQ3 Acquisition Date. We also withheld purchase consideration of $0.5 million in cash and 1,179,514 shares of our Class A Common Stock, subject to customary net working capital adjustments, to partially secure the indemnification obligations of SYNQ3’s former stockholders under the merger agreement and agreed to pay up to $0.8 million in cash and 1,434,936 in shares of our Class A Common Stock to certain former stockholders of SYNQ3 based upon the achievement of specified future milestones. On the SYNQ3 Acquisition Date, we also issued 2,033,156 restricted shares of our Class A Common Stock subject to time and performance-based vesting conditions. The fair value of the purchase consideration was $15.8 million.</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incurred $2.2 million in acquisition related expenses, of which $0.1 million, $1.0 million, and $1.1 million were incurred during the years ended December 31, 2025, 2024 and 2023, respectively, and recorded as general and administration expenses in its consolidated statements of operations and comprehensive loss.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SYNQ3 Holdback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$0.5 million in cash and 1,179,514 shares of our Class A Common Stock were withheld for a period of 15 months (the “SYNQ3 Holdback Amount”). We determined that there are two components to the SYNQ3 Holdback Amount related to deferred consideration and contingent consideration, each comprised of cash and shares.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941" w:right="1440" w:bottom="348" w:gutter="0" w:footer="0" w:header="0"/>
          <w:type w:val="continuous"/>
        </w:sectPr>
      </w:pPr>
    </w:p>
    <w:bookmarkStart w:id="57" w:name="page58"/>
    <w:bookmarkEnd w:id="57"/>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deferred cash holdback consideration of $0.1 million and the deferred share holdback consideration of 361,145 shares of our Class A Common Stock (collectively, the “Deferred Consideration”) were not recognized as of the SYNQ3 Acquisition Date as such amounts were offset by the indemnification obligations of SYNQ3’s former stockholders.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contingent cash and share holdback consideration to be issued is variable (“Contingent SYNQ3 Holdback Consideration”). Final amounts to be issued will be reduced based upon future actions and settlements with third parties to resolve assumed contingent sales tax liabilities and certain other assumed contingent liabilities of SYNQ3 in connection with the SYNQ3 Acquisition. We accounted for the Contingent SYNQ3 Holdback Consideration as a liability on the consolidated balance sheet. As of the SYNQ3 Acquisition Date, the Contingent SYNQ3 Holdback Consideration was estimated to be $0.6 million in aggregate and to be settled in $0.1 million cash and the remainder in shares of our Class A Common Stock. During the year ended December 31, 2024, we issued 38,277 shares of our Class A Common Stock and paid an immaterial amount in cash from the Contingent SYNQ3 Holdback Consideration to SYNQ3’s former stockholders as a result of the net working capital adjustments settled during the year. The Contingent SYNQ3 Holdback Consideration will be subsequently remeasured at each reporting date with changes in fair value recognized as a component of operating expense on our consolidated statement of operations and comprehensive loss. For the year ended December 31, 2025, we recognized a loss of less than $0.1 million related to the Contingent SYNQ3 Holdback Consideration.</w:t>
      </w:r>
    </w:p>
    <w:p>
      <w:pPr>
        <w:spacing w:after="0" w:line="17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April 2025, the Contingent SYNQ3 Holdback Consideration was settled by issuing 472,501 shares of the Company’s Class A Common Stock and paying $0.2 million in cash. After the holdback settlement, any remaining indemnifications by the sellers to cover unsettled claims was offset against the Contingent SYNQ3 Earnout Consideration to the extent of its fair value as of June 30, 2025. See Note 12 to our consolidated financial statements included within this report for more information on the fair value measurement of Contingent SYNQ3 Holdback Consideration.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Contingent SYNQ3 Earnout Consideration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also agreed to pay in aggregate up to $0.8 million in cash and 1,434,936 in shares of Class A Common Stock, to certain stockholders of SYNQ3 based on tiered annual revenue targets for each fiscal year 2024, 2025 and 2026 (the “Contingent SYNQ3 Earnout Consideration”). We accounted for the Contingent SYNQ3 Earnout Consideration as a liability within contingent acquisition liabilities on our consolidated balance sheets and will subsequently remeasure the liability at each reporting date with changes in fair value recognized as a component of operating expense in our consolidated statement of operations and comprehensive loss. As of the SYNQ3 Acquisition Date, the Contingent SYNQ3 Earnout Consideration was estimated to be $1.7 million in aggregate and to be settled in $0.2 million cash and the remainder in shares of our Class A Common Stock. See Note 12 to our consolidated financial statements included within this report for more information on the fair value measurement of Contingent SYNQ3 Earnout Consideration.</w:t>
      </w:r>
    </w:p>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the years ended December 31, 2025 and December 31, 2024, we recognized a gain of $6.9 million and a loss of $7.0 million, respectively, related to the Contingent SYNQ3 Earnout Consideration, reflected in the change in fair value of contingent acquisition liabilities in the consolidated statement of operations and comprehensive loss.</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2025, the 2024 revenue target was not met, but the 2025 revenue target was met and the related earnout consideration is expected to be settled in the first quarter of 2026. The Company assessed the 2026 revenue target as probable of being met. No earnout consideration was issued as of December 31, 2025.</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awards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2,033,156 restricted shares of our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units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a condition of the SYNQ3 Acquisition, we additionally granted certain employees awards with future vesting conditions. As a result, we determined that these awards should be accounted for separately from the SYNQ3 Acquisition and therefore are excluded from purchase consideration.</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purchase price allocation was finalized as of December 31, 2024.</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948" w:right="1440" w:bottom="348"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Amelia Acquisition</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On August 6, 2024 (the “Amelia Acquisition Date”), we completed the acquisition of Amelia Holdings, Inc. (the “Amelia Acquisition”), a privately-held conversational AI software company involved in the development and delivery of AI and automation solutions and related services to improve customer experience and optimize business outcomes.</w:t>
      </w:r>
    </w:p>
    <w:p>
      <w:pPr>
        <w:spacing w:after="0" w:line="15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the Amelia Acquisition Date, we issued a total of 3,809,520 shares of the SoundHound Class A Common Stock to the sellers. Pursuant to the terms of the purchase agreement, we also issued and deposited 2,149,530 shares of the SoundHound Class A Common Stock into an escrow account in order to partially secure the indemnification obligations of the selling shareholders under the purchase agreement. We also paid $8.4 million of cash for seller transaction expenses in connection with the closing of the Amelia Acquisition. We agreed to issue up to 16,822,429 shares to the selling shareholders based on achievement of certain revenue targets in fiscal years 2025 and 2026. The fair value of the purchase consideration was $98.6 million.</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connection with the Amelia Acquisition, we assumed the amended senior secured term loan facility from Amelia in an aggregate principal amount of $121.5 million (“Amelia Debt”). On December 3, 2024, we entered into a letter agreement (the “Amelia Debt Payoff Letter”) to prepay in full all indebtedness and other amounts outstanding and owing under the Amelia Debt Credit Agreement and the Amelia Debt was subsequently paid in full.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Escrow Consideration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the Amelia Acquisition Date, we issued and deposited 2,149,530 shares of our Class A Common Stock into an escrow account in order to partially secure the indemnification obligations of the selling shareholders under the purchase agreement. We accounted for the escrow consideration as equity issued as part of consideration transferred. Upon the settlement of any valid indemnification claims against the sellers, the escrow agent will return a number of shares to us equal to the dollar value of the indemnified loss divided by the reference price of $5.35 as stipulated in the purchase agreement. We concluded that this variability in settlement value is a derivative that is requirement to be remeasured to fair value due to changes in stock price. This derivative did not have a material impact to the financial statements for the year ended December 31, 2024. For the years ended December 31, 2025 and 2024, we recognized a gain of $4.7 million and zero, respectively, related to remeasurement of the derivative, reflected in the other income, net in the consolidated statement of operations and comprehensive loss. Upon the expiration of the escrow period, any remaining shares in the escrow account will be released to the selling shareholders. See Note 12 to our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Contingent Amelia Earnout Consideration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agreed to pay up to 16,822,429 in shares of Class A Common Stock to the selling shareholders based on achievement of certain revenue targets in fiscal years 2025 and 2026 (the “Contingent Amelia Earnout Consideration”). We accounted for the Contingent Amelia Earnout Consideration as a liability within contingent acquisition liabilities on our consolidated balance sheet and will subsequently remeasure the liability at each reporting date with changes in fair value recognized as a component of operating expense in our consolidated statement of operations and comprehensive loss. As of the Amelia Acquisition Date, the Contingent Amelia Earnout Consideration had an estimated fair value of $66.3 million and will be settled in shares of our Class A Common Stock. For the years ended December 31, 2025 and 2024, we recognized a $157.6 million gain and a $211.9 million loss related to the Contingent Amelia Earnout Consideration, respectively, reflected in the change in fair value of contingent acquisition liabilities in the consolidated statement of operations and comprehensive loss. See Note 12 to our consolidated financial statements included within this report for more information on the fair value measurement of Contingent Amelia Earnout Consideration. As of December 31, 2025, the 2025 revenue target was met and the related earnout consideration is expected to be settled in the first quarter of 2026. We assessed the 2026 revenue target as probable of being met.</w:t>
      </w:r>
    </w:p>
    <w:p>
      <w:pPr>
        <w:spacing w:after="0" w:line="15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2025, we recorded measurement period adjustments to decrease the accrued liabilities by $0.1 million and other current liabilities by $0.4 million due to true-up of the accrued payroll taxes and sales taxes subsequent to the acquisition. As a result of the adjusted acquisition-date fair value of liabilities assumed, we recorded a decrease of $0.5 million to the goodwill recognized. The measurement period adjustments were recorded in the consolidated financial statements as of and for the year ended December 31, 2025 and were made to reflect facts and circumstances that existed as of the Amelia Acquisition Date.</w:t>
      </w:r>
    </w:p>
    <w:p>
      <w:pPr>
        <w:sectPr>
          <w:pgSz w:w="12240" w:h="15840" w:orient="portrait"/>
          <w:cols w:equalWidth="0" w:num="1">
            <w:col w:w="9360"/>
          </w:cols>
          <w:pgMar w:left="1440" w:top="941" w:right="1440" w:bottom="348"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941" w:right="1440" w:bottom="348" w:gutter="0" w:footer="0" w:header="0"/>
          <w:type w:val="continuous"/>
        </w:sectPr>
      </w:pPr>
    </w:p>
    <w:bookmarkStart w:id="59" w:name="page60"/>
    <w:bookmarkEnd w:id="59"/>
    <w:p>
      <w:pPr>
        <w:ind w:left="480"/>
        <w:spacing w:after="0"/>
        <w:rPr>
          <w:sz w:val="20"/>
          <w:szCs w:val="20"/>
          <w:color w:val="auto"/>
        </w:rPr>
      </w:pPr>
      <w:r>
        <w:rPr>
          <w:rFonts w:ascii="Times New Roman" w:cs="Times New Roman" w:eastAsia="Times New Roman" w:hAnsi="Times New Roman"/>
          <w:sz w:val="20"/>
          <w:szCs w:val="20"/>
          <w:color w:val="auto"/>
        </w:rPr>
        <w:t>The purchase price allocation was finalized as of September 30, 2025.</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incurred $6.7 million in acquisition related expenses, of which $0.9 million and $5.8 million were incurred during the years ended December 31, 2025 and December 31, 2024, respectively, and recorded as general and administration expenses in its consolidated statements of operations and comprehensive loss.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Interactions Acquisition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September 3, 2025 (the “Interactions Acquisition Date”), we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transaction also expands SoundHound’s customer portfolio across various industries, including global consumer icons, large technology device brands, insurers, automakers, and other preeminent Fortune 100 companies across industries.</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fair value of the preliminary purchase consideration was $76.1 million. The preliminary purchase consideration includes $19.4 million of cash paid to the selling shareholders. We also paid $4.1 million of cash for seller transaction expenses in connection with the closing of the Interactions Acquisition.</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connection with the Interactions Acquisition, we paid the debt held by Interactions (the “Interactions Debt”) on the Interactions Acquisition Date in an aggregate principal amount of $41.5 million as part of the purchase consideration under the merger agreement.</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have also withheld purchase consideration of $1.2 million in cash, subject to customary net working capital adjustments, to partially secure the indemnification obligations of Interactions’ former stockholders under the merger agreement and agreed to pay up to $25.0 million in cash to certain former stockholders of Interactions based upon the achievement of specified future milestones in fiscal years 2026 and 2027 (the “Contingent Interactions Earnout Consideration).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Interactions Holdback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the Interactions Acquisition Date, the $1.2 million in cash withheld (the “Deferred Interactions Holdback Consideration”) consisted of two components, adjustment holdback consideration and indemnity holdback consideration.</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adjustment holdback consideration of $1.0 million was recorded within other current liabilities at fair value as of the Interactions Acquisition Date (the “Interactions Adjustment Holdback Consideration”), and is estimated to be paid within 120 days subsequent to the Interactions Acquisition Date to Interactions’ former stockholders for the settlement of net working capital adjustments.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indemnity holdback consideration of $0.2 million was recorded within other current liabilities, which was withheld for a period of 12 months subsequent to the Interactions Acquisition Date (the “Interactions Indemnity Holdback Consideration”). Payment will occur after the sellers complete their review of the closing statement which must be submitted by the acquirer within 120 days of the Interactions Acquisition 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Contingent Interactions Earnout Consideration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also agreed to pay up to $25.0 million in cash to the selling shareholders based on achievement of certain annual revenue targets in fiscal years 2026 and 2027 and renewal or extension of an existing contract with a specific customer on or before March 31, 2026. We accounted for the Contingent Interactions Earnout Consideration as a liability within contingent acquisition liabilities on the consolidated balance sheets and will subsequently remeasure the liability at each reporting date with changes in fair value recognized as a component of operating expense in the consolidated statement of operations and comprehensive loss. As of the Interactions Acquisition Date, the Contingent Interactions Earnout Consideration had an estimated fair value of $9.9 million. For year ended December 31, 2025, we recognized a loss of $1.3 million related to the Contingent Interactions Earnout Consideration, reflected in the change in fair value of contingent acquisition liabilities in the consolidated statement of operations and comprehensive loss. As of December 31, 2025, we assessed the 2026 and 2027 revenue targets were probable of being met, and an existing contract with a specific customer was probable of being renewed or extended on or before March 31, 2026.</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941" w:right="1440" w:bottom="348" w:gutter="0" w:footer="0" w:header="0"/>
          <w:type w:val="continuous"/>
        </w:sectPr>
      </w:pPr>
    </w:p>
    <w:bookmarkStart w:id="60" w:name="page61"/>
    <w:bookmarkEnd w:id="60"/>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purchase accounting is not yet complete as of December 31, 2025 and as such, the final allocation among purchase consideration, intangible assets, net assets acquired and goodwill may be subject to change. Any adjustments to the preliminary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Interactions Acquisition Date.</w:t>
      </w:r>
    </w:p>
    <w:p>
      <w:pPr>
        <w:spacing w:after="0" w:line="168"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We incurred $5.0 million in acquisition related expenses during the year ended December 31, 2025 and recorded as general and administration expenses in its consolidated statements of operations and comprehensive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Acquisition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June 14, 2024, we completed an immaterial acquisition for total purchase consideration of $1.0 million. As part of the acquisition, we acquired net assets of $2.2 million, including intangible assets of $2.6 million, and recognized a gain on bargain purchase of $1.2 million within other income, net in the consolidated statements of operations and comprehensive loss during the year ended December 31, 2025, resulting from a favorable fair value of identifiable net assets acquired at the date of acquisition as compared with the purchase price. We were able to negotiate a bargain purchase price as a result of the recurring losses and pre-filing bankruptcy status of the selling entity.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and Other Obligations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8, Note 10 and Note 16 to our consolidated financial statements included within this Annual Report on Form 10-K for more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cash flows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8"/>
                <w:szCs w:val="18"/>
                <w:color w:val="auto"/>
              </w:rPr>
            </w:pP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(98,222)</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(108,878)</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 . . . . . . . . . . . . . . . . . . . . . . .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(59,504)</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(12,372)</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financing activities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208,074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210,906</w:t>
            </w:r>
          </w:p>
        </w:tc>
        <w:tc>
          <w:tcPr>
            <w:tcW w:w="60" w:type="dxa"/>
            <w:vAlign w:val="bottom"/>
          </w:tcPr>
          <w:p>
            <w:pPr>
              <w:spacing w:after="0"/>
              <w:rPr>
                <w:sz w:val="22"/>
                <w:szCs w:val="22"/>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Effects of exchange rate changes on cash . . . . . . . . . . . . . . . . . . .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(98)</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60" w:type="dxa"/>
            <w:vAlign w:val="bottom"/>
          </w:tcPr>
          <w:p>
            <w:pPr>
              <w:spacing w:after="0"/>
              <w:rPr>
                <w:sz w:val="22"/>
                <w:szCs w:val="22"/>
                <w:color w:val="auto"/>
              </w:rPr>
            </w:pP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change in cash, cash equivalents, and restricted cash equivalents . . . . . . . . .</w:t>
            </w: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89,881</w:t>
            </w:r>
          </w:p>
        </w:tc>
        <w:tc>
          <w:tcPr>
            <w:tcW w:w="6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Used in Operating Activities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Net cash used in operating activities was $98.2 million during 2025 compared to $108.9 million during 2024. The $10.7 million decrease in cash used in operating activities was primarily due to decreases of $336.7 million in net loss, and increases of $47.5 million in stock-based compensation, $18.1 million in depreciation and amortization, $13.5 million in deferred income taxes, $2.5 million in other non-cash loss, $1.6 million in amortization of capitalized commissions and non-cash lease amortization of $0.3 million, which were partially offset by the movement of $385.8 million in change in fair value of contingent acquisition liabilities, decrease of $15.6 million in loss on early extinguishment of debt, $4.7 million from change in the fair value of derivatives, $1.6 million in amortization of debt issuance cost, $0.9 million in changes in operating assets and liabilities, and $0.9 million in foreign currency gain from remeasurement. Within the increase of $47.5 million in stock-based compensation, $3.8 million was related to accelerated vesting of RSAs during the year ended December 31, 2025 as part of our integration plan of SYNQ3.</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948" w:right="1440" w:bottom="348"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Used in Investing Activities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Net cash used in investing activities was $59.5 million during 2025 compared to $12.4 million during 2024. The $47.1 million increase in cash used in investing activities was primarily driven by the increases of payments related to acquisitions of $42.9 million and software development costs of $4.0 million and payments related to purchases of property and equipment of $0.3 million.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Provided by Financing Activities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Net cash provided by financing activities was $208.1 million during 2025 compared to $210.9 million during 2024. The $2.8 million decrease in cash provided by financing activities was primarily due to decreases of $199.4 million in net proceeds from sales of Class A Common Stock under the Sales Agreement and Second Equity Distribution Agreement and $18.9 million in proceeds from exercise of stock options and employee stock purchase plan, which is partially offset by decreases of $215.4 million in the payment of notes payable.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did not have during the periods presented, and we do not currently have, any off-balance sheet arrangements, as defined in the rules and regulations of the SEC.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 Agreements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Additionally, we have, and may in the future, indemnify third parties in connection with our issuance of securities (including pursuant to our ATM offering program) and in connection with acquisitions of other companies. Our liability is generally limited to the aggregate amount of consideration actually received in these instances. We have never incurred costs to defend lawsuits or settle claims related to these indemnification agreements. As a result, we believe the fair value of these agreements is minimal.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Management Estimates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management’s discussion and analysis of our financial condition and results of operations is based on our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disclosures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 about the carrying value of assets and liabilities that are not readily apparent from other sources. Actual results may differ from these estimates under different assumptions or conditions and any such differences may be material. Historically, our assumptions, judgments and estimates relative to our critical accounting policies have not differed materially from actual results.</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believe that the assumptions, judgments and estimates involved in the accounting for revenue recognition, derivative liabilities, warrant liabilities, stock-based compensation, business combinations, contingent consideration, goodwill, intangible assets with definite lives, and capitalized software development costs, have the greatest potential impact on our consolidated financial statements. These areas are key components of our results of operations and are based on complex rules requiring us to make judgments and estimates, and consequently, we consider these to be our critical accounting policies.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941" w:right="1440" w:bottom="348"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recognize revenue with customers in accordance with ASC Topic 606, Revenue from Contracts with Customers. We recognize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we expect to receive for those goods or services.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arrangements with customers may contain multiple performance obligations. Individual services are accounted for separately if they are distinct — that is, if a customer can benefit from it on its own or with other resources that are readily available to the customer and if the service is separately identifiable from other promised obligation in the contract.</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primarily derive revenue from the following performance obligations: (1) hosted services, (2) professional services, (3) monetization, and (4) licensing. Revenues are reported net of applicable sales and use taxes that are passed through to customers. We apply significant judgment in identifying and evaluating any terms and conditions in contracts which may impact 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Hosted Services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Hosted services, along with non-distinct customization, integration, maintenance and support professional services, allow customers to access the Houndify, Amelia Software Platform, and Virtual Assistance applications over the contract period without taking possession of the software.</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have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We recognize revenue as each distinct service period is performed.</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Hosted services may include implementation services to develop and/or customize the applications to each customer’s specification. Judgment is required to determine whether these professional services are distinct from the hosted services. In making this determination, factors such as the degree of integration, the significance of enhancement to existing functionality, the customers’ ability to start using the software prior to customization, the evaluation as to whether the services extend the economic life of the application, and the availability of these services from other independent vendors are considered.</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instances where we concluded that the implementation services are not distinct performance obligations, revenues for these activities are recognized over the period which the hosted services are expected to be provided and is included within hosted services revenue.</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All revenues derived as a result of the SYNQ3 Acquisition, and substantial revenues derived as a result of the Amelia Acquisition and Interactions Acquisition are categorized as hosted services revenue.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Professional Services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Revenues from distinct professional services, such as non-integrated development services and other professional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941" w:right="1440" w:bottom="348"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i w:val="1"/>
          <w:iCs w:val="1"/>
          <w:color w:val="auto"/>
        </w:rPr>
        <w:t>Monetization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Monetization revenues are primarily derived from advertising payments associated with ad impressions placed on the SoundHound music identification application. The amount of revenue is based on actual monetization generated or usage, which represent a variable consideration with constrained estimates. Therefore, we recognize the related revenues at a point in time when advertisements are placed, when commissions are paid, or when the SoundHound application is downloaded. The determination of whether revenue should be reported on a gross or net basis is based on an assessment of whether we are acting as a principal or an agent in the transaction. We have determined that we do not act as the principal in monetization arrangements because we do not control the transfer of the service and it does not set the price. Based on these factors, we report revenue on a net basis.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license Amelia’s software solutions, Virtual Assistance applications, and other voice solutions that are embedded in customers’ products or services. Licensing revenue is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on royalty arrangements with a per unit pricing or on fixed considerations. The Company records licensing revenue relating to usage-based royalty arrangements in the same period in which the underlying usage occurs. Licensing revenue on fixed considerations including fixed fee and minimum guarantee from royalty arrangements are recognized when the Company grants the customer the right to use and benefit from the license at the start of the licensing period. Licenses may include post-contract support, which is a distinct performance obligation and revenue from post-contract support is recognized ratably over the licensing period.</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we estimate SSP by considering the following factors:</w:t>
      </w:r>
    </w:p>
    <w:p>
      <w:pPr>
        <w:spacing w:after="0" w:line="162" w:lineRule="exact"/>
        <w:rPr>
          <w:sz w:val="20"/>
          <w:szCs w:val="20"/>
          <w:color w:val="auto"/>
        </w:rPr>
      </w:pPr>
    </w:p>
    <w:p>
      <w:pPr>
        <w:ind w:left="960" w:hanging="480"/>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developing and supplying each performance obligation;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Industry standards;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product groupings; and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objectives and pricing practices, such as contractually stated prices, discounts offered and applicable price lists.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These factors may vary over time, depending upon the unique facts and circumstances related to each deliverable. If the facts and circumstances underlying the factors considered change or should future facts and circumstances lead us to consider additional factors, our best estimate of SSP may also change. When such observable data is not available because there is a limited number of transactions or prices are highly variable, the Company will estimate the standalone selling price using the residual approach.</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Offerings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enter into certain agreements to sell common stock with counterparties to further support our growth strategy through initiatives such as accretive acquisitions and internal investments, to bolster working capital and for general corporate purposes. We evaluate our common stock purchase agreements to determine whether they are indexed to our own common stock, and therefore whether they should be accounted for as derivatives with changes in fair value as other income, net in the consolidated statement of operations and comprehensive loss in the period in which they occur. We subsequently assess the changes in the fair value of the derivative liability and record these changes through profit or loss in the consolidated statements of operations and comprehensive loss.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941" w:right="1440" w:bottom="348"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determine whether to classify contracts, such as warrants, that may be settled in our own stock as equity of the entity or as a liability. An equity-linked financial instrument must be considered indexed to the Company’s own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expense, net in the consolidated statements of operations and comprehensive loss.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measure stock options and other stock-based awards granted to employees, directors and other service providers based on their fair value on the date of grant and recognize compensation expense of those awards over the requisite service period. We recognize the impact of forfeitures on stock-based compensation expense as forfeitures occur. We apply the straight-line method of expense recognition. We use the Black-Scholes option-pricing model to determine the fair value of stock options and ESPP shares. The Black-Scholes option-pricing model requires the use of highly subjective and complex assumptions to determine the fair value of the awards, including the expected term of the award and the price volatility of the underlying stock. We calculate the fair value of the awards by using the Black-Scholes option-pricing model with the following assumptions:</w:t>
      </w:r>
    </w:p>
    <w:p>
      <w:pPr>
        <w:spacing w:after="0" w:line="171"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 We estimate volatility for the awards by evaluating the average historical volatility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peer group of companies for the period immediately preceding the award grant for a term that is approximately equal to the awards’ expected term.</w:t>
      </w:r>
    </w:p>
    <w:p>
      <w:pPr>
        <w:spacing w:after="0" w:line="173"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Expected Term </w:t>
      </w:r>
      <w:r>
        <w:rPr>
          <w:rFonts w:ascii="Times New Roman" w:cs="Times New Roman" w:eastAsia="Times New Roman" w:hAnsi="Times New Roman"/>
          <w:sz w:val="19"/>
          <w:szCs w:val="19"/>
          <w:color w:val="auto"/>
        </w:rPr>
        <w:t>— The expected term of the awards represents the period that the stock-based awards are expected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be outstanding. We have elected to use the midpoint between the stock options’ vesting term and contractual expiration period to compute the expected term, as we do not have sufficient historical information to develop reasonable expectations about future exercise patterns and post-vesting employment termination behavior. For the valuation of ESPP shares, we use the period of time from the valuation date to the purchase date.</w:t>
      </w:r>
    </w:p>
    <w:p>
      <w:pPr>
        <w:spacing w:after="0" w:line="158"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 The risk-free interest rate is based on the implied yield currently available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 Treasury zero-coupon issues with a term that is equal to the awards’ expected term at the grant date.</w:t>
      </w:r>
    </w:p>
    <w:p>
      <w:pPr>
        <w:spacing w:after="0" w:line="174"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Expected Dividend Yield </w:t>
      </w:r>
      <w:r>
        <w:rPr>
          <w:rFonts w:ascii="Times New Roman" w:cs="Times New Roman" w:eastAsia="Times New Roman" w:hAnsi="Times New Roman"/>
          <w:sz w:val="20"/>
          <w:szCs w:val="20"/>
          <w:color w:val="auto"/>
        </w:rPr>
        <w:t>— The Company has not declared or paid dividends to date and does not anticipate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declaring dividends. As such, expected dividend yield is zero.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 and Contingent Consideration</w:t>
      </w:r>
    </w:p>
    <w:p>
      <w:pPr>
        <w:spacing w:after="0" w:line="177"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Business combinations are accounted for using the acquisition method. We allocate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Fair value of the acquired intangible assets was determined using an income approach, specifically the multi-period excess earnings method, relief-from-royalty method, or the with-and-without method, depending on the nature of the respective assets. Management’s estimates of fair value are based upon assumptions believed to be reasonable, but the estimates and assumptions are inherently uncertain and subject to refinement. The significant judgments and assumptions used in valuing the developed technology include revenue growth rates, prospective financial information for cost of sales, research and development expenses and, other operating expenses, the discount rate, the technological obsolescence rate, and contributory asset charges. For customer relationships, the significant judgments and assumptions include revenue growth rates, customer attrition rate, prospective financial information for cost of sales and fixed and variable operating expenses and the discount rate. These estimates are inherently uncertain and, therefore, actual results may differ from the estimates made. As a result, during the measurement period of up to one year from the acquisition date, we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consolidated statements of operations in the period they are identified. Acquisition-related expenses are recognized separately from the business combination and expensed as incurred.</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941" w:right="1440" w:bottom="348" w:gutter="0" w:footer="0" w:header="0"/>
          <w:type w:val="continuous"/>
        </w:sectPr>
      </w:pPr>
    </w:p>
    <w:bookmarkStart w:id="65" w:name="page66"/>
    <w:bookmarkEnd w:id="65"/>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Certain business combinations include contingent consideration arrangements, which are generally based on achievement of future financial performance or future events. If it is determined the contingent consideration arrangement is not compensatory, we estimate fair value of contingent consideration payments as part of the initial purchase price and record the estimated fair value of contingent consideration as a liability in the consolidated balance sheet. We review and assess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consolidated statements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77" w:lineRule="exact"/>
        <w:rPr>
          <w:sz w:val="20"/>
          <w:szCs w:val="20"/>
          <w:color w:val="auto"/>
        </w:rPr>
      </w:pPr>
    </w:p>
    <w:p>
      <w:pPr>
        <w:jc w:val="both"/>
        <w:ind w:firstLine="480"/>
        <w:spacing w:after="0" w:line="244" w:lineRule="auto"/>
        <w:rPr>
          <w:sz w:val="20"/>
          <w:szCs w:val="20"/>
          <w:color w:val="auto"/>
        </w:rPr>
      </w:pPr>
      <w:r>
        <w:rPr>
          <w:rFonts w:ascii="Times New Roman" w:cs="Times New Roman" w:eastAsia="Times New Roman" w:hAnsi="Times New Roman"/>
          <w:sz w:val="20"/>
          <w:szCs w:val="20"/>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Our policy is to review goodwill for impairment annually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20"/>
          <w:szCs w:val="20"/>
          <w:color w:val="auto"/>
        </w:rPr>
        <w:t xml:space="preserve"> unless a triggering event requires an analysis sooner. There was no goodwill impairment for the year ended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 with Definite Lives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intangible assets consist principally of developed technology, customer relationships, tradename, and conversation data. We assess the appropriate method of amortization of the intangible assets that reflects the pattern in which the economic benefits of the intangible assets are consumed. We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6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Capitalized Software Development Costs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capitalizes qualifying internal-use software development costs under Accounting Standards Codification Topic 350-40, Internal-use Software (“ASC 350-40”). The costs consist of personnel costs, including related benefits and stock-based compensation, and cloud costs that were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post-implementation operating activities are expensed as incurred.</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also capitalize qualifying software development costs under Accounting Standards Codification Topic 985-20, Costs of Software to be Sold, Leased or Marketed (“ASC 985-20”). All costs to establish technological feasibility are expensed as incurred. Costs incurred subsequent to establishing technological feasibility are capitalized until the software product is available for general release to customers.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948" w:right="1440" w:bottom="348" w:gutter="0" w:footer="0" w:header="0"/>
          <w:type w:val="continuous"/>
        </w:sectPr>
      </w:pPr>
    </w:p>
    <w:bookmarkStart w:id="66" w:name="page67"/>
    <w:bookmarkEnd w:id="66"/>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Capitalized software development costs under ASC 350-40 and ASC 985-20 are included in other non-current assets, net of amortization, on the consolidated balance sheets. These costs are amortized over the estimated useful life of the software, which is estimated to be three years. The amortization of capitalized software development costs is included in cost of revenue in the consolidated statement of operations and comprehensive loss.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77"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See Note 2 of our notes to the consolidated financial statements included within this Annual Report on Form 10-K for information regarding recent accounting pronouncements that are of significance, or potential significance to us.</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Exchange Risk</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financial statements are presented in U.S. dollars, which is also the functional currency for our foreign operations. Where transactions may be denominated in foreign currencies, we are subject to market risk with respect to fluctuations in the relative value of currencies. During the years ended December 31, 2025 and December 31, 2024, we recorded the exchange rate losses of approximately $0.8 million and $0.7 million, respectively. We do not believe that an immediate 10% increase or decrease in the relative value of the U.S. dollar to other currencies would have a material effect on operating results.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948" w:right="1440" w:bottom="348" w:gutter="0" w:footer="0" w:header="0"/>
          <w:type w:val="continuous"/>
        </w:sectPr>
      </w:pPr>
    </w:p>
    <w:bookmarkStart w:id="67" w:name="page68"/>
    <w:bookmarkEnd w:id="67"/>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5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18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 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5372100</wp:posOffset>
                </wp:positionH>
                <wp:positionV relativeFrom="paragraph">
                  <wp:posOffset>13970</wp:posOffset>
                </wp:positionV>
                <wp:extent cx="4953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pt,1.1pt" to="462pt,1.1pt" o:allowincell="f" strokecolor="#000000" strokeweight="0.5pt"/>
            </w:pict>
          </mc:Fallback>
        </mc:AlternateConten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(PricewaterhouseCoopers LLP,</w:t>
      </w:r>
    </w:p>
    <w:p>
      <w:pPr>
        <w:ind w:left="20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PCAOB ID:238)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65</w:t>
      </w:r>
    </w:p>
    <w:p>
      <w:pPr>
        <w:spacing w:after="0" w:line="31" w:lineRule="exact"/>
        <w:rPr>
          <w:sz w:val="20"/>
          <w:szCs w:val="20"/>
          <w:color w:val="auto"/>
        </w:rPr>
      </w:pPr>
    </w:p>
    <w:p>
      <w:pPr>
        <w:spacing w:after="0"/>
        <w:tabs>
          <w:tab w:leader="none" w:pos="8760" w:val="left"/>
        </w:tabs>
        <w:rPr>
          <w:sz w:val="20"/>
          <w:szCs w:val="20"/>
          <w:color w:val="auto"/>
        </w:rPr>
      </w:pPr>
      <w:r>
        <w:rPr>
          <w:rFonts w:ascii="Times New Roman" w:cs="Times New Roman" w:eastAsia="Times New Roman" w:hAnsi="Times New Roman"/>
          <w:sz w:val="20"/>
          <w:szCs w:val="20"/>
          <w:color w:val="auto"/>
        </w:rPr>
        <w:t>Consolidated Balance Sheets . . . . . . . . . . . . . . . . . . . . . . . . . . . . . . . . . . . . . . . . . . . . . . . . . . . . . . . . . . .</w:t>
      </w:r>
      <w:r>
        <w:rPr>
          <w:sz w:val="20"/>
          <w:szCs w:val="20"/>
          <w:color w:val="auto"/>
        </w:rPr>
        <w:tab/>
      </w:r>
      <w:r>
        <w:rPr>
          <w:rFonts w:ascii="Times New Roman" w:cs="Times New Roman" w:eastAsia="Times New Roman" w:hAnsi="Times New Roman"/>
          <w:sz w:val="20"/>
          <w:szCs w:val="20"/>
          <w:color w:val="auto"/>
        </w:rPr>
        <w:t>68</w:t>
      </w:r>
    </w:p>
    <w:p>
      <w:pPr>
        <w:spacing w:after="0" w:line="30" w:lineRule="exact"/>
        <w:rPr>
          <w:sz w:val="20"/>
          <w:szCs w:val="20"/>
          <w:color w:val="auto"/>
        </w:rPr>
      </w:pPr>
    </w:p>
    <w:p>
      <w:pPr>
        <w:spacing w:after="0"/>
        <w:tabs>
          <w:tab w:leader="none" w:pos="8760" w:val="left"/>
        </w:tabs>
        <w:rPr>
          <w:sz w:val="20"/>
          <w:szCs w:val="20"/>
          <w:color w:val="auto"/>
        </w:rPr>
      </w:pPr>
      <w:r>
        <w:rPr>
          <w:rFonts w:ascii="Times New Roman" w:cs="Times New Roman" w:eastAsia="Times New Roman" w:hAnsi="Times New Roman"/>
          <w:sz w:val="20"/>
          <w:szCs w:val="20"/>
          <w:color w:val="auto"/>
        </w:rPr>
        <w:t>Consolidated Statements of Operations and Comprehensive Loss . . . . . . . . . . . . . . . . . . . . . . . . . . . . . . .</w:t>
      </w:r>
      <w:r>
        <w:rPr>
          <w:sz w:val="20"/>
          <w:szCs w:val="20"/>
          <w:color w:val="auto"/>
        </w:rPr>
        <w:tab/>
      </w:r>
      <w:r>
        <w:rPr>
          <w:rFonts w:ascii="Times New Roman" w:cs="Times New Roman" w:eastAsia="Times New Roman" w:hAnsi="Times New Roman"/>
          <w:sz w:val="20"/>
          <w:szCs w:val="20"/>
          <w:color w:val="auto"/>
        </w:rPr>
        <w:t>69</w:t>
      </w:r>
    </w:p>
    <w:p>
      <w:pPr>
        <w:spacing w:after="0" w:line="30" w:lineRule="exact"/>
        <w:rPr>
          <w:sz w:val="20"/>
          <w:szCs w:val="20"/>
          <w:color w:val="auto"/>
        </w:rPr>
      </w:pPr>
    </w:p>
    <w:p>
      <w:pPr>
        <w:spacing w:after="0"/>
        <w:tabs>
          <w:tab w:leader="none" w:pos="8760" w:val="left"/>
        </w:tabs>
        <w:rPr>
          <w:sz w:val="20"/>
          <w:szCs w:val="20"/>
          <w:color w:val="auto"/>
        </w:rPr>
      </w:pPr>
      <w:r>
        <w:rPr>
          <w:rFonts w:ascii="Times New Roman" w:cs="Times New Roman" w:eastAsia="Times New Roman" w:hAnsi="Times New Roman"/>
          <w:sz w:val="20"/>
          <w:szCs w:val="20"/>
          <w:color w:val="auto"/>
        </w:rPr>
        <w:t>Consolidated Statements of Redeemable Convertible Preferred Stock and Stockholders’ Equity (Deficit) . .</w:t>
      </w:r>
      <w:r>
        <w:rPr>
          <w:sz w:val="20"/>
          <w:szCs w:val="20"/>
          <w:color w:val="auto"/>
        </w:rPr>
        <w:tab/>
      </w:r>
      <w:r>
        <w:rPr>
          <w:rFonts w:ascii="Times New Roman" w:cs="Times New Roman" w:eastAsia="Times New Roman" w:hAnsi="Times New Roman"/>
          <w:sz w:val="20"/>
          <w:szCs w:val="20"/>
          <w:color w:val="auto"/>
        </w:rPr>
        <w:t>70</w:t>
      </w:r>
    </w:p>
    <w:p>
      <w:pPr>
        <w:spacing w:after="0" w:line="30" w:lineRule="exact"/>
        <w:rPr>
          <w:sz w:val="20"/>
          <w:szCs w:val="20"/>
          <w:color w:val="auto"/>
        </w:rPr>
      </w:pPr>
    </w:p>
    <w:p>
      <w:pPr>
        <w:spacing w:after="0"/>
        <w:tabs>
          <w:tab w:leader="none" w:pos="8760" w:val="left"/>
        </w:tabs>
        <w:rPr>
          <w:sz w:val="20"/>
          <w:szCs w:val="20"/>
          <w:color w:val="auto"/>
        </w:rPr>
      </w:pPr>
      <w:r>
        <w:rPr>
          <w:rFonts w:ascii="Times New Roman" w:cs="Times New Roman" w:eastAsia="Times New Roman" w:hAnsi="Times New Roman"/>
          <w:sz w:val="20"/>
          <w:szCs w:val="20"/>
          <w:color w:val="auto"/>
        </w:rPr>
        <w:t>Consolidated Statements of Cash Flows . . . . . . . . . . . . . . . . . . . . . . . . . . . . . . . . . . . . . . . . . . . . . . . . . . .</w:t>
      </w:r>
      <w:r>
        <w:rPr>
          <w:sz w:val="20"/>
          <w:szCs w:val="20"/>
          <w:color w:val="auto"/>
        </w:rPr>
        <w:tab/>
      </w:r>
      <w:r>
        <w:rPr>
          <w:rFonts w:ascii="Times New Roman" w:cs="Times New Roman" w:eastAsia="Times New Roman" w:hAnsi="Times New Roman"/>
          <w:sz w:val="20"/>
          <w:szCs w:val="20"/>
          <w:color w:val="auto"/>
        </w:rPr>
        <w:t>72</w:t>
      </w:r>
    </w:p>
    <w:p>
      <w:pPr>
        <w:spacing w:after="0" w:line="30" w:lineRule="exact"/>
        <w:rPr>
          <w:sz w:val="20"/>
          <w:szCs w:val="20"/>
          <w:color w:val="auto"/>
        </w:rPr>
      </w:pPr>
    </w:p>
    <w:p>
      <w:pPr>
        <w:spacing w:after="0"/>
        <w:tabs>
          <w:tab w:leader="none" w:pos="8760" w:val="left"/>
        </w:tabs>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 .</w:t>
      </w:r>
      <w:r>
        <w:rPr>
          <w:sz w:val="20"/>
          <w:szCs w:val="20"/>
          <w:color w:val="auto"/>
        </w:rPr>
        <w:tab/>
      </w: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941" w:right="1440" w:bottom="348" w:gutter="0" w:footer="0" w:header="0"/>
          <w:type w:val="continuous"/>
        </w:sectPr>
      </w:pPr>
    </w:p>
    <w:bookmarkStart w:id="68" w:name="page69"/>
    <w:bookmarkEnd w:id="68"/>
    <w:p>
      <w:pPr>
        <w:ind w:left="2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SoundHound AI,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SoundHound AI, Inc. and its subsidiaries (the “Company”) as of December 31, 2025 and 2024, and the related consolidated statements of operations and comprehensive loss, of redeemable convertible preferred stock and stockholders’ equity (deficit)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70"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did not maintain, in all material respects, effective internal control over financial reporting as of December 31, 2025, based on criteria established in Internal Control — Integrated Framework (2013) issued by the COSO because material weaknesses in internal control over financial reporting existed as of that date as the Company did not (i) maintain an effective control environment as it lacked sufficient oversight of activities related to internal control over financial reporting due to a lack of an appropriate level of experience and training commensurate with the Company’s financial reporting requirements,</w:t>
      </w:r>
    </w:p>
    <w:p>
      <w:pPr>
        <w:spacing w:after="0" w:line="5" w:lineRule="exact"/>
        <w:rPr>
          <w:sz w:val="20"/>
          <w:szCs w:val="20"/>
          <w:color w:val="auto"/>
        </w:rPr>
      </w:pPr>
    </w:p>
    <w:p>
      <w:pPr>
        <w:jc w:val="both"/>
        <w:spacing w:after="0" w:line="263" w:lineRule="auto"/>
        <w:tabs>
          <w:tab w:leader="none" w:pos="313"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 and maintain effective controls to respond to changes to the risks of material misstatement to financial reporting, which resulted in the Company not designing and maintaining effective controls related to substantially all accounts and disclosures, (iii) design and maintain effective controls related to the identification of and accounting for certain non-routine, unusual or complex transactions, including accounting for complex financing transactions, and</w:t>
      </w:r>
    </w:p>
    <w:p>
      <w:pPr>
        <w:spacing w:after="0" w:line="2" w:lineRule="exact"/>
        <w:rPr>
          <w:rFonts w:ascii="Times New Roman" w:cs="Times New Roman" w:eastAsia="Times New Roman" w:hAnsi="Times New Roman"/>
          <w:sz w:val="19"/>
          <w:szCs w:val="19"/>
          <w:color w:val="auto"/>
        </w:rPr>
      </w:pPr>
    </w:p>
    <w:p>
      <w:pPr>
        <w:spacing w:after="0" w:line="243" w:lineRule="auto"/>
        <w:tabs>
          <w:tab w:leader="none" w:pos="32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and maintain effective controls to verify appropriate segregation of duties, identification of instances where incompatible duties were assigned to an individual, and addressing conflicts on a timely basis.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2025 consolidated financial statements, and our opinion regarding the effectiveness of the Company’s internal control over financial reporting does not affect our opinion on those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9"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w:t>
      </w:r>
    </w:p>
    <w:p>
      <w:pPr>
        <w:sectPr>
          <w:pgSz w:w="12240" w:h="15840" w:orient="portrait"/>
          <w:cols w:equalWidth="0" w:num="1">
            <w:col w:w="9360"/>
          </w:cols>
          <w:pgMar w:left="1440" w:top="941" w:right="1440" w:bottom="348"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941" w:right="1440" w:bottom="348" w:gutter="0" w:footer="0" w:header="0"/>
          <w:type w:val="continuous"/>
        </w:sectPr>
      </w:pPr>
    </w:p>
    <w:bookmarkStart w:id="69" w:name="page70"/>
    <w:bookmarkEnd w:id="69"/>
    <w:p>
      <w:pPr>
        <w:jc w:val="both"/>
        <w:spacing w:after="0" w:line="249" w:lineRule="auto"/>
        <w:rPr>
          <w:sz w:val="20"/>
          <w:szCs w:val="20"/>
          <w:color w:val="auto"/>
        </w:rPr>
      </w:pPr>
      <w:r>
        <w:rPr>
          <w:rFonts w:ascii="Times New Roman" w:cs="Times New Roman" w:eastAsia="Times New Roman" w:hAnsi="Times New Roman"/>
          <w:sz w:val="20"/>
          <w:szCs w:val="20"/>
          <w:color w:val="auto"/>
        </w:rPr>
        <w:t>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0"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As described in Management’s Report on Internal Control over Financial Reporting, management has excluded Interactions Corporation from its assessment of internal control over financial reporting as of December 31, 2025 because it was acquired by the Company in a purchase business combination during 2025. We have also excluded Interactions Corporation from our audit of internal control over financial reporting. Interactions Corporation is a wholly-owned subsidiary whose total assets and total revenues excluded from management’s assessment and our audit of internal control over financial reporting represent approximately 5% and 14%, respectively, of the related consolidated financial statement amounts as of and for the year ended December 31,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described in Notes 2 and 4 to the consolidated financial statements, the Company derives its revenue primarily from the following performance obligations: (1) hosted services, (2) professional services, (3) monetization and (4) licensing. Contracts are accounted for by management when the parties have approved and committed to the contract, the rights of the parties and payment terms are identifiable, the contract has commercial substance and collectability of consideration is probable. Revenues are generally recognized upon the transfer of control of promised products or services provided to customers, reflecting the amount of consideration the Company expects to receive for those products or services. Management applies significant judgment in identifying and evaluating terms and conditions in contracts which impact revenue recognition. The Company’s consolidated revenues for the year ended December 31, 2025 were $168.9 million.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948" w:right="1440" w:bottom="348" w:gutter="0" w:footer="0" w:header="0"/>
          <w:type w:val="continuous"/>
        </w:sectPr>
      </w:pPr>
    </w:p>
    <w:bookmarkStart w:id="70" w:name="page71"/>
    <w:bookmarkEnd w:id="70"/>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revenue recognition is a critical audit matter are (i) the significant judgment by management in identifying and evaluating terms and conditions in contracts with customers which impact revenue recognition and (ii) a high degree of auditor judgment, subjectivity and effort in performing procedures and evaluating audit evidence relating to revenue recognition. As described in the “Opinions on the Financial Statements and Internal Control over Financial Reporting” section, material weaknesses were identified related to this matter.</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among others, (i) evaluating and determining the nature and extent of audit procedures performed and evidence obtained that are responsive to the material weaknesses identified; (ii) obtaining an understanding of management’s process for identifying and evaluating terms and conditions in contracts, including evaluating management’s determination of the impact of those terms and conditions on revenue recognition; (iii) testing, on a sample basis, (a) the completeness and accuracy of management’s identification and evaluation of terms and conditions by examining contracts and (b) revenue transactions by obtaining and inspecting source documents, such as contracts, purchase orders, invoices, proof of delivery, and subsequent cash receipts; (iv) testing, on a sample basis, the timing of recognition of revenue transactions; and (v) testing, on a sample basis, the determination of the standalone selling price of performance obligations and testing the completeness and accuracy of the underlying data used by management in determining standalone selling price of performance obligations.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948" w:right="1440" w:bottom="348"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0"/>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4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248,490</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 of $2,254 and $726 as of December 31, 2025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400"/>
              <w:spacing w:after="0" w:line="200" w:lineRule="exact"/>
              <w:rPr>
                <w:sz w:val="20"/>
                <w:szCs w:val="20"/>
                <w:color w:val="auto"/>
              </w:rPr>
            </w:pPr>
            <w:r>
              <w:rPr>
                <w:rFonts w:ascii="Times New Roman" w:cs="Times New Roman" w:eastAsia="Times New Roman" w:hAnsi="Times New Roman"/>
                <w:sz w:val="18"/>
                <w:szCs w:val="18"/>
                <w:color w:val="auto"/>
              </w:rPr>
              <w:t>and 2024, respectively . . . . . . . . . . . . . . . . . . . . . . . . . . . . . . . . . . . . . . . . . . . . . . . .</w:t>
            </w:r>
          </w:p>
        </w:tc>
        <w:tc>
          <w:tcPr>
            <w:tcW w:w="100" w:type="dxa"/>
            <w:vAlign w:val="bottom"/>
          </w:tcPr>
          <w:p>
            <w:pPr>
              <w:spacing w:after="0"/>
              <w:rPr>
                <w:sz w:val="17"/>
                <w:szCs w:val="17"/>
                <w:color w:val="auto"/>
              </w:rPr>
            </w:pP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32,336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23,159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assets and unbilled revenue, net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 . . . . . . . . . . . . . . . . . . . . . . . . . . . . . . . . . . . . . . . . . . . . . . . . . . . .</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rPr>
              <w:t>Total current assets . . . . . . . . . . . . . . . . . . . . . . . . . . . . . . . . . . . . . . . . . . . . . . . . . . .</w:t>
            </w: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329,129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255,520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 non-current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 . . . . . .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Goodwill . . . . . . . . . . . . . . .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 . . . . .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 . . . . . . .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and unbilled revenue, non-current, net . . . . . . . . . . . . . . . . . . . . . . . . . . .</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12,879</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 . . . . . . . . . . . . . . . . . . . . . . . . . . . . . . . . . . . . . . . . . . . . . . . . . .</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400"/>
              <w:spacing w:after="0" w:line="201" w:lineRule="exact"/>
              <w:rPr>
                <w:sz w:val="20"/>
                <w:szCs w:val="20"/>
                <w:color w:val="auto"/>
              </w:rPr>
            </w:pPr>
            <w:r>
              <w:rPr>
                <w:rFonts w:ascii="Times New Roman" w:cs="Times New Roman" w:eastAsia="Times New Roman" w:hAnsi="Times New Roman"/>
                <w:sz w:val="18"/>
                <w:szCs w:val="18"/>
                <w:color w:val="auto"/>
              </w:rPr>
              <w:t>Total assets . . . . . . . . . . . . . . . . . . . . . . . . . . . . . . . . . . . . . . . . . . . . . . . . . . . . . . . . .</w:t>
            </w:r>
          </w:p>
        </w:tc>
        <w:tc>
          <w:tcPr>
            <w:tcW w:w="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688,173</w:t>
            </w:r>
          </w:p>
        </w:tc>
        <w:tc>
          <w:tcPr>
            <w:tcW w:w="120" w:type="dxa"/>
            <w:vAlign w:val="bottom"/>
          </w:tcPr>
          <w:p>
            <w:pPr>
              <w:spacing w:after="0"/>
              <w:rPr>
                <w:sz w:val="17"/>
                <w:szCs w:val="17"/>
                <w:color w:val="auto"/>
              </w:rPr>
            </w:pPr>
          </w:p>
        </w:tc>
        <w:tc>
          <w:tcPr>
            <w:tcW w:w="1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553,953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 . . . . . .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liabilities . .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liability . . . . .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 . . . . .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acquisition liabilities (Note 12)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 . . . . . . . . . . . . . . . . . . . . . . . . . . . . . . . . . . . . . . . . . . . . . . . . . .</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400"/>
              <w:spacing w:after="0" w:line="201" w:lineRule="exact"/>
              <w:rPr>
                <w:sz w:val="20"/>
                <w:szCs w:val="20"/>
                <w:color w:val="auto"/>
              </w:rPr>
            </w:pPr>
            <w:r>
              <w:rPr>
                <w:rFonts w:ascii="Times New Roman" w:cs="Times New Roman" w:eastAsia="Times New Roman" w:hAnsi="Times New Roman"/>
                <w:sz w:val="18"/>
                <w:szCs w:val="18"/>
                <w:color w:val="auto"/>
              </w:rPr>
              <w:t>Total current liabilities . . . . . . . . . . . . . . . . . . . . . . . . . . . . . . . . . . . . . . . . . . . . . . . .</w:t>
            </w:r>
          </w:p>
        </w:tc>
        <w:tc>
          <w:tcPr>
            <w:tcW w:w="100" w:type="dxa"/>
            <w:vAlign w:val="bottom"/>
          </w:tcPr>
          <w:p>
            <w:pPr>
              <w:spacing w:after="0"/>
              <w:rPr>
                <w:sz w:val="17"/>
                <w:szCs w:val="17"/>
                <w:color w:val="auto"/>
              </w:rPr>
            </w:pPr>
          </w:p>
        </w:tc>
        <w:tc>
          <w:tcPr>
            <w:tcW w:w="1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71,739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67,742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 . . . . . . . . . . . . . . . . . . . . . . . . . . . . . . . .</w:t>
            </w:r>
          </w:p>
        </w:tc>
        <w:tc>
          <w:tcPr>
            <w:tcW w:w="1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Contingent acquisition liabilities, net of current portion (Note 12) . . . . . . . . . . . . . . . . . .</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129,227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286,898</w:t>
            </w: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liability, net of current portion . . . . . . . . . . . . . . . . . . . . . . . . . . . . . . . . . . . . .</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 . . . . . .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 . . . . . . . . . . . . . . . . . . . . . . . . . . . . . . . . . . . . . . . . . . . . . . .</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400"/>
              <w:spacing w:after="0" w:line="201" w:lineRule="exact"/>
              <w:rPr>
                <w:sz w:val="20"/>
                <w:szCs w:val="20"/>
                <w:color w:val="auto"/>
              </w:rPr>
            </w:pPr>
            <w:r>
              <w:rPr>
                <w:rFonts w:ascii="Times New Roman" w:cs="Times New Roman" w:eastAsia="Times New Roman" w:hAnsi="Times New Roman"/>
                <w:sz w:val="18"/>
                <w:szCs w:val="18"/>
                <w:color w:val="auto"/>
              </w:rPr>
              <w:t>Total liabilities . . . . . . . . . . . . . . . . . . . . . . . . . . . . . . . . . . . . . . . . . . . . . . . . . . . . . .</w:t>
            </w:r>
          </w:p>
        </w:tc>
        <w:tc>
          <w:tcPr>
            <w:tcW w:w="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224,387</w:t>
            </w:r>
          </w:p>
        </w:tc>
        <w:tc>
          <w:tcPr>
            <w:tcW w:w="120" w:type="dxa"/>
            <w:vAlign w:val="bottom"/>
          </w:tcPr>
          <w:p>
            <w:pPr>
              <w:spacing w:after="0"/>
              <w:rPr>
                <w:sz w:val="17"/>
                <w:szCs w:val="17"/>
                <w:color w:val="auto"/>
              </w:rPr>
            </w:pPr>
          </w:p>
        </w:tc>
        <w:tc>
          <w:tcPr>
            <w:tcW w:w="1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371,300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Series A Preferred Stock, $0.0001 par value; 1,000,000 shares authorized; 0 and</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400"/>
              <w:spacing w:after="0" w:line="200" w:lineRule="exact"/>
              <w:rPr>
                <w:sz w:val="20"/>
                <w:szCs w:val="20"/>
                <w:color w:val="auto"/>
              </w:rPr>
            </w:pPr>
            <w:r>
              <w:rPr>
                <w:rFonts w:ascii="Times New Roman" w:cs="Times New Roman" w:eastAsia="Times New Roman" w:hAnsi="Times New Roman"/>
                <w:sz w:val="18"/>
                <w:szCs w:val="18"/>
                <w:color w:val="auto"/>
              </w:rPr>
              <w:t>0 shares issued and outstanding, aggregate liquidation preference of $— and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400"/>
              <w:spacing w:after="0" w:line="200" w:lineRule="exact"/>
              <w:rPr>
                <w:sz w:val="20"/>
                <w:szCs w:val="20"/>
                <w:color w:val="auto"/>
              </w:rPr>
            </w:pPr>
            <w:r>
              <w:rPr>
                <w:rFonts w:ascii="Times New Roman" w:cs="Times New Roman" w:eastAsia="Times New Roman" w:hAnsi="Times New Roman"/>
                <w:sz w:val="18"/>
                <w:szCs w:val="18"/>
                <w:color w:val="auto"/>
              </w:rPr>
              <w:t>$— as of December 31, 2025 and 2024, respectively . . . . . . . . . . . . . . . . . . . . . . . .</w:t>
            </w:r>
          </w:p>
        </w:tc>
        <w:tc>
          <w:tcPr>
            <w:tcW w:w="100" w:type="dxa"/>
            <w:vAlign w:val="bottom"/>
          </w:tcPr>
          <w:p>
            <w:pPr>
              <w:spacing w:after="0"/>
              <w:rPr>
                <w:sz w:val="17"/>
                <w:szCs w:val="17"/>
                <w:color w:val="auto"/>
              </w:rPr>
            </w:pPr>
          </w:p>
        </w:tc>
        <w:tc>
          <w:tcPr>
            <w:tcW w:w="1280" w:type="dxa"/>
            <w:vAlign w:val="bottom"/>
            <w:gridSpan w:val="2"/>
          </w:tcPr>
          <w:p>
            <w:pPr>
              <w:jc w:val="right"/>
              <w:ind w:right="120"/>
              <w:spacing w:after="0" w:line="20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A Common Stock, $0.0001 par value; 755,000,000 and 455,000,000 shares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400"/>
              <w:spacing w:after="0" w:line="200" w:lineRule="exact"/>
              <w:rPr>
                <w:sz w:val="20"/>
                <w:szCs w:val="20"/>
                <w:color w:val="auto"/>
              </w:rPr>
            </w:pPr>
            <w:r>
              <w:rPr>
                <w:rFonts w:ascii="Times New Roman" w:cs="Times New Roman" w:eastAsia="Times New Roman" w:hAnsi="Times New Roman"/>
                <w:sz w:val="18"/>
                <w:szCs w:val="18"/>
                <w:color w:val="auto"/>
              </w:rPr>
              <w:t>authorized; 390,070,691 and 361,096,457 shares issued and outstanding as of</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400"/>
              <w:spacing w:after="0" w:line="200" w:lineRule="exact"/>
              <w:rPr>
                <w:sz w:val="20"/>
                <w:szCs w:val="20"/>
                <w:color w:val="auto"/>
              </w:rPr>
            </w:pPr>
            <w:r>
              <w:rPr>
                <w:rFonts w:ascii="Times New Roman" w:cs="Times New Roman" w:eastAsia="Times New Roman" w:hAnsi="Times New Roman"/>
                <w:sz w:val="18"/>
                <w:szCs w:val="18"/>
                <w:color w:val="auto"/>
              </w:rPr>
              <w:t>December 31, 2025 and 2024, respectively . . . . . . . . . . . . . . . . . . . . . . . . . . . . . . . .</w:t>
            </w:r>
          </w:p>
        </w:tc>
        <w:tc>
          <w:tcPr>
            <w:tcW w:w="100" w:type="dxa"/>
            <w:vAlign w:val="bottom"/>
          </w:tcPr>
          <w:p>
            <w:pPr>
              <w:spacing w:after="0"/>
              <w:rPr>
                <w:sz w:val="17"/>
                <w:szCs w:val="17"/>
                <w:color w:val="auto"/>
              </w:rPr>
            </w:pPr>
          </w:p>
        </w:tc>
        <w:tc>
          <w:tcPr>
            <w:tcW w:w="1280" w:type="dxa"/>
            <w:vAlign w:val="bottom"/>
            <w:gridSpan w:val="2"/>
          </w:tcPr>
          <w:p>
            <w:pPr>
              <w:jc w:val="right"/>
              <w:ind w:right="120"/>
              <w:spacing w:after="0" w:line="200" w:lineRule="exact"/>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 $0.0001 par value; 44,000,000 shares authorized as of</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400"/>
              <w:spacing w:after="0" w:line="200" w:lineRule="exact"/>
              <w:rPr>
                <w:sz w:val="20"/>
                <w:szCs w:val="20"/>
                <w:color w:val="auto"/>
              </w:rPr>
            </w:pPr>
            <w:r>
              <w:rPr>
                <w:rFonts w:ascii="Times New Roman" w:cs="Times New Roman" w:eastAsia="Times New Roman" w:hAnsi="Times New Roman"/>
                <w:sz w:val="18"/>
                <w:szCs w:val="18"/>
                <w:color w:val="auto"/>
              </w:rPr>
              <w:t>December 31, 2025 and 2024; 32,535,408 and 32,535,408 shares issued and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40" w:type="dxa"/>
            <w:vAlign w:val="bottom"/>
          </w:tcPr>
          <w:p>
            <w:pPr>
              <w:ind w:left="400"/>
              <w:spacing w:after="0" w:line="200" w:lineRule="exact"/>
              <w:rPr>
                <w:sz w:val="20"/>
                <w:szCs w:val="20"/>
                <w:color w:val="auto"/>
              </w:rPr>
            </w:pPr>
            <w:r>
              <w:rPr>
                <w:rFonts w:ascii="Times New Roman" w:cs="Times New Roman" w:eastAsia="Times New Roman" w:hAnsi="Times New Roman"/>
                <w:sz w:val="18"/>
                <w:szCs w:val="18"/>
                <w:color w:val="auto"/>
              </w:rPr>
              <w:t>outstanding as of December 31, 2025 and 2024, respectively . . . . . . . . . . . . . . . . . .</w:t>
            </w:r>
          </w:p>
        </w:tc>
        <w:tc>
          <w:tcPr>
            <w:tcW w:w="100" w:type="dxa"/>
            <w:vAlign w:val="bottom"/>
          </w:tcPr>
          <w:p>
            <w:pPr>
              <w:spacing w:after="0"/>
              <w:rPr>
                <w:sz w:val="17"/>
                <w:szCs w:val="17"/>
                <w:color w:val="auto"/>
              </w:rPr>
            </w:pPr>
          </w:p>
        </w:tc>
        <w:tc>
          <w:tcPr>
            <w:tcW w:w="1280" w:type="dxa"/>
            <w:vAlign w:val="bottom"/>
            <w:gridSpan w:val="2"/>
          </w:tcPr>
          <w:p>
            <w:pPr>
              <w:jc w:val="right"/>
              <w:ind w:right="120"/>
              <w:spacing w:after="0" w:line="200"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 . . . . . . . . . . . . . . . . . . . . . . . . . . . . . . . . . . . . . . . . . . . . . . .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1,420,672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 . . . . . . . . . . . . . . . . . . . . . . . . . . . . . . . . . . . . . . . . . . . . . . . . . . . .</w:t>
            </w: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(957,066)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(943,060)</w:t>
            </w:r>
          </w:p>
        </w:tc>
        <w:tc>
          <w:tcPr>
            <w:tcW w:w="0" w:type="dxa"/>
            <w:vAlign w:val="bottom"/>
          </w:tcPr>
          <w:p>
            <w:pPr>
              <w:spacing w:after="0"/>
              <w:rPr>
                <w:sz w:val="1"/>
                <w:szCs w:val="1"/>
                <w:color w:val="auto"/>
              </w:rPr>
            </w:pPr>
          </w:p>
        </w:tc>
      </w:tr>
      <w:tr>
        <w:trPr>
          <w:trHeight w:val="230"/>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 . . . . . . . . . . . . . . . . . . . . . . . . . . . . . . . . .</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54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rPr>
              <w:t>Total stockholders’ equity . . . . . . . . . . . . . . . . . . . . . . . . . . . . . . . . . . . . . . . . . . . . .</w:t>
            </w:r>
          </w:p>
        </w:tc>
        <w:tc>
          <w:tcPr>
            <w:tcW w:w="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463,786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182,653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4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rPr>
              <w:t>Total liabilities and stockholders’ equity . . . . . . . . . . . . . . . . . . . . . . . . . . . . . . . . . .</w:t>
            </w: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688,173</w:t>
            </w:r>
          </w:p>
        </w:tc>
        <w:tc>
          <w:tcPr>
            <w:tcW w:w="12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553,953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941" w:right="1440" w:bottom="348"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941" w:right="1440" w:bottom="348"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Revenues . . . .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168,920</w:t>
            </w:r>
          </w:p>
        </w:tc>
        <w:tc>
          <w:tcPr>
            <w:tcW w:w="12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84,693</w:t>
            </w:r>
          </w:p>
        </w:tc>
        <w:tc>
          <w:tcPr>
            <w:tcW w:w="12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Cost of revenues . . . . . . . . . . . . . . . . . . . . . . . . . . . . . . . . . .</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97,369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43,309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Sales and marketing . . . . . . . . . . . . . . . . . . . . . . . . . . . . . . .</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61,640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29,126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18,893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Research and development . . . . . . . . . . . . . . . . . . . . . . . . . .</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98,250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70,555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51,439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General and administrative . . . . . . . . . . . . . . . . . . . . . . . . . .</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82,188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28,285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Change in fair value of contingent acquisition liabilities . . .</w:t>
            </w:r>
          </w:p>
        </w:tc>
        <w:tc>
          <w:tcPr>
            <w:tcW w:w="18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(163,127)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222,670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1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Amortization of intangible assets . . . . . . . . . . . . . . . . . . . . .</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Restructuring . . . . . . . . . . . . . . . . . . . . . . . . . . . . . . . . . . . . .</w:t>
            </w: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operating expenses . . . . . . . . . . . . . . . . . . . . . . . . . .</w:t>
            </w: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192,192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426,046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114,481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Loss from operations . . . . . . . . . . . . . . . . . . . . . . . . . . . . . . . . .</w:t>
            </w: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(23,272)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(341,353)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(68,608)</w:t>
            </w:r>
          </w:p>
        </w:tc>
        <w:tc>
          <w:tcPr>
            <w:tcW w:w="0" w:type="dxa"/>
            <w:vAlign w:val="bottom"/>
          </w:tcPr>
          <w:p>
            <w:pPr>
              <w:spacing w:after="0"/>
              <w:rPr>
                <w:sz w:val="1"/>
                <w:szCs w:val="1"/>
                <w:color w:val="auto"/>
              </w:rPr>
            </w:pPr>
          </w:p>
        </w:tc>
      </w:tr>
      <w:tr>
        <w:trPr>
          <w:trHeight w:val="38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Loss on early extinguishment of debt . . . . . . . . . . . . . . . . . .</w:t>
            </w: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(15,629)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Interest expense . . . . . . . . . . . . . . . . . . . . . . . . . . . . . . . . . . .</w:t>
            </w:r>
          </w:p>
        </w:tc>
        <w:tc>
          <w:tcPr>
            <w:tcW w:w="18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(670)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(12,168)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(16,733)</w:t>
            </w:r>
          </w:p>
        </w:tc>
        <w:tc>
          <w:tcPr>
            <w:tcW w:w="0" w:type="dxa"/>
            <w:vAlign w:val="bottom"/>
          </w:tcPr>
          <w:p>
            <w:pPr>
              <w:spacing w:after="0"/>
              <w:rPr>
                <w:sz w:val="1"/>
                <w:szCs w:val="1"/>
                <w:color w:val="auto"/>
              </w:rPr>
            </w:pP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Other income, net . . . . . . . . . . . . . . . . . . . . . . . . . . . . . . . . .</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14,668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9,222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other income (expense), net . . . . . . . . . . . . . . . . . . .</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(18,575)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(16,415)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Loss before provision (benefit) for income taxes . . . . . . . . . . .</w:t>
            </w: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(9,274)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(359,928)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(85,023)</w:t>
            </w:r>
          </w:p>
        </w:tc>
        <w:tc>
          <w:tcPr>
            <w:tcW w:w="0" w:type="dxa"/>
            <w:vAlign w:val="bottom"/>
          </w:tcPr>
          <w:p>
            <w:pPr>
              <w:spacing w:after="0"/>
              <w:rPr>
                <w:sz w:val="1"/>
                <w:szCs w:val="1"/>
                <w:color w:val="auto"/>
              </w:rPr>
            </w:pP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Provision (benefit) for income taxes . . . . . . . . . . . . . . . . . . . . .</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(9,247)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Net loss . . . . . . . . . . . . . . . . . . . . . . . . . . . . . . . . . . . . . . . . . . .</w:t>
            </w: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(14,006)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(350,681)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(88,937)</w:t>
            </w:r>
          </w:p>
        </w:tc>
        <w:tc>
          <w:tcPr>
            <w:tcW w:w="0" w:type="dxa"/>
            <w:vAlign w:val="bottom"/>
          </w:tcPr>
          <w:p>
            <w:pPr>
              <w:spacing w:after="0"/>
              <w:rPr>
                <w:sz w:val="1"/>
                <w:szCs w:val="1"/>
                <w:color w:val="auto"/>
              </w:rPr>
            </w:pPr>
          </w:p>
        </w:tc>
      </w:tr>
      <w:tr>
        <w:trPr>
          <w:trHeight w:val="257"/>
        </w:trPr>
        <w:tc>
          <w:tcPr>
            <w:tcW w:w="510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Cumulative dividends attributable to Series A Preferred</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1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Stock . . . . . . . . . . . . . . . . . . . . . . . . . . . . . . . . . . . . . . . . .</w:t>
            </w:r>
          </w:p>
        </w:tc>
        <w:tc>
          <w:tcPr>
            <w:tcW w:w="180" w:type="dxa"/>
            <w:vAlign w:val="bottom"/>
          </w:tcPr>
          <w:p>
            <w:pPr>
              <w:spacing w:after="0"/>
              <w:rPr>
                <w:sz w:val="19"/>
                <w:szCs w:val="19"/>
                <w:color w:val="auto"/>
              </w:rPr>
            </w:pP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(416)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(2,774)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Net loss attributable to SoundHound common stockholders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(14,006)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(351,097)</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(91,711)</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Unrealized gains on investments . . . . . . . . . . . . . . . . . . . . . .</w:t>
            </w:r>
          </w:p>
        </w:tc>
        <w:tc>
          <w:tcPr>
            <w:tcW w:w="18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Comprehensive loss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(14,071)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(350,675)</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(88,738)</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Basic . . . . .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(1.04)</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100" w:type="dxa"/>
            <w:vAlign w:val="bottom"/>
          </w:tcPr>
          <w:p>
            <w:pPr>
              <w:jc w:val="right"/>
              <w:ind w:right="40"/>
              <w:spacing w:after="0" w:line="199" w:lineRule="exact"/>
              <w:rPr>
                <w:sz w:val="20"/>
                <w:szCs w:val="20"/>
                <w:color w:val="auto"/>
              </w:rPr>
            </w:pPr>
            <w:r>
              <w:rPr>
                <w:rFonts w:ascii="Times New Roman" w:cs="Times New Roman" w:eastAsia="Times New Roman" w:hAnsi="Times New Roman"/>
                <w:sz w:val="20"/>
                <w:szCs w:val="20"/>
                <w:color w:val="auto"/>
              </w:rPr>
              <w:t>Diluted. . . . . . . . . . . . . . . . . . . . . . . . . . . . . . . . . . . . . . . . . .</w:t>
            </w:r>
          </w:p>
        </w:tc>
        <w:tc>
          <w:tcPr>
            <w:tcW w:w="1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60"/>
              <w:spacing w:after="0" w:line="199" w:lineRule="exact"/>
              <w:rPr>
                <w:sz w:val="20"/>
                <w:szCs w:val="20"/>
                <w:color w:val="auto"/>
              </w:rPr>
            </w:pPr>
            <w:r>
              <w:rPr>
                <w:rFonts w:ascii="Times New Roman" w:cs="Times New Roman" w:eastAsia="Times New Roman" w:hAnsi="Times New Roman"/>
                <w:sz w:val="20"/>
                <w:szCs w:val="20"/>
                <w:color w:val="auto"/>
              </w:rPr>
              <w:t>(0.28)</w:t>
            </w:r>
          </w:p>
        </w:tc>
        <w:tc>
          <w:tcPr>
            <w:tcW w:w="240" w:type="dxa"/>
            <w:vAlign w:val="bottom"/>
            <w:gridSpan w:val="2"/>
          </w:tcPr>
          <w:p>
            <w:pPr>
              <w:jc w:val="right"/>
              <w:ind w:right="80"/>
              <w:spacing w:after="0" w:line="199"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line="199" w:lineRule="exact"/>
              <w:rPr>
                <w:sz w:val="20"/>
                <w:szCs w:val="20"/>
                <w:color w:val="auto"/>
              </w:rPr>
            </w:pPr>
            <w:r>
              <w:rPr>
                <w:rFonts w:ascii="Times New Roman" w:cs="Times New Roman" w:eastAsia="Times New Roman" w:hAnsi="Times New Roman"/>
                <w:sz w:val="20"/>
                <w:szCs w:val="20"/>
                <w:color w:val="auto"/>
              </w:rPr>
              <w:t>(1.04)</w:t>
            </w:r>
          </w:p>
        </w:tc>
        <w:tc>
          <w:tcPr>
            <w:tcW w:w="280" w:type="dxa"/>
            <w:vAlign w:val="bottom"/>
            <w:gridSpan w:val="2"/>
          </w:tcPr>
          <w:p>
            <w:pPr>
              <w:jc w:val="right"/>
              <w:ind w:right="120"/>
              <w:spacing w:after="0" w:line="199"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20"/>
                <w:szCs w:val="20"/>
                <w:color w:val="auto"/>
              </w:rPr>
              <w:t>(0.40)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common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Basic . . . . . . . . . . . . . . . . . . . . . . . . . . . . . . . . . . . . . . . . . . .</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405,421,412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338,462,574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229,264,904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Diluted. . . . . . . . . . . . . . . . . . . . . . . . . . . . . . . . . . . . . . . . . .</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1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409,456,342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338,462,574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229,264,904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941" w:right="1440" w:bottom="348" w:gutter="0" w:footer="0" w:header="0"/>
          <w:type w:val="continuous"/>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70</w:t>
            </w:r>
          </w:p>
        </w:tc>
      </w:tr>
    </w:tbl>
    <w:p>
      <w:pPr>
        <w:spacing w:after="0" w:line="20" w:lineRule="exact"/>
        <w:rPr>
          <w:sz w:val="20"/>
          <w:szCs w:val="20"/>
          <w:color w:val="auto"/>
        </w:rPr>
      </w:pPr>
      <w:r>
        <w:rPr>
          <w:sz w:val="20"/>
          <w:szCs w:val="20"/>
          <w:color w:val="auto"/>
        </w:rPr>
        <w:br w:type="column"/>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STATEMENTS OF REDEEMABLE CONVERTIBLE PREFERRED STOCK AND</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STOCKHOLDERS’ EQUITY (DEFICIT)</w:t>
      </w:r>
    </w:p>
    <w:p>
      <w:pPr>
        <w:jc w:val="center"/>
        <w:ind w:right="-59"/>
        <w:spacing w:after="0" w:line="235" w:lineRule="auto"/>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tcPr>
          <w:p>
            <w:pPr>
              <w:spacing w:after="0"/>
              <w:rPr>
                <w:sz w:val="15"/>
                <w:szCs w:val="15"/>
                <w:color w:val="auto"/>
              </w:rPr>
            </w:pPr>
          </w:p>
        </w:tc>
        <w:tc>
          <w:tcPr>
            <w:tcW w:w="182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Series A</w:t>
            </w:r>
          </w:p>
        </w:tc>
        <w:tc>
          <w:tcPr>
            <w:tcW w:w="1440" w:type="dxa"/>
            <w:vAlign w:val="bottom"/>
            <w:gridSpan w:val="3"/>
            <w:vMerge w:val="restart"/>
          </w:tcPr>
          <w:p>
            <w:pPr>
              <w:jc w:val="center"/>
              <w:ind w:left="176"/>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vMerge w:val="restart"/>
          </w:tcPr>
          <w:p>
            <w:pPr>
              <w:jc w:val="center"/>
              <w:ind w:left="156"/>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6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200" w:type="dxa"/>
            <w:vAlign w:val="bottom"/>
          </w:tcPr>
          <w:p>
            <w:pPr>
              <w:spacing w:after="0"/>
              <w:rPr>
                <w:sz w:val="12"/>
                <w:szCs w:val="12"/>
                <w:color w:val="auto"/>
              </w:rPr>
            </w:pPr>
          </w:p>
        </w:tc>
        <w:tc>
          <w:tcPr>
            <w:tcW w:w="980" w:type="dxa"/>
            <w:vAlign w:val="bottom"/>
            <w:gridSpan w:val="2"/>
          </w:tcPr>
          <w:p>
            <w:pPr>
              <w:jc w:val="center"/>
              <w:ind w:right="380"/>
              <w:spacing w:after="0" w:line="138" w:lineRule="exact"/>
              <w:rPr>
                <w:sz w:val="20"/>
                <w:szCs w:val="20"/>
                <w:color w:val="auto"/>
              </w:rPr>
            </w:pPr>
            <w:r>
              <w:rPr>
                <w:rFonts w:ascii="Times New Roman" w:cs="Times New Roman" w:eastAsia="Times New Roman" w:hAnsi="Times New Roman"/>
                <w:sz w:val="15"/>
                <w:szCs w:val="15"/>
                <w:b w:val="1"/>
                <w:bCs w:val="1"/>
                <w:color w:val="auto"/>
              </w:rPr>
              <w:t>Other</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1640" w:type="dxa"/>
            <w:vAlign w:val="bottom"/>
            <w:tcBorders>
              <w:bottom w:val="single" w:sz="8" w:color="auto"/>
            </w:tcBorders>
            <w:gridSpan w:val="3"/>
          </w:tcPr>
          <w:p>
            <w:pPr>
              <w:jc w:val="right"/>
              <w:ind w:right="235"/>
              <w:spacing w:after="0" w:line="167" w:lineRule="exact"/>
              <w:rPr>
                <w:sz w:val="20"/>
                <w:szCs w:val="20"/>
                <w:color w:val="auto"/>
              </w:rPr>
            </w:pPr>
            <w:r>
              <w:rPr>
                <w:rFonts w:ascii="Times New Roman" w:cs="Times New Roman" w:eastAsia="Times New Roman" w:hAnsi="Times New Roman"/>
                <w:sz w:val="15"/>
                <w:szCs w:val="15"/>
                <w:b w:val="1"/>
                <w:bCs w:val="1"/>
                <w:color w:val="auto"/>
              </w:rPr>
              <w:t>Preferred Stock</w:t>
            </w:r>
          </w:p>
        </w:tc>
        <w:tc>
          <w:tcPr>
            <w:tcW w:w="180" w:type="dxa"/>
            <w:vAlign w:val="bottom"/>
          </w:tcPr>
          <w:p>
            <w:pPr>
              <w:spacing w:after="0"/>
              <w:rPr>
                <w:sz w:val="15"/>
                <w:szCs w:val="15"/>
                <w:color w:val="auto"/>
              </w:rPr>
            </w:pPr>
          </w:p>
        </w:tc>
        <w:tc>
          <w:tcPr>
            <w:tcW w:w="1440" w:type="dxa"/>
            <w:vAlign w:val="bottom"/>
            <w:tcBorders>
              <w:bottom w:val="single" w:sz="8" w:color="auto"/>
            </w:tcBorders>
            <w:gridSpan w:val="3"/>
          </w:tcPr>
          <w:p>
            <w:pPr>
              <w:jc w:val="center"/>
              <w:ind w:left="176"/>
              <w:spacing w:after="0" w:line="167" w:lineRule="exact"/>
              <w:rPr>
                <w:sz w:val="20"/>
                <w:szCs w:val="20"/>
                <w:color w:val="auto"/>
              </w:rPr>
            </w:pPr>
            <w:r>
              <w:rPr>
                <w:rFonts w:ascii="Times New Roman" w:cs="Times New Roman" w:eastAsia="Times New Roman" w:hAnsi="Times New Roman"/>
                <w:sz w:val="15"/>
                <w:szCs w:val="15"/>
                <w:b w:val="1"/>
                <w:bCs w:val="1"/>
                <w:color w:val="auto"/>
                <w:w w:val="99"/>
              </w:rPr>
              <w:t>Common Stock</w:t>
            </w:r>
          </w:p>
        </w:tc>
        <w:tc>
          <w:tcPr>
            <w:tcW w:w="2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Borders>
              <w:bottom w:val="single" w:sz="8" w:color="auto"/>
            </w:tcBorders>
            <w:gridSpan w:val="3"/>
          </w:tcPr>
          <w:p>
            <w:pPr>
              <w:jc w:val="center"/>
              <w:ind w:left="156"/>
              <w:spacing w:after="0" w:line="167"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60" w:type="dxa"/>
            <w:vAlign w:val="bottom"/>
          </w:tcPr>
          <w:p>
            <w:pPr>
              <w:spacing w:after="0"/>
              <w:rPr>
                <w:sz w:val="15"/>
                <w:szCs w:val="15"/>
                <w:color w:val="auto"/>
              </w:rPr>
            </w:pPr>
          </w:p>
        </w:tc>
        <w:tc>
          <w:tcPr>
            <w:tcW w:w="8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5"/>
                <w:szCs w:val="15"/>
                <w:color w:val="auto"/>
              </w:rPr>
            </w:pPr>
          </w:p>
        </w:tc>
        <w:tc>
          <w:tcPr>
            <w:tcW w:w="8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Balances as of December 31, 2022 </w:t>
            </w:r>
            <w:r>
              <w:rPr>
                <w:rFonts w:ascii="Times New Roman" w:cs="Times New Roman" w:eastAsia="Times New Roman" w:hAnsi="Times New Roman"/>
                <w:sz w:val="17"/>
                <w:szCs w:val="17"/>
                <w:color w:val="auto"/>
              </w:rPr>
              <w:t>. . . . . . . . . . . . .</w:t>
            </w:r>
          </w:p>
        </w:tc>
        <w:tc>
          <w:tcPr>
            <w:tcW w:w="10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7"/>
                <w:szCs w:val="17"/>
                <w:color w:val="auto"/>
              </w:rPr>
              <w:t>160,297,664</w:t>
            </w:r>
          </w:p>
        </w:tc>
        <w:tc>
          <w:tcPr>
            <w:tcW w:w="360" w:type="dxa"/>
            <w:vAlign w:val="bottom"/>
          </w:tcPr>
          <w:p>
            <w:pPr>
              <w:spacing w:after="0"/>
              <w:rPr>
                <w:sz w:val="17"/>
                <w:szCs w:val="17"/>
                <w:color w:val="auto"/>
              </w:rPr>
            </w:pPr>
          </w:p>
        </w:tc>
        <w:tc>
          <w:tcPr>
            <w:tcW w:w="4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7"/>
                <w:szCs w:val="17"/>
                <w:color w:val="auto"/>
              </w:rPr>
              <w:t>16</w:t>
            </w:r>
          </w:p>
        </w:tc>
        <w:tc>
          <w:tcPr>
            <w:tcW w:w="9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7"/>
                <w:szCs w:val="17"/>
                <w:color w:val="auto"/>
              </w:rPr>
              <w:t>39,735,408</w:t>
            </w:r>
          </w:p>
        </w:tc>
        <w:tc>
          <w:tcPr>
            <w:tcW w:w="380" w:type="dxa"/>
            <w:vAlign w:val="bottom"/>
          </w:tcPr>
          <w:p>
            <w:pPr>
              <w:spacing w:after="0"/>
              <w:rPr>
                <w:sz w:val="17"/>
                <w:szCs w:val="17"/>
                <w:color w:val="auto"/>
              </w:rPr>
            </w:pPr>
          </w:p>
        </w:tc>
        <w:tc>
          <w:tcPr>
            <w:tcW w:w="4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7"/>
                <w:szCs w:val="17"/>
                <w:color w:val="auto"/>
              </w:rPr>
              <w:t>4</w:t>
            </w:r>
          </w:p>
        </w:tc>
        <w:tc>
          <w:tcPr>
            <w:tcW w:w="10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7"/>
                <w:szCs w:val="17"/>
                <w:color w:val="auto"/>
              </w:rPr>
              <w:t>466,857</w:t>
            </w:r>
          </w:p>
        </w:tc>
        <w:tc>
          <w:tcPr>
            <w:tcW w:w="200" w:type="dxa"/>
            <w:vAlign w:val="bottom"/>
          </w:tcPr>
          <w:p>
            <w:pPr>
              <w:spacing w:after="0"/>
              <w:rPr>
                <w:sz w:val="17"/>
                <w:szCs w:val="17"/>
                <w:color w:val="auto"/>
              </w:rPr>
            </w:pPr>
          </w:p>
        </w:tc>
        <w:tc>
          <w:tcPr>
            <w:tcW w:w="9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7"/>
                <w:szCs w:val="17"/>
                <w:color w:val="auto"/>
              </w:rPr>
              <w:t>(503,442)</w:t>
            </w:r>
          </w:p>
        </w:tc>
        <w:tc>
          <w:tcPr>
            <w:tcW w:w="140" w:type="dxa"/>
            <w:vAlign w:val="bottom"/>
          </w:tcPr>
          <w:p>
            <w:pPr>
              <w:spacing w:after="0"/>
              <w:rPr>
                <w:sz w:val="17"/>
                <w:szCs w:val="17"/>
                <w:color w:val="auto"/>
              </w:rPr>
            </w:pPr>
          </w:p>
        </w:tc>
        <w:tc>
          <w:tcPr>
            <w:tcW w:w="6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(36,565)</w:t>
            </w:r>
          </w:p>
        </w:tc>
        <w:tc>
          <w:tcPr>
            <w:tcW w:w="0" w:type="dxa"/>
            <w:vAlign w:val="bottom"/>
          </w:tcPr>
          <w:p>
            <w:pPr>
              <w:spacing w:after="0"/>
              <w:rPr>
                <w:sz w:val="1"/>
                <w:szCs w:val="1"/>
                <w:color w:val="auto"/>
              </w:rPr>
            </w:pPr>
          </w:p>
        </w:tc>
      </w:tr>
      <w:tr>
        <w:trPr>
          <w:trHeight w:val="227"/>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under the ELOC</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program . . . . . . . . . . . . . . . . .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25,000,000</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4</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73,762</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73,766</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ELOC program fee settled in common stock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250,000</w:t>
            </w:r>
          </w:p>
        </w:tc>
        <w:tc>
          <w:tcPr>
            <w:tcW w:w="3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915</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915</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under the Sales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Agreement, net of issuance costs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5,805,995</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12,411</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12,412</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Series A Preferred Stock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835,011</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24,942</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24,942</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shares upon</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conversion of Class B common shares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2,250,000</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20"/>
              <w:spacing w:after="0" w:line="190" w:lineRule="exact"/>
              <w:rPr>
                <w:sz w:val="20"/>
                <w:szCs w:val="20"/>
                <w:color w:val="auto"/>
              </w:rPr>
            </w:pPr>
            <w:r>
              <w:rPr>
                <w:rFonts w:ascii="Times New Roman" w:cs="Times New Roman" w:eastAsia="Times New Roman" w:hAnsi="Times New Roman"/>
                <w:sz w:val="17"/>
                <w:szCs w:val="17"/>
                <w:color w:val="auto"/>
              </w:rPr>
              <w:t>(2,250,000)</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shares upon</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conversion of Series A Preferred Stock . . . . . . . .</w:t>
            </w:r>
          </w:p>
        </w:tc>
        <w:tc>
          <w:tcPr>
            <w:tcW w:w="1020" w:type="dxa"/>
            <w:vAlign w:val="bottom"/>
            <w:gridSpan w:val="2"/>
          </w:tcPr>
          <w:p>
            <w:pPr>
              <w:jc w:val="right"/>
              <w:ind w:right="120"/>
              <w:spacing w:after="0" w:line="190" w:lineRule="exact"/>
              <w:rPr>
                <w:sz w:val="20"/>
                <w:szCs w:val="20"/>
                <w:color w:val="auto"/>
              </w:rPr>
            </w:pPr>
            <w:r>
              <w:rPr>
                <w:rFonts w:ascii="Times New Roman" w:cs="Times New Roman" w:eastAsia="Times New Roman" w:hAnsi="Times New Roman"/>
                <w:sz w:val="17"/>
                <w:szCs w:val="17"/>
                <w:color w:val="auto"/>
              </w:rPr>
              <w:t>(360,006)</w:t>
            </w:r>
          </w:p>
        </w:tc>
        <w:tc>
          <w:tcPr>
            <w:tcW w:w="800" w:type="dxa"/>
            <w:vAlign w:val="bottom"/>
            <w:gridSpan w:val="2"/>
          </w:tcPr>
          <w:p>
            <w:pPr>
              <w:jc w:val="right"/>
              <w:ind w:right="120"/>
              <w:spacing w:after="0" w:line="190" w:lineRule="exact"/>
              <w:rPr>
                <w:sz w:val="20"/>
                <w:szCs w:val="20"/>
                <w:color w:val="auto"/>
              </w:rPr>
            </w:pPr>
            <w:r>
              <w:rPr>
                <w:rFonts w:ascii="Times New Roman" w:cs="Times New Roman" w:eastAsia="Times New Roman" w:hAnsi="Times New Roman"/>
                <w:sz w:val="17"/>
                <w:szCs w:val="17"/>
                <w:color w:val="auto"/>
              </w:rPr>
              <w:t>(10,755)</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11,597,654</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10,754</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shares upon exercise</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of stock options . . . . . . . . . . .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3,585,829</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8,506</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8,506</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shares upon vesting</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of restricted stock units . . . . .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7,678,184</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warrants .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4,136</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4,136</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Issuances of ESPP . . . . . . . . . . . . . . .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478,023</w:t>
            </w:r>
          </w:p>
        </w:tc>
        <w:tc>
          <w:tcPr>
            <w:tcW w:w="3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863</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863</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 . . . . . . .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27,931</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27,931</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Net loss . . . . . . . . . . . . . . . . . . . . . . .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(88,937)</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(88,937)</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 . . . . .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Balances as of December 31, 2023 </w:t>
            </w:r>
            <w:r>
              <w:rPr>
                <w:rFonts w:ascii="Times New Roman" w:cs="Times New Roman" w:eastAsia="Times New Roman" w:hAnsi="Times New Roman"/>
                <w:sz w:val="17"/>
                <w:szCs w:val="17"/>
                <w:color w:val="auto"/>
              </w:rPr>
              <w:t>. . . . . . . . . . . .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475,005</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$ 14,187</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216,943,349</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37,485,408</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606,135</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(592,379)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28,168</w:t>
            </w:r>
          </w:p>
        </w:tc>
        <w:tc>
          <w:tcPr>
            <w:tcW w:w="0" w:type="dxa"/>
            <w:vAlign w:val="bottom"/>
          </w:tcPr>
          <w:p>
            <w:pPr>
              <w:spacing w:after="0"/>
              <w:rPr>
                <w:sz w:val="1"/>
                <w:szCs w:val="1"/>
                <w:color w:val="auto"/>
              </w:rPr>
            </w:pPr>
          </w:p>
        </w:tc>
      </w:tr>
      <w:tr>
        <w:trPr>
          <w:trHeight w:val="227"/>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stock under the Sales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Agreement, Equity Distribution Agreement and</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Execute Equity Distribution Agreement, net of</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issuance costs . . . . . . . . . . . . .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85,826,406</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9</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396,685</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396,694</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stock upon</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acquisition of SYNQ3 . . . . . .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5,794,187</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9,875</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9,876</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restricted shares of Class A common</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stock, subject to repurchase in connection with</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acquisition of SYNQ3 . . . . . .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2,033,156</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stock for equity</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incentive awards . . . . . . . . . . .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17,750,154</w:t>
            </w:r>
          </w:p>
        </w:tc>
        <w:tc>
          <w:tcPr>
            <w:tcW w:w="8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29,685</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29,685</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stock upon</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conversion of Class B common shares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4,950,000</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w:t>
            </w:r>
          </w:p>
        </w:tc>
        <w:tc>
          <w:tcPr>
            <w:tcW w:w="980" w:type="dxa"/>
            <w:vAlign w:val="bottom"/>
            <w:gridSpan w:val="2"/>
          </w:tcPr>
          <w:p>
            <w:pPr>
              <w:jc w:val="right"/>
              <w:ind w:right="120"/>
              <w:spacing w:after="0" w:line="190" w:lineRule="exact"/>
              <w:rPr>
                <w:sz w:val="20"/>
                <w:szCs w:val="20"/>
                <w:color w:val="auto"/>
              </w:rPr>
            </w:pPr>
            <w:r>
              <w:rPr>
                <w:rFonts w:ascii="Times New Roman" w:cs="Times New Roman" w:eastAsia="Times New Roman" w:hAnsi="Times New Roman"/>
                <w:sz w:val="17"/>
                <w:szCs w:val="17"/>
                <w:color w:val="auto"/>
              </w:rPr>
              <w:t>(4,950,000)</w:t>
            </w:r>
          </w:p>
        </w:tc>
        <w:tc>
          <w:tcPr>
            <w:tcW w:w="380" w:type="dxa"/>
            <w:vAlign w:val="bottom"/>
          </w:tcPr>
          <w:p>
            <w:pPr>
              <w:spacing w:after="0"/>
              <w:rPr>
                <w:sz w:val="16"/>
                <w:szCs w:val="16"/>
                <w:color w:val="auto"/>
              </w:rPr>
            </w:pPr>
          </w:p>
        </w:tc>
        <w:tc>
          <w:tcPr>
            <w:tcW w:w="420" w:type="dxa"/>
            <w:vAlign w:val="bottom"/>
            <w:gridSpan w:val="2"/>
          </w:tcPr>
          <w:p>
            <w:pPr>
              <w:jc w:val="right"/>
              <w:ind w:right="120"/>
              <w:spacing w:after="0" w:line="190" w:lineRule="exact"/>
              <w:rPr>
                <w:sz w:val="20"/>
                <w:szCs w:val="20"/>
                <w:color w:val="auto"/>
              </w:rPr>
            </w:pPr>
            <w:r>
              <w:rPr>
                <w:rFonts w:ascii="Times New Roman" w:cs="Times New Roman" w:eastAsia="Times New Roman" w:hAnsi="Times New Roman"/>
                <w:sz w:val="17"/>
                <w:szCs w:val="17"/>
                <w:color w:val="auto"/>
              </w:rPr>
              <w:t>(1)</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ectPr>
          <w:pgSz w:w="15840" w:h="12240" w:orient="landscape"/>
          <w:cols w:equalWidth="0" w:num="2">
            <w:col w:w="230" w:space="298"/>
            <w:col w:w="13360"/>
          </w:cols>
          <w:pgMar w:left="912" w:top="1394" w:right="1040" w:bottom="1034"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71</w:t>
            </w:r>
          </w:p>
        </w:tc>
      </w:tr>
    </w:tbl>
    <w:p>
      <w:pPr>
        <w:spacing w:after="0" w:line="20" w:lineRule="exact"/>
        <w:rPr>
          <w:sz w:val="20"/>
          <w:szCs w:val="20"/>
          <w:color w:val="auto"/>
        </w:rPr>
      </w:pPr>
      <w:r>
        <w:rPr>
          <w:sz w:val="20"/>
          <w:szCs w:val="20"/>
          <w:color w:val="auto"/>
        </w:rPr>
        <w:br w:type="column"/>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STATEMENTS OF REDEEMABLE CONVERTIBLE PREFERRED STOCK AND</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STOCKHOLDERS’ EQUITY (DEFICIT) — Continued</w:t>
      </w:r>
    </w:p>
    <w:p>
      <w:pPr>
        <w:jc w:val="center"/>
        <w:ind w:right="-59"/>
        <w:spacing w:after="0" w:line="235" w:lineRule="auto"/>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tcPr>
          <w:p>
            <w:pPr>
              <w:spacing w:after="0"/>
              <w:rPr>
                <w:sz w:val="15"/>
                <w:szCs w:val="15"/>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Series A</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vMerge w:val="restart"/>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vMerge w:val="restart"/>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200" w:type="dxa"/>
            <w:vAlign w:val="bottom"/>
          </w:tcPr>
          <w:p>
            <w:pPr>
              <w:spacing w:after="0"/>
              <w:rPr>
                <w:sz w:val="12"/>
                <w:szCs w:val="12"/>
                <w:color w:val="auto"/>
              </w:rPr>
            </w:pPr>
          </w:p>
        </w:tc>
        <w:tc>
          <w:tcPr>
            <w:tcW w:w="980" w:type="dxa"/>
            <w:vAlign w:val="bottom"/>
            <w:gridSpan w:val="2"/>
          </w:tcPr>
          <w:p>
            <w:pPr>
              <w:jc w:val="center"/>
              <w:ind w:right="380"/>
              <w:spacing w:after="0" w:line="138" w:lineRule="exact"/>
              <w:rPr>
                <w:sz w:val="20"/>
                <w:szCs w:val="20"/>
                <w:color w:val="auto"/>
              </w:rPr>
            </w:pPr>
            <w:r>
              <w:rPr>
                <w:rFonts w:ascii="Times New Roman" w:cs="Times New Roman" w:eastAsia="Times New Roman" w:hAnsi="Times New Roman"/>
                <w:sz w:val="15"/>
                <w:szCs w:val="15"/>
                <w:b w:val="1"/>
                <w:bCs w:val="1"/>
                <w:color w:val="auto"/>
              </w:rPr>
              <w:t>Other</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1640" w:type="dxa"/>
            <w:vAlign w:val="bottom"/>
            <w:tcBorders>
              <w:bottom w:val="single" w:sz="8" w:color="auto"/>
            </w:tcBorders>
            <w:gridSpan w:val="4"/>
          </w:tcPr>
          <w:p>
            <w:pPr>
              <w:jc w:val="right"/>
              <w:ind w:right="235"/>
              <w:spacing w:after="0" w:line="167" w:lineRule="exact"/>
              <w:rPr>
                <w:sz w:val="20"/>
                <w:szCs w:val="20"/>
                <w:color w:val="auto"/>
              </w:rPr>
            </w:pPr>
            <w:r>
              <w:rPr>
                <w:rFonts w:ascii="Times New Roman" w:cs="Times New Roman" w:eastAsia="Times New Roman" w:hAnsi="Times New Roman"/>
                <w:sz w:val="15"/>
                <w:szCs w:val="15"/>
                <w:b w:val="1"/>
                <w:bCs w:val="1"/>
                <w:color w:val="auto"/>
              </w:rPr>
              <w:t>Preferred Stock</w:t>
            </w:r>
          </w:p>
        </w:tc>
        <w:tc>
          <w:tcPr>
            <w:tcW w:w="180" w:type="dxa"/>
            <w:vAlign w:val="bottom"/>
          </w:tcPr>
          <w:p>
            <w:pPr>
              <w:spacing w:after="0"/>
              <w:rPr>
                <w:sz w:val="15"/>
                <w:szCs w:val="15"/>
                <w:color w:val="auto"/>
              </w:rPr>
            </w:pPr>
          </w:p>
        </w:tc>
        <w:tc>
          <w:tcPr>
            <w:tcW w:w="1440" w:type="dxa"/>
            <w:vAlign w:val="bottom"/>
            <w:tcBorders>
              <w:bottom w:val="single" w:sz="8" w:color="auto"/>
            </w:tcBorders>
            <w:gridSpan w:val="3"/>
          </w:tcPr>
          <w:p>
            <w:pPr>
              <w:jc w:val="right"/>
              <w:ind w:right="16"/>
              <w:spacing w:after="0" w:line="167"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Borders>
              <w:bottom w:val="single" w:sz="8" w:color="auto"/>
            </w:tcBorders>
            <w:gridSpan w:val="3"/>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6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16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2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3"/>
        </w:trPr>
        <w:tc>
          <w:tcPr>
            <w:tcW w:w="37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Issuance of Class A common stock upon</w:t>
            </w: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tcPr>
          <w:p>
            <w:pPr>
              <w:jc w:val="right"/>
              <w:ind w:right="155"/>
              <w:spacing w:after="0" w:line="190" w:lineRule="exact"/>
              <w:rPr>
                <w:sz w:val="20"/>
                <w:szCs w:val="20"/>
                <w:color w:val="auto"/>
              </w:rPr>
            </w:pPr>
            <w:r>
              <w:rPr>
                <w:rFonts w:ascii="Times New Roman" w:cs="Times New Roman" w:eastAsia="Times New Roman" w:hAnsi="Times New Roman"/>
                <w:sz w:val="17"/>
                <w:szCs w:val="17"/>
                <w:color w:val="auto"/>
              </w:rPr>
              <w:t>conversion of Series A Preferred Stock . . . . . . . .</w:t>
            </w:r>
          </w:p>
        </w:tc>
        <w:tc>
          <w:tcPr>
            <w:tcW w:w="1020" w:type="dxa"/>
            <w:vAlign w:val="bottom"/>
            <w:gridSpan w:val="2"/>
          </w:tcPr>
          <w:p>
            <w:pPr>
              <w:jc w:val="right"/>
              <w:ind w:right="120"/>
              <w:spacing w:after="0" w:line="190" w:lineRule="exact"/>
              <w:rPr>
                <w:sz w:val="20"/>
                <w:szCs w:val="20"/>
                <w:color w:val="auto"/>
              </w:rPr>
            </w:pPr>
            <w:r>
              <w:rPr>
                <w:rFonts w:ascii="Times New Roman" w:cs="Times New Roman" w:eastAsia="Times New Roman" w:hAnsi="Times New Roman"/>
                <w:sz w:val="17"/>
                <w:szCs w:val="17"/>
                <w:color w:val="auto"/>
              </w:rPr>
              <w:t>(475,005)</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90" w:lineRule="exact"/>
              <w:rPr>
                <w:sz w:val="20"/>
                <w:szCs w:val="20"/>
                <w:color w:val="auto"/>
              </w:rPr>
            </w:pPr>
            <w:r>
              <w:rPr>
                <w:rFonts w:ascii="Times New Roman" w:cs="Times New Roman" w:eastAsia="Times New Roman" w:hAnsi="Times New Roman"/>
                <w:sz w:val="17"/>
                <w:szCs w:val="17"/>
                <w:color w:val="auto"/>
                <w:w w:val="96"/>
              </w:rPr>
              <w:t>(14,187)</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16,624,215</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14,186</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stock in connection</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jc w:val="right"/>
              <w:ind w:right="155"/>
              <w:spacing w:after="0" w:line="190" w:lineRule="exact"/>
              <w:rPr>
                <w:sz w:val="20"/>
                <w:szCs w:val="20"/>
                <w:color w:val="auto"/>
              </w:rPr>
            </w:pPr>
            <w:r>
              <w:rPr>
                <w:rFonts w:ascii="Times New Roman" w:cs="Times New Roman" w:eastAsia="Times New Roman" w:hAnsi="Times New Roman"/>
                <w:sz w:val="17"/>
                <w:szCs w:val="17"/>
                <w:color w:val="auto"/>
              </w:rPr>
              <w:t>with the exercise of warrants .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2,272,023</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23</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stock upon</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jc w:val="right"/>
              <w:ind w:right="155"/>
              <w:spacing w:after="0" w:line="190" w:lineRule="exact"/>
              <w:rPr>
                <w:sz w:val="20"/>
                <w:szCs w:val="20"/>
                <w:color w:val="auto"/>
              </w:rPr>
            </w:pPr>
            <w:r>
              <w:rPr>
                <w:rFonts w:ascii="Times New Roman" w:cs="Times New Roman" w:eastAsia="Times New Roman" w:hAnsi="Times New Roman"/>
                <w:sz w:val="17"/>
                <w:szCs w:val="17"/>
                <w:color w:val="auto"/>
              </w:rPr>
              <w:t>acquisition of Amelia . . . . . . .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5,959,050</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23,919</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23,920</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stock to settle</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jc w:val="right"/>
              <w:ind w:right="155"/>
              <w:spacing w:after="0" w:line="190" w:lineRule="exact"/>
              <w:rPr>
                <w:sz w:val="20"/>
                <w:szCs w:val="20"/>
                <w:color w:val="auto"/>
              </w:rPr>
            </w:pPr>
            <w:r>
              <w:rPr>
                <w:rFonts w:ascii="Times New Roman" w:cs="Times New Roman" w:eastAsia="Times New Roman" w:hAnsi="Times New Roman"/>
                <w:sz w:val="17"/>
                <w:szCs w:val="17"/>
                <w:color w:val="auto"/>
              </w:rPr>
              <w:t>obligations under Amelia Debt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2,943,917</w:t>
            </w:r>
          </w:p>
        </w:tc>
        <w:tc>
          <w:tcPr>
            <w:tcW w:w="360" w:type="dxa"/>
            <w:vAlign w:val="bottom"/>
          </w:tcPr>
          <w:p>
            <w:pPr>
              <w:spacing w:after="0"/>
              <w:rPr>
                <w:sz w:val="16"/>
                <w:szCs w:val="16"/>
                <w:color w:val="auto"/>
              </w:rPr>
            </w:pP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11,817</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11,817</w:t>
            </w:r>
          </w:p>
        </w:tc>
        <w:tc>
          <w:tcPr>
            <w:tcW w:w="0" w:type="dxa"/>
            <w:vAlign w:val="bottom"/>
          </w:tcPr>
          <w:p>
            <w:pPr>
              <w:spacing w:after="0"/>
              <w:rPr>
                <w:sz w:val="1"/>
                <w:szCs w:val="1"/>
                <w:color w:val="auto"/>
              </w:rPr>
            </w:pPr>
          </w:p>
        </w:tc>
      </w:tr>
      <w:tr>
        <w:trPr>
          <w:trHeight w:val="239"/>
        </w:trPr>
        <w:tc>
          <w:tcPr>
            <w:tcW w:w="37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9"/>
              </w:rPr>
              <w:t>Stock-based compensation . . . . . . . .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33,145</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33,145</w:t>
            </w:r>
          </w:p>
        </w:tc>
        <w:tc>
          <w:tcPr>
            <w:tcW w:w="0" w:type="dxa"/>
            <w:vAlign w:val="bottom"/>
          </w:tcPr>
          <w:p>
            <w:pPr>
              <w:spacing w:after="0"/>
              <w:rPr>
                <w:sz w:val="1"/>
                <w:szCs w:val="1"/>
                <w:color w:val="auto"/>
              </w:rPr>
            </w:pPr>
          </w:p>
        </w:tc>
      </w:tr>
      <w:tr>
        <w:trPr>
          <w:trHeight w:val="239"/>
        </w:trPr>
        <w:tc>
          <w:tcPr>
            <w:tcW w:w="37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9"/>
              </w:rPr>
              <w:t>Net loss . . . . . . . . . . . . . . . . . . . . . . .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(350,681)</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(350,681)</w:t>
            </w:r>
          </w:p>
        </w:tc>
        <w:tc>
          <w:tcPr>
            <w:tcW w:w="0" w:type="dxa"/>
            <w:vAlign w:val="bottom"/>
          </w:tcPr>
          <w:p>
            <w:pPr>
              <w:spacing w:after="0"/>
              <w:rPr>
                <w:sz w:val="1"/>
                <w:szCs w:val="1"/>
                <w:color w:val="auto"/>
              </w:rPr>
            </w:pPr>
          </w:p>
        </w:tc>
      </w:tr>
      <w:tr>
        <w:trPr>
          <w:trHeight w:val="239"/>
        </w:trPr>
        <w:tc>
          <w:tcPr>
            <w:tcW w:w="37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9"/>
              </w:rPr>
              <w:t>Other comprehensive income . . . . . .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7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8"/>
              </w:rPr>
              <w:t xml:space="preserve">Balances as of December 31, 2024 </w:t>
            </w:r>
            <w:r>
              <w:rPr>
                <w:rFonts w:ascii="Times New Roman" w:cs="Times New Roman" w:eastAsia="Times New Roman" w:hAnsi="Times New Roman"/>
                <w:sz w:val="17"/>
                <w:szCs w:val="17"/>
                <w:color w:val="auto"/>
                <w:w w:val="98"/>
              </w:rPr>
              <w:t>.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361,096,457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35</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32,535,408</w:t>
            </w:r>
          </w:p>
        </w:tc>
        <w:tc>
          <w:tcPr>
            <w:tcW w:w="38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$ 1,125,470</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(943,060)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182,653</w:t>
            </w:r>
          </w:p>
        </w:tc>
        <w:tc>
          <w:tcPr>
            <w:tcW w:w="0" w:type="dxa"/>
            <w:vAlign w:val="bottom"/>
          </w:tcPr>
          <w:p>
            <w:pPr>
              <w:spacing w:after="0"/>
              <w:rPr>
                <w:sz w:val="1"/>
                <w:szCs w:val="1"/>
                <w:color w:val="auto"/>
              </w:rPr>
            </w:pPr>
          </w:p>
        </w:tc>
      </w:tr>
      <w:tr>
        <w:trPr>
          <w:trHeight w:val="227"/>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stock under the</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Second Equity Distribution Agreement, net of</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tcPr>
          <w:p>
            <w:pPr>
              <w:jc w:val="right"/>
              <w:ind w:right="155"/>
              <w:spacing w:after="0" w:line="190" w:lineRule="exact"/>
              <w:rPr>
                <w:sz w:val="20"/>
                <w:szCs w:val="20"/>
                <w:color w:val="auto"/>
              </w:rPr>
            </w:pPr>
            <w:r>
              <w:rPr>
                <w:rFonts w:ascii="Times New Roman" w:cs="Times New Roman" w:eastAsia="Times New Roman" w:hAnsi="Times New Roman"/>
                <w:sz w:val="17"/>
                <w:szCs w:val="17"/>
                <w:color w:val="auto"/>
              </w:rPr>
              <w:t>issuance costs . . . . . . . . . . . . .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13,913,014</w:t>
            </w:r>
          </w:p>
        </w:tc>
        <w:tc>
          <w:tcPr>
            <w:tcW w:w="360" w:type="dxa"/>
            <w:vAlign w:val="bottom"/>
          </w:tcPr>
          <w:p>
            <w:pPr>
              <w:jc w:val="right"/>
              <w:ind w:right="19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2</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197,280</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197,282</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stock for equity</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jc w:val="right"/>
              <w:ind w:right="155"/>
              <w:spacing w:after="0" w:line="190" w:lineRule="exact"/>
              <w:rPr>
                <w:sz w:val="20"/>
                <w:szCs w:val="20"/>
                <w:color w:val="auto"/>
              </w:rPr>
            </w:pPr>
            <w:r>
              <w:rPr>
                <w:rFonts w:ascii="Times New Roman" w:cs="Times New Roman" w:eastAsia="Times New Roman" w:hAnsi="Times New Roman"/>
                <w:sz w:val="17"/>
                <w:szCs w:val="17"/>
                <w:color w:val="auto"/>
              </w:rPr>
              <w:t>incentive awards . . . . . . . . . . .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14,578,879</w:t>
            </w:r>
          </w:p>
        </w:tc>
        <w:tc>
          <w:tcPr>
            <w:tcW w:w="360" w:type="dxa"/>
            <w:vAlign w:val="bottom"/>
          </w:tcPr>
          <w:p>
            <w:pPr>
              <w:jc w:val="right"/>
              <w:ind w:right="19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10,835</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10,835</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stock in connection</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jc w:val="right"/>
              <w:ind w:right="155"/>
              <w:spacing w:after="0" w:line="190" w:lineRule="exact"/>
              <w:rPr>
                <w:sz w:val="20"/>
                <w:szCs w:val="20"/>
                <w:color w:val="auto"/>
              </w:rPr>
            </w:pPr>
            <w:r>
              <w:rPr>
                <w:rFonts w:ascii="Times New Roman" w:cs="Times New Roman" w:eastAsia="Times New Roman" w:hAnsi="Times New Roman"/>
                <w:sz w:val="17"/>
                <w:szCs w:val="17"/>
                <w:color w:val="auto"/>
              </w:rPr>
              <w:t>with the exercise of warrants . . . . . . . .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9,840</w:t>
            </w:r>
          </w:p>
        </w:tc>
        <w:tc>
          <w:tcPr>
            <w:tcW w:w="360" w:type="dxa"/>
            <w:vAlign w:val="bottom"/>
          </w:tcPr>
          <w:p>
            <w:pPr>
              <w:jc w:val="right"/>
              <w:ind w:right="19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114</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A common stock due to</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6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settlement of contingent holdback consideration</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tcPr>
          <w:p>
            <w:pPr>
              <w:jc w:val="right"/>
              <w:ind w:right="155"/>
              <w:spacing w:after="0" w:line="190" w:lineRule="exact"/>
              <w:rPr>
                <w:sz w:val="20"/>
                <w:szCs w:val="20"/>
                <w:color w:val="auto"/>
              </w:rPr>
            </w:pPr>
            <w:r>
              <w:rPr>
                <w:rFonts w:ascii="Times New Roman" w:cs="Times New Roman" w:eastAsia="Times New Roman" w:hAnsi="Times New Roman"/>
                <w:sz w:val="17"/>
                <w:szCs w:val="17"/>
                <w:color w:val="auto"/>
              </w:rPr>
              <w:t>in connection with SYNQ3 Acquisition . . . . . . . .</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472,501</w:t>
            </w:r>
          </w:p>
        </w:tc>
        <w:tc>
          <w:tcPr>
            <w:tcW w:w="360" w:type="dxa"/>
            <w:vAlign w:val="bottom"/>
          </w:tcPr>
          <w:p>
            <w:pPr>
              <w:jc w:val="right"/>
              <w:ind w:right="19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6"/>
                <w:szCs w:val="16"/>
                <w:color w:val="auto"/>
              </w:rPr>
            </w:pPr>
          </w:p>
        </w:tc>
        <w:tc>
          <w:tcPr>
            <w:tcW w:w="4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3,922</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60"/>
              <w:spacing w:after="0" w:line="190" w:lineRule="exact"/>
              <w:rPr>
                <w:sz w:val="20"/>
                <w:szCs w:val="20"/>
                <w:color w:val="auto"/>
              </w:rPr>
            </w:pPr>
            <w:r>
              <w:rPr>
                <w:rFonts w:ascii="Times New Roman" w:cs="Times New Roman" w:eastAsia="Times New Roman" w:hAnsi="Times New Roman"/>
                <w:sz w:val="17"/>
                <w:szCs w:val="17"/>
                <w:color w:val="auto"/>
              </w:rPr>
              <w:t>3,922</w:t>
            </w:r>
          </w:p>
        </w:tc>
        <w:tc>
          <w:tcPr>
            <w:tcW w:w="0" w:type="dxa"/>
            <w:vAlign w:val="bottom"/>
          </w:tcPr>
          <w:p>
            <w:pPr>
              <w:spacing w:after="0"/>
              <w:rPr>
                <w:sz w:val="1"/>
                <w:szCs w:val="1"/>
                <w:color w:val="auto"/>
              </w:rPr>
            </w:pPr>
          </w:p>
        </w:tc>
      </w:tr>
      <w:tr>
        <w:trPr>
          <w:trHeight w:val="239"/>
        </w:trPr>
        <w:tc>
          <w:tcPr>
            <w:tcW w:w="37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9"/>
              </w:rPr>
              <w:t>Stock-based compensation . . . . . . . .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83,051</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83,051</w:t>
            </w:r>
          </w:p>
        </w:tc>
        <w:tc>
          <w:tcPr>
            <w:tcW w:w="0" w:type="dxa"/>
            <w:vAlign w:val="bottom"/>
          </w:tcPr>
          <w:p>
            <w:pPr>
              <w:spacing w:after="0"/>
              <w:rPr>
                <w:sz w:val="1"/>
                <w:szCs w:val="1"/>
                <w:color w:val="auto"/>
              </w:rPr>
            </w:pPr>
          </w:p>
        </w:tc>
      </w:tr>
      <w:tr>
        <w:trPr>
          <w:trHeight w:val="239"/>
        </w:trPr>
        <w:tc>
          <w:tcPr>
            <w:tcW w:w="37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9"/>
              </w:rPr>
              <w:t>Net loss . . . . . . . . . . . . . . . . . . . . . . .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(14,006)</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(14,006)</w:t>
            </w:r>
          </w:p>
        </w:tc>
        <w:tc>
          <w:tcPr>
            <w:tcW w:w="0" w:type="dxa"/>
            <w:vAlign w:val="bottom"/>
          </w:tcPr>
          <w:p>
            <w:pPr>
              <w:spacing w:after="0"/>
              <w:rPr>
                <w:sz w:val="1"/>
                <w:szCs w:val="1"/>
                <w:color w:val="auto"/>
              </w:rPr>
            </w:pPr>
          </w:p>
        </w:tc>
      </w:tr>
      <w:tr>
        <w:trPr>
          <w:trHeight w:val="239"/>
        </w:trPr>
        <w:tc>
          <w:tcPr>
            <w:tcW w:w="37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9"/>
              </w:rPr>
              <w:t>Other comprehensive income . . . . . .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7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8"/>
              </w:rPr>
              <w:t xml:space="preserve">Balances as of December 31, 2025 </w:t>
            </w:r>
            <w:r>
              <w:rPr>
                <w:rFonts w:ascii="Times New Roman" w:cs="Times New Roman" w:eastAsia="Times New Roman" w:hAnsi="Times New Roman"/>
                <w:sz w:val="17"/>
                <w:szCs w:val="17"/>
                <w:color w:val="auto"/>
                <w:w w:val="98"/>
              </w:rPr>
              <w:t>. . . . . . . . . . . . .</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390,070,691</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32,535,408</w:t>
            </w:r>
          </w:p>
        </w:tc>
        <w:tc>
          <w:tcPr>
            <w:tcW w:w="38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$ 1,420,672</w:t>
            </w:r>
          </w:p>
        </w:tc>
        <w:tc>
          <w:tcPr>
            <w:tcW w:w="18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(957,066)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5840" w:h="12240" w:orient="landscape"/>
          <w:cols w:equalWidth="0" w:num="2">
            <w:col w:w="230" w:space="298"/>
            <w:col w:w="13360"/>
          </w:cols>
          <w:pgMar w:left="912" w:top="1394" w:right="10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7"/>
                <w:szCs w:val="17"/>
                <w:color w:val="auto"/>
              </w:rPr>
            </w:pPr>
          </w:p>
        </w:tc>
      </w:tr>
      <w:tr>
        <w:trPr>
          <w:trHeight w:val="248"/>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 operating activities: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5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 . . . . . . . . .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(14,006)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(350,681)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(88,937)</w:t>
            </w:r>
          </w:p>
        </w:tc>
      </w:tr>
      <w:tr>
        <w:trPr>
          <w:trHeight w:val="257"/>
        </w:trPr>
        <w:tc>
          <w:tcPr>
            <w:tcW w:w="5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Adjustments to reconcile net loss to net cash used in</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0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operating activities: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Depreciation and amortization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34,130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2,313</w:t>
            </w:r>
          </w:p>
        </w:tc>
        <w:tc>
          <w:tcPr>
            <w:tcW w:w="60" w:type="dxa"/>
            <w:vAlign w:val="bottom"/>
          </w:tcPr>
          <w:p>
            <w:pPr>
              <w:spacing w:after="0"/>
              <w:rPr>
                <w:sz w:val="22"/>
                <w:szCs w:val="22"/>
                <w:color w:val="auto"/>
              </w:rPr>
            </w:pP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Stock-based compensation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80,620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33,145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27,931</w:t>
            </w:r>
          </w:p>
        </w:tc>
        <w:tc>
          <w:tcPr>
            <w:tcW w:w="60" w:type="dxa"/>
            <w:vAlign w:val="bottom"/>
          </w:tcPr>
          <w:p>
            <w:pPr>
              <w:spacing w:after="0"/>
              <w:rPr>
                <w:sz w:val="22"/>
                <w:szCs w:val="22"/>
                <w:color w:val="auto"/>
              </w:rPr>
            </w:pP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Loss on change in fair value of ELOC program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1,901</w:t>
            </w:r>
          </w:p>
        </w:tc>
        <w:tc>
          <w:tcPr>
            <w:tcW w:w="60" w:type="dxa"/>
            <w:vAlign w:val="bottom"/>
          </w:tcPr>
          <w:p>
            <w:pPr>
              <w:spacing w:after="0"/>
              <w:rPr>
                <w:sz w:val="22"/>
                <w:szCs w:val="22"/>
                <w:color w:val="auto"/>
              </w:rPr>
            </w:pP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Amortization of debt issuance cost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5,400</w:t>
            </w:r>
          </w:p>
        </w:tc>
        <w:tc>
          <w:tcPr>
            <w:tcW w:w="60" w:type="dxa"/>
            <w:vAlign w:val="bottom"/>
          </w:tcPr>
          <w:p>
            <w:pPr>
              <w:spacing w:after="0"/>
              <w:rPr>
                <w:sz w:val="22"/>
                <w:szCs w:val="22"/>
                <w:color w:val="auto"/>
              </w:rPr>
            </w:pP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Non-cash lease amortization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3,346</w:t>
            </w:r>
          </w:p>
        </w:tc>
        <w:tc>
          <w:tcPr>
            <w:tcW w:w="60" w:type="dxa"/>
            <w:vAlign w:val="bottom"/>
          </w:tcPr>
          <w:p>
            <w:pPr>
              <w:spacing w:after="0"/>
              <w:rPr>
                <w:sz w:val="22"/>
                <w:szCs w:val="22"/>
                <w:color w:val="auto"/>
              </w:rPr>
            </w:pP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Loss on disposal of property and equipment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Amortization of capitalized commissions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Loss on early extinguishment of debt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15,629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60" w:type="dxa"/>
            <w:vAlign w:val="bottom"/>
          </w:tcPr>
          <w:p>
            <w:pPr>
              <w:spacing w:after="0"/>
              <w:rPr>
                <w:sz w:val="22"/>
                <w:szCs w:val="22"/>
                <w:color w:val="auto"/>
              </w:rPr>
            </w:pP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Foreign currency gain/loss from remeasurement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(947)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60" w:type="dxa"/>
            <w:vAlign w:val="bottom"/>
          </w:tcPr>
          <w:p>
            <w:pPr>
              <w:spacing w:after="0"/>
              <w:rPr>
                <w:sz w:val="22"/>
                <w:szCs w:val="22"/>
                <w:color w:val="auto"/>
              </w:rPr>
            </w:pP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8"/>
              </w:rPr>
              <w:t>Change in fair value of contingent acquisition liabilities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(163,127)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222,670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Change in fair value of derivative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(4,676)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Deferred income taxes . .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(12,183)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2"/>
                <w:szCs w:val="22"/>
                <w:color w:val="auto"/>
              </w:rPr>
            </w:pP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9"/>
              </w:rPr>
              <w:t>Other, net . . . . . . . . . . . . .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(580)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tcPr>
          <w:p>
            <w:pPr>
              <w:spacing w:after="0"/>
              <w:rPr>
                <w:sz w:val="22"/>
                <w:szCs w:val="22"/>
                <w:color w:val="auto"/>
              </w:rPr>
            </w:pPr>
          </w:p>
        </w:tc>
      </w:tr>
      <w:tr>
        <w:trPr>
          <w:trHeight w:val="257"/>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Changes in operating assets and liabilities, net of effects</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02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of acquisitions: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net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(1,304)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(10,264)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(627)</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expenses . . . . .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1,590</w:t>
            </w:r>
          </w:p>
        </w:tc>
        <w:tc>
          <w:tcPr>
            <w:tcW w:w="60" w:type="dxa"/>
            <w:vAlign w:val="bottom"/>
          </w:tcPr>
          <w:p>
            <w:pPr>
              <w:spacing w:after="0"/>
              <w:rPr>
                <w:sz w:val="22"/>
                <w:szCs w:val="22"/>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current assets . . .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(2,956)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(3,131)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(821)</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 assets . . . . . .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(22,420)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(7,304)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(19,578)</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non-current assets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(4,498)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w:t>
            </w:r>
          </w:p>
        </w:tc>
        <w:tc>
          <w:tcPr>
            <w:tcW w:w="60" w:type="dxa"/>
            <w:vAlign w:val="bottom"/>
          </w:tcPr>
          <w:p>
            <w:pPr>
              <w:spacing w:after="0"/>
              <w:rPr>
                <w:sz w:val="22"/>
                <w:szCs w:val="22"/>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 . . .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(7,636)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(1,162)</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liabilities . . . .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(3,918)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4,266</w:t>
            </w:r>
          </w:p>
        </w:tc>
        <w:tc>
          <w:tcPr>
            <w:tcW w:w="60" w:type="dxa"/>
            <w:vAlign w:val="bottom"/>
          </w:tcPr>
          <w:p>
            <w:pPr>
              <w:spacing w:after="0"/>
              <w:rPr>
                <w:sz w:val="22"/>
                <w:szCs w:val="22"/>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current liabilities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(2,334)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(642)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liabilities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(2,742)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(3,214)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(3,657)</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revenue . . . . . . . . .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(4,956)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(6,186)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(4,135)</w:t>
            </w:r>
          </w:p>
        </w:tc>
      </w:tr>
      <w:tr>
        <w:trPr>
          <w:trHeight w:val="26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non-current liabilities . . .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(415)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2,131</w:t>
            </w:r>
          </w:p>
        </w:tc>
        <w:tc>
          <w:tcPr>
            <w:tcW w:w="60" w:type="dxa"/>
            <w:vAlign w:val="bottom"/>
          </w:tcPr>
          <w:p>
            <w:pPr>
              <w:spacing w:after="0"/>
              <w:rPr>
                <w:sz w:val="22"/>
                <w:szCs w:val="22"/>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cash used in operating activities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(98,222)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(108,878)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(68,265)</w:t>
            </w:r>
          </w:p>
        </w:tc>
      </w:tr>
      <w:tr>
        <w:trPr>
          <w:trHeight w:val="38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 investing activities:</w:t>
            </w: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Purchases of property and equipment . .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(902)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(640)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(392)</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Capitalized software development costs . . . . . . . . . . .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(4,000)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Payment related to acquisitions, net of cash acquired. . . . .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(54,602)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(11,732)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cash used in investing activities . . . . . . . . . . . .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(59,504)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(12,372)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(392)</w:t>
            </w:r>
          </w:p>
        </w:tc>
      </w:tr>
      <w:tr>
        <w:trPr>
          <w:trHeight w:val="38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 financing activities:</w:t>
            </w: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5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the issuance of Series A Preferred</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0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Stock, net of issuance costs . . . . . . . . . . . . . . . . . . . . . . .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24,942</w:t>
            </w:r>
          </w:p>
        </w:tc>
        <w:tc>
          <w:tcPr>
            <w:tcW w:w="60" w:type="dxa"/>
            <w:vAlign w:val="bottom"/>
          </w:tcPr>
          <w:p>
            <w:pPr>
              <w:spacing w:after="0"/>
              <w:rPr>
                <w:sz w:val="19"/>
                <w:szCs w:val="19"/>
                <w:color w:val="auto"/>
              </w:rPr>
            </w:pPr>
          </w:p>
        </w:tc>
      </w:tr>
      <w:tr>
        <w:trPr>
          <w:trHeight w:val="257"/>
        </w:trPr>
        <w:tc>
          <w:tcPr>
            <w:tcW w:w="5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sales of Class A common stock under the</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0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ELOC program, net of issuance costs . . . . . . . . . . . . . . .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71,615</w:t>
            </w:r>
          </w:p>
        </w:tc>
        <w:tc>
          <w:tcPr>
            <w:tcW w:w="60" w:type="dxa"/>
            <w:vAlign w:val="bottom"/>
          </w:tcPr>
          <w:p>
            <w:pPr>
              <w:spacing w:after="0"/>
              <w:rPr>
                <w:sz w:val="19"/>
                <w:szCs w:val="19"/>
                <w:color w:val="auto"/>
              </w:rPr>
            </w:pPr>
          </w:p>
        </w:tc>
      </w:tr>
      <w:tr>
        <w:trPr>
          <w:trHeight w:val="257"/>
        </w:trPr>
        <w:tc>
          <w:tcPr>
            <w:tcW w:w="5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sales of Class A common stock under</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50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the Sales Agreement, Equity Distribution Agreement,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0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Execute Equity Distribution Agreement and Second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02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Equity Distribution Agreement . . . . . . . . . . . . . . . . . . . .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201,522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407,270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12,412</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941" w:right="1440" w:bottom="348"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exercise of stock options and employee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stock purchase plan . . . . . . . . . . . . . . . . . . . . . . . . . . . . . .</w:t>
            </w: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10,835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29,685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warrants exercised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 of financing costs associated with the Sales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10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Agreement, Equity Distribution Agreement, Execute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Equity Distribution Agreement, and Second Equity</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Distribution Agreement . . . . . . . . . . . . . . . . . . . . . . . . . . .</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(4,030)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(10,357)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the issuance of debt, net of issuance costs . .</w:t>
            </w: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the issuance of common stock . . . . . . . . . . .</w:t>
            </w: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Payments on Term Loan and Amelia Debt . . . . . . . . . . . . . .</w:t>
            </w: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(215,373)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(35,029)</w:t>
            </w:r>
          </w:p>
        </w:tc>
        <w:tc>
          <w:tcPr>
            <w:tcW w:w="0" w:type="dxa"/>
            <w:vAlign w:val="bottom"/>
          </w:tcPr>
          <w:p>
            <w:pPr>
              <w:spacing w:after="0"/>
              <w:rPr>
                <w:sz w:val="1"/>
                <w:szCs w:val="1"/>
                <w:color w:val="auto"/>
              </w:rPr>
            </w:pPr>
          </w:p>
        </w:tc>
      </w:tr>
      <w:tr>
        <w:trPr>
          <w:trHeight w:val="257"/>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 to settle contingent holdback liabilities from</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SYNQ3 acquisitions . . . . . . . . . . . . . . . . . . . . . . . . . . . . .</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(198)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(217)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Payments on finance leases . . . . . . . . . . . . . .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0" w:type="dxa"/>
            <w:vAlign w:val="bottom"/>
          </w:tcPr>
          <w:p>
            <w:pPr>
              <w:spacing w:after="0"/>
              <w:rPr>
                <w:sz w:val="1"/>
                <w:szCs w:val="1"/>
                <w:color w:val="auto"/>
              </w:rPr>
            </w:pPr>
          </w:p>
        </w:tc>
      </w:tr>
      <w:tr>
        <w:trPr>
          <w:trHeight w:val="239"/>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Net cash provided by financing activities . . . . . . . . .</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208,074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210,906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168,237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Effects of exchange rate changes on cash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57"/>
        </w:trPr>
        <w:tc>
          <w:tcPr>
            <w:tcW w:w="51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Net change in cash, cash equivalents, and</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restricted cash equivalents. . . . . . . . . . . . . . . . . . .</w:t>
            </w:r>
          </w:p>
        </w:tc>
        <w:tc>
          <w:tcPr>
            <w:tcW w:w="28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50,250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89,881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99,560</w:t>
            </w: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equivalents,</w:t>
            </w:r>
          </w:p>
        </w:tc>
        <w:tc>
          <w:tcPr>
            <w:tcW w:w="28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198,916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109,035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9,475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beginning of year . . . . . . . . . . . . . . . . . . . . . . . . . . . . . . . . .</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equivalents, end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of year . . . . . . . . . . . . . . . . . . . . . .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249,166</w:t>
            </w:r>
          </w:p>
        </w:tc>
        <w:tc>
          <w:tcPr>
            <w:tcW w:w="120" w:type="dxa"/>
            <w:vAlign w:val="bottom"/>
          </w:tcPr>
          <w:p>
            <w:pPr>
              <w:spacing w:after="0"/>
              <w:rPr>
                <w:sz w:val="19"/>
                <w:szCs w:val="19"/>
                <w:color w:val="auto"/>
              </w:rPr>
            </w:pPr>
          </w:p>
        </w:tc>
        <w:tc>
          <w:tcPr>
            <w:tcW w:w="3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198,916</w:t>
            </w:r>
          </w:p>
        </w:tc>
        <w:tc>
          <w:tcPr>
            <w:tcW w:w="120" w:type="dxa"/>
            <w:vAlign w:val="bottom"/>
          </w:tcPr>
          <w:p>
            <w:pPr>
              <w:spacing w:after="0"/>
              <w:rPr>
                <w:sz w:val="19"/>
                <w:szCs w:val="19"/>
                <w:color w:val="auto"/>
              </w:rPr>
            </w:pPr>
          </w:p>
        </w:tc>
        <w:tc>
          <w:tcPr>
            <w:tcW w:w="3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109,035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Reconciliation to amounts on the consolidated balance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sheets: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Cash and cash equivalents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248,490</w:t>
            </w:r>
          </w:p>
        </w:tc>
        <w:tc>
          <w:tcPr>
            <w:tcW w:w="120" w:type="dxa"/>
            <w:vAlign w:val="bottom"/>
          </w:tcPr>
          <w:p>
            <w:pPr>
              <w:spacing w:after="0"/>
              <w:rPr>
                <w:sz w:val="22"/>
                <w:szCs w:val="22"/>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198,240</w:t>
            </w:r>
          </w:p>
        </w:tc>
        <w:tc>
          <w:tcPr>
            <w:tcW w:w="120" w:type="dxa"/>
            <w:vAlign w:val="bottom"/>
          </w:tcPr>
          <w:p>
            <w:pPr>
              <w:spacing w:after="0"/>
              <w:rPr>
                <w:sz w:val="22"/>
                <w:szCs w:val="2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Current portion of restricted cash equivalents . . . . . . . . . . .</w:t>
            </w: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Non-current portion of restricted cash equivalents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13,775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Total cash, cash equivalents, and restricted cash</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00" w:type="dxa"/>
            <w:vAlign w:val="bottom"/>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equivalents shown in the consolidated statements of</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cash flows . . . . . . . . . . . . .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249,166</w:t>
            </w:r>
          </w:p>
        </w:tc>
        <w:tc>
          <w:tcPr>
            <w:tcW w:w="120" w:type="dxa"/>
            <w:vAlign w:val="bottom"/>
          </w:tcPr>
          <w:p>
            <w:pPr>
              <w:spacing w:after="0"/>
              <w:rPr>
                <w:sz w:val="19"/>
                <w:szCs w:val="19"/>
                <w:color w:val="auto"/>
              </w:rPr>
            </w:pPr>
          </w:p>
        </w:tc>
        <w:tc>
          <w:tcPr>
            <w:tcW w:w="3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198,916</w:t>
            </w:r>
          </w:p>
        </w:tc>
        <w:tc>
          <w:tcPr>
            <w:tcW w:w="120" w:type="dxa"/>
            <w:vAlign w:val="bottom"/>
          </w:tcPr>
          <w:p>
            <w:pPr>
              <w:spacing w:after="0"/>
              <w:rPr>
                <w:sz w:val="19"/>
                <w:szCs w:val="19"/>
                <w:color w:val="auto"/>
              </w:rPr>
            </w:pPr>
          </w:p>
        </w:tc>
        <w:tc>
          <w:tcPr>
            <w:tcW w:w="3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109,035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Supplemental disclosures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Cash paid for interest . . . . . . . . . . . . . . . . . . . . . . . . . . . .</w:t>
            </w: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100" w:type="dxa"/>
            <w:vAlign w:val="bottom"/>
          </w:tcPr>
          <w:p>
            <w:pPr>
              <w:jc w:val="right"/>
              <w:ind w:right="40"/>
              <w:spacing w:after="0" w:line="199" w:lineRule="exact"/>
              <w:rPr>
                <w:sz w:val="20"/>
                <w:szCs w:val="20"/>
                <w:color w:val="auto"/>
              </w:rPr>
            </w:pPr>
            <w:r>
              <w:rPr>
                <w:rFonts w:ascii="Times New Roman" w:cs="Times New Roman" w:eastAsia="Times New Roman" w:hAnsi="Times New Roman"/>
                <w:sz w:val="20"/>
                <w:szCs w:val="20"/>
                <w:color w:val="auto"/>
              </w:rPr>
              <w:t>Cash paid for income taxes, net of refunds . . . . . . . . . . . .</w:t>
            </w:r>
          </w:p>
        </w:tc>
        <w:tc>
          <w:tcPr>
            <w:tcW w:w="280" w:type="dxa"/>
            <w:vAlign w:val="bottom"/>
          </w:tcPr>
          <w:p>
            <w:pPr>
              <w:jc w:val="right"/>
              <w:ind w:right="8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4,370</w:t>
            </w:r>
          </w:p>
        </w:tc>
        <w:tc>
          <w:tcPr>
            <w:tcW w:w="120" w:type="dxa"/>
            <w:vAlign w:val="bottom"/>
          </w:tcPr>
          <w:p>
            <w:pPr>
              <w:spacing w:after="0"/>
              <w:rPr>
                <w:sz w:val="17"/>
                <w:szCs w:val="17"/>
                <w:color w:val="auto"/>
              </w:rPr>
            </w:pPr>
          </w:p>
        </w:tc>
        <w:tc>
          <w:tcPr>
            <w:tcW w:w="340" w:type="dxa"/>
            <w:vAlign w:val="bottom"/>
            <w:gridSpan w:val="2"/>
          </w:tcPr>
          <w:p>
            <w:pPr>
              <w:jc w:val="right"/>
              <w:ind w:right="80"/>
              <w:spacing w:after="0" w:line="199"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2,717</w:t>
            </w:r>
          </w:p>
        </w:tc>
        <w:tc>
          <w:tcPr>
            <w:tcW w:w="120" w:type="dxa"/>
            <w:vAlign w:val="bottom"/>
          </w:tcPr>
          <w:p>
            <w:pPr>
              <w:spacing w:after="0"/>
              <w:rPr>
                <w:sz w:val="17"/>
                <w:szCs w:val="17"/>
                <w:color w:val="auto"/>
              </w:rPr>
            </w:pPr>
          </w:p>
        </w:tc>
        <w:tc>
          <w:tcPr>
            <w:tcW w:w="380" w:type="dxa"/>
            <w:vAlign w:val="bottom"/>
            <w:gridSpan w:val="2"/>
          </w:tcPr>
          <w:p>
            <w:pPr>
              <w:jc w:val="right"/>
              <w:ind w:right="120"/>
              <w:spacing w:after="0" w:line="199"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2,356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Noncash investing and financing activities: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Conversion of Series A Preferred Stock to Class A</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common stock . . . . . . . . . . . .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14,187</w:t>
            </w:r>
          </w:p>
        </w:tc>
        <w:tc>
          <w:tcPr>
            <w:tcW w:w="120" w:type="dxa"/>
            <w:vAlign w:val="bottom"/>
          </w:tcPr>
          <w:p>
            <w:pPr>
              <w:spacing w:after="0"/>
              <w:rPr>
                <w:sz w:val="19"/>
                <w:szCs w:val="19"/>
                <w:color w:val="auto"/>
              </w:rPr>
            </w:pPr>
          </w:p>
        </w:tc>
        <w:tc>
          <w:tcPr>
            <w:tcW w:w="3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Issuance of Class A Common Stock to settle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obligations under Amelia Debt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11,817</w:t>
            </w:r>
          </w:p>
        </w:tc>
        <w:tc>
          <w:tcPr>
            <w:tcW w:w="120" w:type="dxa"/>
            <w:vAlign w:val="bottom"/>
          </w:tcPr>
          <w:p>
            <w:pPr>
              <w:spacing w:after="0"/>
              <w:rPr>
                <w:sz w:val="19"/>
                <w:szCs w:val="19"/>
                <w:color w:val="auto"/>
              </w:rPr>
            </w:pPr>
          </w:p>
        </w:tc>
        <w:tc>
          <w:tcPr>
            <w:tcW w:w="3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Issuance of Class A Common Stock to settle contingent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holdback consideration of SYNQ3 acquisition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3,922</w:t>
            </w:r>
          </w:p>
        </w:tc>
        <w:tc>
          <w:tcPr>
            <w:tcW w:w="120" w:type="dxa"/>
            <w:vAlign w:val="bottom"/>
          </w:tcPr>
          <w:p>
            <w:pPr>
              <w:spacing w:after="0"/>
              <w:rPr>
                <w:sz w:val="19"/>
                <w:szCs w:val="19"/>
                <w:color w:val="auto"/>
              </w:rPr>
            </w:pPr>
          </w:p>
        </w:tc>
        <w:tc>
          <w:tcPr>
            <w:tcW w:w="3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189</w:t>
            </w:r>
          </w:p>
        </w:tc>
        <w:tc>
          <w:tcPr>
            <w:tcW w:w="120" w:type="dxa"/>
            <w:vAlign w:val="bottom"/>
          </w:tcPr>
          <w:p>
            <w:pPr>
              <w:spacing w:after="0"/>
              <w:rPr>
                <w:sz w:val="19"/>
                <w:szCs w:val="19"/>
                <w:color w:val="auto"/>
              </w:rPr>
            </w:pPr>
          </w:p>
        </w:tc>
        <w:tc>
          <w:tcPr>
            <w:tcW w:w="3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Deferred offering costs reclassified to additional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paid-in capital . . . . . . . . . . . .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210</w:t>
            </w:r>
          </w:p>
        </w:tc>
        <w:tc>
          <w:tcPr>
            <w:tcW w:w="120" w:type="dxa"/>
            <w:vAlign w:val="bottom"/>
          </w:tcPr>
          <w:p>
            <w:pPr>
              <w:spacing w:after="0"/>
              <w:rPr>
                <w:sz w:val="19"/>
                <w:szCs w:val="19"/>
                <w:color w:val="auto"/>
              </w:rPr>
            </w:pPr>
          </w:p>
        </w:tc>
        <w:tc>
          <w:tcPr>
            <w:tcW w:w="3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220</w:t>
            </w:r>
          </w:p>
        </w:tc>
        <w:tc>
          <w:tcPr>
            <w:tcW w:w="120" w:type="dxa"/>
            <w:vAlign w:val="bottom"/>
          </w:tcPr>
          <w:p>
            <w:pPr>
              <w:spacing w:after="0"/>
              <w:rPr>
                <w:sz w:val="19"/>
                <w:szCs w:val="19"/>
                <w:color w:val="auto"/>
              </w:rPr>
            </w:pPr>
          </w:p>
        </w:tc>
        <w:tc>
          <w:tcPr>
            <w:tcW w:w="3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Purchases of property and equipment under accrued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liabilities . . . . . . . . . . . . . . . .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163</w:t>
            </w:r>
          </w:p>
        </w:tc>
        <w:tc>
          <w:tcPr>
            <w:tcW w:w="120" w:type="dxa"/>
            <w:vAlign w:val="bottom"/>
          </w:tcPr>
          <w:p>
            <w:pPr>
              <w:spacing w:after="0"/>
              <w:rPr>
                <w:sz w:val="19"/>
                <w:szCs w:val="19"/>
                <w:color w:val="auto"/>
              </w:rPr>
            </w:pPr>
          </w:p>
        </w:tc>
        <w:tc>
          <w:tcPr>
            <w:tcW w:w="3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Operating lease liabilities arising from obtaining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right-of-use assets . . . . . . . . .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1,001</w:t>
            </w:r>
          </w:p>
        </w:tc>
        <w:tc>
          <w:tcPr>
            <w:tcW w:w="120" w:type="dxa"/>
            <w:vAlign w:val="bottom"/>
          </w:tcPr>
          <w:p>
            <w:pPr>
              <w:spacing w:after="0"/>
              <w:rPr>
                <w:sz w:val="19"/>
                <w:szCs w:val="19"/>
                <w:color w:val="auto"/>
              </w:rPr>
            </w:pPr>
          </w:p>
        </w:tc>
        <w:tc>
          <w:tcPr>
            <w:tcW w:w="3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1,559</w:t>
            </w:r>
          </w:p>
        </w:tc>
        <w:tc>
          <w:tcPr>
            <w:tcW w:w="120" w:type="dxa"/>
            <w:vAlign w:val="bottom"/>
          </w:tcPr>
          <w:p>
            <w:pPr>
              <w:spacing w:after="0"/>
              <w:rPr>
                <w:sz w:val="19"/>
                <w:szCs w:val="19"/>
                <w:color w:val="auto"/>
              </w:rPr>
            </w:pPr>
          </w:p>
        </w:tc>
        <w:tc>
          <w:tcPr>
            <w:tcW w:w="3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941" w:right="1440" w:bottom="348"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Debt discount through issuance of common stock</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warrants . . . . . . . . . . . . . . . . . . . . . . . . . . . . . . . . . . . . .</w:t>
            </w:r>
          </w:p>
        </w:tc>
        <w:tc>
          <w:tcPr>
            <w:tcW w:w="820" w:type="dxa"/>
            <w:vAlign w:val="bottom"/>
            <w:gridSpan w:val="2"/>
          </w:tcPr>
          <w:p>
            <w:pPr>
              <w:jc w:val="right"/>
              <w:ind w:right="63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4,136</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Issuance of Class A Common Stock to settle</w:t>
            </w: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commitment shares related to the ELOC program . . . .</w:t>
            </w:r>
          </w:p>
        </w:tc>
        <w:tc>
          <w:tcPr>
            <w:tcW w:w="820" w:type="dxa"/>
            <w:vAlign w:val="bottom"/>
            <w:gridSpan w:val="2"/>
          </w:tcPr>
          <w:p>
            <w:pPr>
              <w:jc w:val="right"/>
              <w:ind w:right="63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915</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Fair value of Class A common stock and deferred equity</w:t>
            </w: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consideration issued to acquire SYNQ3 and Amelia . .</w:t>
            </w:r>
          </w:p>
        </w:tc>
        <w:tc>
          <w:tcPr>
            <w:tcW w:w="820" w:type="dxa"/>
            <w:vAlign w:val="bottom"/>
            <w:gridSpan w:val="2"/>
          </w:tcPr>
          <w:p>
            <w:pPr>
              <w:jc w:val="right"/>
              <w:ind w:right="63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33,606</w:t>
            </w:r>
          </w:p>
        </w:tc>
        <w:tc>
          <w:tcPr>
            <w:tcW w:w="50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Fair value of contingent earnout consideration to</w:t>
            </w: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acquire SYNQ3 and Amelia . . . . . . . . . . . . . . . . . . . . .</w:t>
            </w:r>
          </w:p>
        </w:tc>
        <w:tc>
          <w:tcPr>
            <w:tcW w:w="820" w:type="dxa"/>
            <w:vAlign w:val="bottom"/>
            <w:gridSpan w:val="2"/>
          </w:tcPr>
          <w:p>
            <w:pPr>
              <w:jc w:val="right"/>
              <w:ind w:right="63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67,945</w:t>
            </w:r>
          </w:p>
        </w:tc>
        <w:tc>
          <w:tcPr>
            <w:tcW w:w="50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Fair value of contingent holdback consideration to</w:t>
            </w: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acquire SYNQ3 . . . . . . . . . . . . . . . . . . . . . . . . . . . . . . .</w:t>
            </w:r>
          </w:p>
        </w:tc>
        <w:tc>
          <w:tcPr>
            <w:tcW w:w="820" w:type="dxa"/>
            <w:vAlign w:val="bottom"/>
            <w:gridSpan w:val="2"/>
          </w:tcPr>
          <w:p>
            <w:pPr>
              <w:jc w:val="right"/>
              <w:ind w:right="63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570</w:t>
            </w:r>
          </w:p>
        </w:tc>
        <w:tc>
          <w:tcPr>
            <w:tcW w:w="50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Fair value of deferred cash consideration under other</w:t>
            </w: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acquisition . . . . . . . . . . . . . . . . . . . . . . . . . . . . . . . . . . .</w:t>
            </w:r>
          </w:p>
        </w:tc>
        <w:tc>
          <w:tcPr>
            <w:tcW w:w="820" w:type="dxa"/>
            <w:vAlign w:val="bottom"/>
            <w:gridSpan w:val="2"/>
          </w:tcPr>
          <w:p>
            <w:pPr>
              <w:jc w:val="right"/>
              <w:ind w:right="63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195</w:t>
            </w:r>
          </w:p>
        </w:tc>
        <w:tc>
          <w:tcPr>
            <w:tcW w:w="50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Fair value of deferred cash consideration under</w:t>
            </w: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Interactions acquisition . . . . . . . . . . . . . . . . . . . . . . . . .</w:t>
            </w:r>
          </w:p>
        </w:tc>
        <w:tc>
          <w:tcPr>
            <w:tcW w:w="820" w:type="dxa"/>
            <w:vAlign w:val="bottom"/>
            <w:gridSpan w:val="2"/>
          </w:tcPr>
          <w:p>
            <w:pPr>
              <w:jc w:val="right"/>
              <w:ind w:right="63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93"/>
              </w:rPr>
              <w:t>1,150</w:t>
            </w:r>
          </w:p>
        </w:tc>
        <w:tc>
          <w:tcPr>
            <w:tcW w:w="4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Fair value of contingent earnout consideration under</w:t>
            </w: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Interactions acquisition . . . . . . . . . . . . . . . . . . . . . . . . .</w:t>
            </w:r>
          </w:p>
        </w:tc>
        <w:tc>
          <w:tcPr>
            <w:tcW w:w="820" w:type="dxa"/>
            <w:vAlign w:val="bottom"/>
            <w:gridSpan w:val="2"/>
          </w:tcPr>
          <w:p>
            <w:pPr>
              <w:jc w:val="right"/>
              <w:ind w:right="63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93"/>
              </w:rPr>
              <w:t>9,900</w:t>
            </w:r>
          </w:p>
        </w:tc>
        <w:tc>
          <w:tcPr>
            <w:tcW w:w="4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Stock-based compensation included in capitalized</w:t>
            </w: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software development costs . . . . . . . . . . . . . . . . . . . . .</w:t>
            </w:r>
          </w:p>
        </w:tc>
        <w:tc>
          <w:tcPr>
            <w:tcW w:w="820" w:type="dxa"/>
            <w:vAlign w:val="bottom"/>
            <w:gridSpan w:val="2"/>
          </w:tcPr>
          <w:p>
            <w:pPr>
              <w:jc w:val="right"/>
              <w:ind w:right="63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93"/>
              </w:rPr>
              <w:t>2,431</w:t>
            </w:r>
          </w:p>
        </w:tc>
        <w:tc>
          <w:tcPr>
            <w:tcW w:w="4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941" w:right="1440" w:bottom="348"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ORGANIZATION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Nature of Operations</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The Company has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SoundHound also provides edge, cloud and hybrid (Edge+Cloud) connectivity solutions that allow brands to optimize their voice-enabled products and devices with options ranging from fully-embedded to exclusively cloud-connected.</w:t>
      </w:r>
    </w:p>
    <w:p>
      <w:pPr>
        <w:spacing w:after="0" w:line="155" w:lineRule="exact"/>
        <w:rPr>
          <w:sz w:val="20"/>
          <w:szCs w:val="20"/>
          <w:color w:val="auto"/>
        </w:rPr>
      </w:pPr>
    </w:p>
    <w:p>
      <w:pPr>
        <w:jc w:val="both"/>
        <w:ind w:left="480"/>
        <w:spacing w:after="0" w:line="265" w:lineRule="auto"/>
        <w:rPr>
          <w:sz w:val="20"/>
          <w:szCs w:val="20"/>
          <w:color w:val="auto"/>
        </w:rPr>
      </w:pPr>
      <w:r>
        <w:rPr>
          <w:rFonts w:ascii="Times New Roman" w:cs="Times New Roman" w:eastAsia="Times New Roman" w:hAnsi="Times New Roman"/>
          <w:sz w:val="19"/>
          <w:szCs w:val="19"/>
          <w:color w:val="auto"/>
        </w:rPr>
        <w:t>On April 26, 2022, a business combination was closed between SoundHound Inc (“Legacy SoundHound”), and Archimedes Tech SPAC Partners Co. (“ATSP”), a special purpose acquisition company. The combined company is called SoundHound AI, Inc. and its Class A Common Stock and certain of its warrants commenced trading on the Nasdaq Global Market under the symbols “SOUN” and “SOUNW,” respectively, on April 28, 2022.</w:t>
      </w:r>
    </w:p>
    <w:p>
      <w:pPr>
        <w:spacing w:after="0" w:line="155"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On January 3, 2024, the Company completed the acquisition of Synq3, Inc. (“SYNQ3”) in a cash and stock transaction. On June 14, 2024, the Company completed an immaterial acquisition in a cash transaction. On August 6, 2024, the Company completed the acquisition of Amelia Holdings, Inc. (“Amelia”) in a cash and stock transaction. On September 3, 2025, the Company completed the acquisition of Interactions Corporation (“Interactions”) in a cash transaction. Refer to Note 3 for additional information.</w:t>
      </w: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Going Concern</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Since inception, the Company has generated recurring losses as well as negative operating cash flows in the annual financial statements. As of December 31, 2025, the Company had an accumulated deficit of $957.1 million. Management expects to continue to incur additional substantial losses in the foreseeable future. The Company has historically funded its operations primarily through equity or debt financings.</w:t>
      </w:r>
    </w:p>
    <w:p>
      <w:pPr>
        <w:spacing w:after="0" w:line="169"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Total unrestricted cash and cash equivalents on hand as of December 31, 2025 was $248.5 million. Although the Company has incurred recurring losses each year since its inception, the Company expects it will be able to fund its operations for at least the next twelve months from the date these consolidated financial statements are issued. The Company may seek funding through additional debt or equity financing arrangements, implement incremental expense reduction measures or a combination thereof to continue financing its operations. The Company’s consolidated financial statements have been prepared assuming the Company will continue as a going concern, which contemplates, among other things, the realization of assets and satisfaction of liabilities in the normal course of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BASIS OF PRESENTATION AND SUMMARY OF SIGNIFICANT ACCOUNTING POLICIES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Basis of Presentation and Significant Accounting Policies</w:t>
      </w:r>
    </w:p>
    <w:p>
      <w:pPr>
        <w:spacing w:after="0" w:line="177" w:lineRule="exact"/>
        <w:rPr>
          <w:sz w:val="20"/>
          <w:szCs w:val="20"/>
          <w:color w:val="auto"/>
        </w:rPr>
      </w:pPr>
    </w:p>
    <w:p>
      <w:pPr>
        <w:jc w:val="both"/>
        <w:ind w:left="48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942" w:right="1440" w:bottom="348"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Principles of Consolidation</w:t>
      </w:r>
    </w:p>
    <w:p>
      <w:pPr>
        <w:spacing w:after="0" w:line="17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Company’s consolidated financial statements include the accounts of the Company and its wholly-owned subsidiaries. All intercompany accounts and transactions have been eliminated in consolidation.</w:t>
      </w:r>
    </w:p>
    <w:p>
      <w:pPr>
        <w:spacing w:after="0" w:line="174"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Foreign Currency</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2025, 2024 and 2023, the Company recognized net losses related to foreign currency transactions and remeasurements of $0.8 million, $0.7 million and $0.5 million, respectively, in the consolidated statements of operations as other expense, net.</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credit losses, software development costs, accrued liabilities, derivative and warrant liabilities, calculation of the incremental borrowing rate, financial instruments recorded at fair value on a recurring basis, the accounting for business combinations and allocating purchase price, valuation and estimating the useful life of identifiable intangible assets, probability of achievement of revenue estimates related to contingent earnout consideration and performance-based equity awards, valuation of deferred tax assets and uncertain tax positions and the fair value of common stock and other assumptions used to measure stock-based compensation expense. In connection with the measurement period for the acquisition of Amelia and Interactions, no significant estimates were changed during the years ended December 31, 2025 and 2024.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2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Accounts Receivable, Net</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173"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When the Company records customer receivables and contract assets arising from revenue transactions, an allowance is recorded for credit losses for the current expected credit losses (“CECL”) inherent in the asset over its expected life. The allowance for credit losses is a valuation account deducted from the amortized cost basis of the assets to present their net carrying value at the amount expected to be collected. Each period, the allowance for credit losses is adjusted through earnings to reflect expected credit losses over the remaining lives of the assets.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941" w:right="1440" w:bottom="348"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8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estimates expected credit losses based on relevant information about past events, including historical experience, payment terms, environmental and industry factors, and reasonable and supportable forecasts that affect the collectability of the reported amount. When measuring expected credit losses, we pool assets with similar country risk and credit risk characteristics. Changes in the relevant information may materially affect the estimates of expected credit losses.</w:t>
      </w: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Property and Equipment, Net</w:t>
      </w:r>
    </w:p>
    <w:p>
      <w:pPr>
        <w:spacing w:after="0" w:line="17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and amortization. Depreciation and amortization is provided using the straight-line method over the estimated useful lives of the respective assets.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estimated useful lives of the Company’s property and equipment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 . . . . . . . . . . . . . . . . . . . . . . . . . . . . . . . . . . . . . .</w:t>
            </w:r>
          </w:p>
        </w:tc>
        <w:tc>
          <w:tcPr>
            <w:tcW w:w="362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3 – 4 years</w:t>
            </w:r>
          </w:p>
        </w:tc>
      </w:tr>
      <w:tr>
        <w:trPr>
          <w:trHeight w:val="26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Software . . . . . . . . . . . . . . . . . . . . . . . . . . . . . . . . . . . . . . . . . . . . . . .</w:t>
            </w:r>
          </w:p>
        </w:tc>
        <w:tc>
          <w:tcPr>
            <w:tcW w:w="362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3 years</w:t>
            </w:r>
          </w:p>
        </w:tc>
      </w:tr>
      <w:tr>
        <w:trPr>
          <w:trHeight w:val="26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 . . . . . . . . . . . . . . . . . . . . . . . . . . . . . . . . . . . . .</w:t>
            </w:r>
          </w:p>
        </w:tc>
        <w:tc>
          <w:tcPr>
            <w:tcW w:w="362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7"/>
              </w:rPr>
              <w:t>5 years</w:t>
            </w:r>
          </w:p>
        </w:tc>
      </w:tr>
      <w:tr>
        <w:trPr>
          <w:trHeight w:val="26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 . . . . . . . . . . . . . . . . . . . . . . . . . . . . . . . . . .</w:t>
            </w:r>
          </w:p>
        </w:tc>
        <w:tc>
          <w:tcPr>
            <w:tcW w:w="362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Lesser of useful life or the term of the lease</w:t>
            </w:r>
          </w:p>
        </w:tc>
      </w:tr>
    </w:tbl>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Maintenance and repairs that do not extend the life or improve the asset are expensed as incurred.</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Capitalized Software Development Costs</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capitalizes qualifying internal-use software development costs under Accounting Standards Codification Topic 350-40, Internal-use Software (“ASC 350-40”). The costs consist of personnel costs, including related benefits and stock-based compensation, and cloud costs that were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post-implementation operating activities are expensed as incurred.</w:t>
      </w:r>
    </w:p>
    <w:p>
      <w:pPr>
        <w:spacing w:after="0" w:line="171"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also capitalizes qualifying software development costs under Accounting Standards Codification Topic 985-20, Costs of Software to be Sold, Leased or Marketed (“ASC 985-20”). All costs to establish technological feasibility are expensed as incurred. Costs incurred subsequent to establishing technological feasibility are capitalized until the software product is available for general release to customers.</w:t>
      </w:r>
    </w:p>
    <w:p>
      <w:pPr>
        <w:spacing w:after="0" w:line="169" w:lineRule="exact"/>
        <w:rPr>
          <w:sz w:val="20"/>
          <w:szCs w:val="20"/>
          <w:color w:val="auto"/>
        </w:rPr>
      </w:pPr>
    </w:p>
    <w:p>
      <w:pPr>
        <w:jc w:val="both"/>
        <w:ind w:left="480"/>
        <w:spacing w:after="0" w:line="265" w:lineRule="auto"/>
        <w:rPr>
          <w:sz w:val="20"/>
          <w:szCs w:val="20"/>
          <w:color w:val="auto"/>
        </w:rPr>
      </w:pPr>
      <w:r>
        <w:rPr>
          <w:rFonts w:ascii="Times New Roman" w:cs="Times New Roman" w:eastAsia="Times New Roman" w:hAnsi="Times New Roman"/>
          <w:sz w:val="19"/>
          <w:szCs w:val="19"/>
          <w:color w:val="auto"/>
        </w:rPr>
        <w:t>Capitalized software development costs under ASC 350-40 and ASC 985-20 are included in other non-current assets, net of amortization, on the consolidated balance sheets. These costs are amortized over the estimated useful life of the software, which is estimated to be three years. The amortization of capitalized software development costs is included in cost of revenue in the consolidated statement of operations and comprehensive loss.</w:t>
      </w:r>
    </w:p>
    <w:p>
      <w:pPr>
        <w:spacing w:after="0" w:line="2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Impairment of Long-Lived Assets</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evaluates property and equipment for impairment whenever events or changes in circumstances indicate that the carrying amount of a specific asset or asset group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2025, there have been no such impairments.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941" w:right="1440" w:bottom="348"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Leases</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evaluates if an arrangement is a lease at its inception. Operating lease liabilities are recognized at the lease commencement date based on the present value of lease payments over the lease term. The Company generally determines our incremental borrowing rate based on the information available at the lease commencement date in determining the present value of future payments, because the implicit rate of the lease is generally not known. Right-of-use (“ROU”) assets related to our operating lease liabilities are measured at lease inception based on the initial measurement of the lease liability, plus any prepaid lease payments and less any lease incentives, as applicable. The lease terms that are used in determining our operating lease liabilities at lease inception may include options to extend or terminate the leases when it is reasonably certain that we will exercise such options. The Company amortizes the ROU assets as operating lease expense generally on a straight-line basis over the lease term and classify both the lease amortization and imputed interest as operating expenses. The Company has lease agreements with lease and non-lease components. The Company elected to not separate lease and non-lease components for its asset class of equipment.</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Cash and Cash Equivalents</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considers all highly liquid investments purchased with an original maturity of three months or less from the date of purchase to be cash equivalents. The Company’s cash equivalents consist of treasury bills and money market funds. The treasury bills are treated as available-for-sale securities. Cash equivalents are measured and reported at fair value using quoted prices in active markets for similar securities. The deposits exceed federally insured limits. Changes in fair value for cash equivalents classified as available for sale securities are recorded to other comprehensive loss.</w:t>
      </w:r>
    </w:p>
    <w:p>
      <w:pPr>
        <w:spacing w:after="0" w:line="168"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As of December 31, 2025, and 2024, available-for-sale securities consisted of U.S. Treasury bills and investments in government money market funds. The Company’s U.S. Treasury bills and the underlying securities held by the government money market funds had weighted-average maturities of three months or less as of the reporting date.</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Cash</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Company’s restricted cash was established according to the requirements under various office lease agreements, which is held by lessors in the form of a deposit under the lease agreements. Restricted cash is classified as current or non-current on the consolidated balance sheets based on the expected duration of the restriction.</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Segment Information</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Concentrations of Credit Risk and Other Risks and Uncertainties</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spacing w:after="0" w:line="169"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As of December 31, 2025, there was no customer that accounted for more than 10% of the Company’s consolidated accounts receivable balance. As of December 31, 2024, accounts receivable balances due from Customer A accounted for 23% of the Company’s consolidated accounts receivable balance, respectively.</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941" w:right="1440" w:bottom="348"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8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As of December 31, 2025, unbilled receivables from Customer B, C, D, E and F accounted for 23%, 17%, 16%, 14%, and 13% of the Company’s consolidated unbilled receivables balance, respectively. As of December 31, 2024, unbilled receivables from Customer C and D accounted for 50% and 24% of the Company’s consolidated unbilled receivables balance, respectively.</w:t>
      </w:r>
    </w:p>
    <w:p>
      <w:pPr>
        <w:spacing w:after="0" w:line="169"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2025, there was no customer that accounted for more than 10% of revenue. For the year ended December 31, 2024, Customer C accounted for 14% of revenue. For the year ended December 31, 2023, Customer C and G accounted for 49% and 13% of revenue, respectively.</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Common Stock Offerings</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The Company has entered into certain agreements to sell common stock with counterparties including through the Equity Line of Credit (“ELOC”) program and “at-the-market” offering programs pursuant to the Sales Agreement, Equity Distribution Agreement, Execute Equity Distribution Agreements and Second Equity Distribution Agreement (each as described in Note 14) to further support its growth strategy through initiatives such as accretive acquisitions and internal investments, to bolster working capital, and/or for general corporate purposes. The Company evaluates its common stock purchase agreements to determine whether they should be accounted for as derivatives with changes in fair value as other income, net in the period in which they occur.</w:t>
      </w:r>
    </w:p>
    <w:p>
      <w:pPr>
        <w:spacing w:after="0" w:line="2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Equity Issuance Costs</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capitalizes certain legal, professional, accounting and other third-party fees that are directly associated with in-process equity-classified financings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consolidated statements of operations.</w:t>
      </w: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Revenue Recognition</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 xml:space="preserve">The Company recognizes revenue under Accounting Standards Codification Topic 606 (“ASC 606”), </w:t>
      </w:r>
      <w:r>
        <w:rPr>
          <w:rFonts w:ascii="Times New Roman" w:cs="Times New Roman" w:eastAsia="Times New Roman" w:hAnsi="Times New Roman"/>
          <w:sz w:val="20"/>
          <w:szCs w:val="20"/>
          <w:i w:val="1"/>
          <w:iCs w:val="1"/>
          <w:color w:val="auto"/>
        </w:rPr>
        <w:t>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from Contracts with Customers</w:t>
      </w:r>
      <w:r>
        <w:rPr>
          <w:rFonts w:ascii="Times New Roman" w:cs="Times New Roman" w:eastAsia="Times New Roman" w:hAnsi="Times New Roman"/>
          <w:sz w:val="20"/>
          <w:szCs w:val="20"/>
          <w:color w:val="auto"/>
        </w:rPr>
        <w:t>, when a customer obtains control of promised goods or services in an 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65" w:lineRule="exact"/>
        <w:rPr>
          <w:sz w:val="20"/>
          <w:szCs w:val="20"/>
          <w:color w:val="auto"/>
        </w:rPr>
      </w:pPr>
    </w:p>
    <w:p>
      <w:pPr>
        <w:ind w:left="1440" w:hanging="480"/>
        <w:spacing w:after="0"/>
        <w:tabs>
          <w:tab w:leader="none" w:pos="14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contract(s) with a customer;</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 including the constraint on variable consideration;</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 and</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performance obligations are satisfied.</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Contracts are accounted for when both parties have approved and committed to the contract, the rights of the parties and payment terms are identifiable, the contract has commercial substance and collectability of consideration is probable.</w:t>
      </w:r>
    </w:p>
    <w:p>
      <w:pPr>
        <w:spacing w:after="0" w:line="173"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w:t>
      </w:r>
    </w:p>
    <w:p>
      <w:pPr>
        <w:sectPr>
          <w:pgSz w:w="12240" w:h="15840" w:orient="portrait"/>
          <w:cols w:equalWidth="0" w:num="1">
            <w:col w:w="9360"/>
          </w:cols>
          <w:pgMar w:left="1440" w:top="941" w:right="1440" w:bottom="348"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941" w:right="1440" w:bottom="348"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83"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capitalizes material sales commission expenses and associated payroll taxes paid to sales personnel that are incremental in obtaining a contract. The Company elected the practical expedient to recognize the incremental costs of obtaining a contract including sales commissions as an expense when incurred if the amortization period of such incremental cost would otherwise have been one year or less. Capitalized sales commissions are amortized over the period of benefit based on contract term, expected contract renewals and application useful life. Costs to obtain a contract that will be amortized within the succeeding 12-month period are classified as current and included in other current assets on the consolidated balance sheets. The remaining balance is classified as non-current and included in other assets on the consolidated balance sheets. Amortization expense is included in sales and marketing expenses in the consolidated statements of operations and comprehensive loss. Deferred commissions are periodically analyzed for impairment. As of December 31, 2025 and December 31, 2024, the Company capitalized sales commissions expenses of $3.7 million and zero, respectively, which were classified as other current assets and other non-current assets on the consolidated balance sheet.</w:t>
      </w: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Research and Development</w:t>
      </w:r>
    </w:p>
    <w:p>
      <w:pPr>
        <w:spacing w:after="0" w:line="177"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9"/>
          <w:szCs w:val="19"/>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Advertising Expenses</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Advertising expenses of $3.6 million, $2.8 million and $1.9 million incurred during the years ended December 31, 2025, 2024 and 2023, respectively, were expensed as incurred as a component of sales and marketing expenses on the consolidated statement of operations and comprehensive loss.</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Warrants</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net in the consolidated statements of operations.</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Income Taxes</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71"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Company classifies interest and penalties related to uncertain tax positions in income tax expense, if applicable. The Company has recorded $0.1 million interest expense and penalties related to unrecognized tax benefits through December 31, 2025.</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941" w:right="1440" w:bottom="348"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Stock-Based Compensation</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except for restricted stock unit awards (“RSUs”) with vesting conditions tied to certain performance criteria (“Performance-Based RSUs”). Stock-based compensation costs for Performance-Based RSUs are recognized on a graded-vesting basis over the vesting period based on the most probable outcome of the performance conditions. If the minimum performance targets are not met, no compensation cost is recognized and any recognized compensation cost is reversed, except for awards subject to a market condition. The Company accounts for forfeitures as they occur. The Company uses the Black-Scholes option-pricing model to determine the fair value of stock options and employee stock purchase plan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granted by using the Black-Scholes option-pricing model with the following assumptions:</w:t>
      </w:r>
    </w:p>
    <w:p>
      <w:pPr>
        <w:spacing w:after="0" w:line="180" w:lineRule="exact"/>
        <w:rPr>
          <w:sz w:val="20"/>
          <w:szCs w:val="20"/>
          <w:color w:val="auto"/>
        </w:rPr>
      </w:pPr>
    </w:p>
    <w:p>
      <w:pPr>
        <w:jc w:val="both"/>
        <w:ind w:left="9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 The Company estimates volatility for the awards by evaluating the average historical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volatility of a peer group of companies for the period immediately preceding the award grant for a term that is approximately equal to the awards’ expected term.</w:t>
      </w:r>
    </w:p>
    <w:p>
      <w:pPr>
        <w:spacing w:after="0" w:line="173" w:lineRule="exact"/>
        <w:rPr>
          <w:sz w:val="20"/>
          <w:szCs w:val="20"/>
          <w:color w:val="auto"/>
        </w:rPr>
      </w:pPr>
    </w:p>
    <w:p>
      <w:pPr>
        <w:jc w:val="both"/>
        <w:ind w:left="9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Expected Term </w:t>
      </w:r>
      <w:r>
        <w:rPr>
          <w:rFonts w:ascii="Times New Roman" w:cs="Times New Roman" w:eastAsia="Times New Roman" w:hAnsi="Times New Roman"/>
          <w:sz w:val="20"/>
          <w:szCs w:val="20"/>
          <w:color w:val="auto"/>
        </w:rPr>
        <w:t>— The expected term of the Company’s awards represents the period that the stock-based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w:t>
      </w:r>
    </w:p>
    <w:p>
      <w:pPr>
        <w:spacing w:after="0" w:line="168" w:lineRule="exact"/>
        <w:rPr>
          <w:sz w:val="20"/>
          <w:szCs w:val="20"/>
          <w:color w:val="auto"/>
        </w:rPr>
      </w:pPr>
    </w:p>
    <w:p>
      <w:pPr>
        <w:jc w:val="both"/>
        <w:ind w:left="960"/>
        <w:spacing w:after="0" w:line="268" w:lineRule="auto"/>
        <w:rPr>
          <w:sz w:val="20"/>
          <w:szCs w:val="20"/>
          <w:color w:val="auto"/>
        </w:rPr>
      </w:pPr>
      <w:r>
        <w:rPr>
          <w:rFonts w:ascii="Times New Roman" w:cs="Times New Roman" w:eastAsia="Times New Roman" w:hAnsi="Times New Roman"/>
          <w:sz w:val="19"/>
          <w:szCs w:val="19"/>
          <w:i w:val="1"/>
          <w:iCs w:val="1"/>
          <w:color w:val="auto"/>
        </w:rPr>
        <w:t xml:space="preserve">Risk-Free Interest Rate </w:t>
      </w:r>
      <w:r>
        <w:rPr>
          <w:rFonts w:ascii="Times New Roman" w:cs="Times New Roman" w:eastAsia="Times New Roman" w:hAnsi="Times New Roman"/>
          <w:sz w:val="19"/>
          <w:szCs w:val="19"/>
          <w:color w:val="auto"/>
        </w:rPr>
        <w:t>— The risk-free interest rate is based on the implied yield currently available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 Treasury zero-coupon issues with a term that is equal to the awards’ expected term at the grant date.</w:t>
      </w:r>
    </w:p>
    <w:p>
      <w:pPr>
        <w:spacing w:after="0" w:line="152" w:lineRule="exact"/>
        <w:rPr>
          <w:sz w:val="20"/>
          <w:szCs w:val="20"/>
          <w:color w:val="auto"/>
        </w:rPr>
      </w:pPr>
    </w:p>
    <w:p>
      <w:pPr>
        <w:jc w:val="both"/>
        <w:ind w:left="9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Expected Dividend Yield </w:t>
      </w:r>
      <w:r>
        <w:rPr>
          <w:rFonts w:ascii="Times New Roman" w:cs="Times New Roman" w:eastAsia="Times New Roman" w:hAnsi="Times New Roman"/>
          <w:sz w:val="20"/>
          <w:szCs w:val="20"/>
          <w:color w:val="auto"/>
        </w:rPr>
        <w:t>— The Company has not declared or paid dividends to date and does not anticipate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declaring dividends. As such, expected dividend yield is zero.</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Units</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Company issues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73"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Stock-based compensation related to Performance-Based RSUs is recognized to the extent it is determined that performance is probable of being achieved.</w:t>
      </w:r>
    </w:p>
    <w:p>
      <w:pPr>
        <w:spacing w:after="0" w:line="174"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941" w:right="1440" w:bottom="348"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Fair Value Measurements</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73" w:lineRule="exact"/>
        <w:rPr>
          <w:sz w:val="20"/>
          <w:szCs w:val="20"/>
          <w:color w:val="auto"/>
        </w:rPr>
      </w:pPr>
    </w:p>
    <w:p>
      <w:pPr>
        <w:ind w:left="1440" w:hanging="480"/>
        <w:spacing w:after="0" w:line="243" w:lineRule="auto"/>
        <w:tabs>
          <w:tab w:leader="none" w:pos="1440" w:val="left"/>
        </w:tabs>
        <w:numPr>
          <w:ilvl w:val="0"/>
          <w:numId w:val="4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Level 1 — </w:t>
      </w:r>
      <w:r>
        <w:rPr>
          <w:rFonts w:ascii="Times New Roman" w:cs="Times New Roman" w:eastAsia="Times New Roman" w:hAnsi="Times New Roman"/>
          <w:sz w:val="20"/>
          <w:szCs w:val="20"/>
          <w:color w:val="auto"/>
        </w:rPr>
        <w:t>Inputs are unadjusted quoted prices in active markets for identical assets or liabilities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measurement date.</w:t>
      </w:r>
    </w:p>
    <w:p>
      <w:pPr>
        <w:spacing w:after="0" w:line="174" w:lineRule="exact"/>
        <w:rPr>
          <w:rFonts w:ascii="Times New Roman" w:cs="Times New Roman" w:eastAsia="Times New Roman" w:hAnsi="Times New Roman"/>
          <w:sz w:val="20"/>
          <w:szCs w:val="20"/>
          <w:i w:val="1"/>
          <w:iCs w:val="1"/>
          <w:color w:val="auto"/>
        </w:rPr>
      </w:pPr>
    </w:p>
    <w:p>
      <w:pPr>
        <w:jc w:val="both"/>
        <w:ind w:left="1440" w:hanging="480"/>
        <w:spacing w:after="0" w:line="246" w:lineRule="auto"/>
        <w:tabs>
          <w:tab w:leader="none" w:pos="1440" w:val="left"/>
        </w:tabs>
        <w:numPr>
          <w:ilvl w:val="0"/>
          <w:numId w:val="4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Level 2 — </w:t>
      </w:r>
      <w:r>
        <w:rPr>
          <w:rFonts w:ascii="Times New Roman" w:cs="Times New Roman" w:eastAsia="Times New Roman" w:hAnsi="Times New Roman"/>
          <w:sz w:val="20"/>
          <w:szCs w:val="20"/>
          <w:color w:val="auto"/>
        </w:rPr>
        <w:t>Inputs (other than quoted market prices included in Level 1) are either directly or indirectly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observable for the asset or liability through correlation with market data at the measurement date and for the duration of the instrument’s anticipated life.</w:t>
      </w:r>
    </w:p>
    <w:p>
      <w:pPr>
        <w:spacing w:after="0" w:line="172" w:lineRule="exact"/>
        <w:rPr>
          <w:rFonts w:ascii="Times New Roman" w:cs="Times New Roman" w:eastAsia="Times New Roman" w:hAnsi="Times New Roman"/>
          <w:sz w:val="20"/>
          <w:szCs w:val="20"/>
          <w:i w:val="1"/>
          <w:iCs w:val="1"/>
          <w:color w:val="auto"/>
        </w:rPr>
      </w:pPr>
    </w:p>
    <w:p>
      <w:pPr>
        <w:jc w:val="both"/>
        <w:ind w:left="1440" w:hanging="480"/>
        <w:spacing w:after="0" w:line="246" w:lineRule="auto"/>
        <w:tabs>
          <w:tab w:leader="none" w:pos="1440" w:val="left"/>
        </w:tabs>
        <w:numPr>
          <w:ilvl w:val="0"/>
          <w:numId w:val="4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Level 3 — </w:t>
      </w:r>
      <w:r>
        <w:rPr>
          <w:rFonts w:ascii="Times New Roman" w:cs="Times New Roman" w:eastAsia="Times New Roman" w:hAnsi="Times New Roman"/>
          <w:sz w:val="20"/>
          <w:szCs w:val="20"/>
          <w:color w:val="auto"/>
        </w:rPr>
        <w:t>Inputs reflect management’s best estimate of what market participants would use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pricing the asset or liability at the measurement date. Consideration is given to the risk inherent in the valuation technique and the risk inherent in the inputs to the model.</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Preferred Stock</w:t>
      </w:r>
    </w:p>
    <w:p>
      <w:pPr>
        <w:spacing w:after="0" w:line="177"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20"/>
          <w:szCs w:val="20"/>
          <w:color w:val="auto"/>
        </w:rPr>
        <w:t>The Company assesses its preferred stock instruments at issuance and each reporting period for classification and derivative features requiring bifurcation.</w:t>
      </w:r>
    </w:p>
    <w:p>
      <w:pPr>
        <w:spacing w:after="0" w:line="174" w:lineRule="exact"/>
        <w:rPr>
          <w:sz w:val="20"/>
          <w:szCs w:val="20"/>
          <w:color w:val="auto"/>
        </w:rPr>
      </w:pPr>
    </w:p>
    <w:p>
      <w:pPr>
        <w:ind w:left="480"/>
        <w:spacing w:after="0" w:line="263" w:lineRule="auto"/>
        <w:rPr>
          <w:sz w:val="20"/>
          <w:szCs w:val="20"/>
          <w:color w:val="auto"/>
        </w:rPr>
      </w:pPr>
      <w:r>
        <w:rPr>
          <w:rFonts w:ascii="Times New Roman" w:cs="Times New Roman" w:eastAsia="Times New Roman" w:hAnsi="Times New Roman"/>
          <w:sz w:val="19"/>
          <w:szCs w:val="19"/>
          <w:color w:val="auto"/>
        </w:rPr>
        <w:t>The Company presents as temporary equity any stock which (i) the Company undertakes to redeem at a fixed or determinable price on the fixed or determinable date or dates; (ii) is redeemable at the option of the holders, or</w:t>
      </w:r>
    </w:p>
    <w:p>
      <w:pPr>
        <w:spacing w:after="0" w:line="1" w:lineRule="exact"/>
        <w:rPr>
          <w:sz w:val="20"/>
          <w:szCs w:val="20"/>
          <w:color w:val="auto"/>
        </w:rPr>
      </w:pPr>
    </w:p>
    <w:p>
      <w:pPr>
        <w:jc w:val="both"/>
        <w:ind w:left="480"/>
        <w:spacing w:after="0" w:line="264" w:lineRule="auto"/>
        <w:tabs>
          <w:tab w:leader="none" w:pos="83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conditions for redemption which are not solely within the control of the Company. For stock presented as temporary equity that is not currently redeemable, the Company assesses the probability of the event that would lead to redemption. If it is probable that the equity instrument will become redeemable, the Company accretes changes in the redemption value over the period from the date of issuance, or from the date that it becomes probable that the instrument will become redeemable, if later, to the earliest redemption date of the instrument using an appropriate methodology. If an equity instrument classified as temporary equity is not probable of redemption, subsequent adjustment of the amounts presented in temporary equity is unnecessary.</w:t>
      </w:r>
    </w:p>
    <w:p>
      <w:pPr>
        <w:spacing w:after="0" w:line="2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Net Loss Per Share</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7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Series A Preferred Stock, stock options, ESPP shares, RSUs and warrants are considered to be potentially dilutive securities. See Note 15 for further information.</w:t>
      </w:r>
    </w:p>
    <w:p>
      <w:pPr>
        <w:spacing w:after="0" w:line="172" w:lineRule="exact"/>
        <w:rPr>
          <w:sz w:val="20"/>
          <w:szCs w:val="20"/>
          <w:color w:val="auto"/>
        </w:rPr>
      </w:pPr>
    </w:p>
    <w:p>
      <w:pPr>
        <w:jc w:val="both"/>
        <w:ind w:left="480"/>
        <w:spacing w:after="0" w:line="268" w:lineRule="auto"/>
        <w:rPr>
          <w:sz w:val="20"/>
          <w:szCs w:val="20"/>
          <w:color w:val="auto"/>
        </w:rPr>
      </w:pPr>
      <w:r>
        <w:rPr>
          <w:rFonts w:ascii="Times New Roman" w:cs="Times New Roman" w:eastAsia="Times New Roman" w:hAnsi="Times New Roman"/>
          <w:sz w:val="19"/>
          <w:szCs w:val="19"/>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52"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Company issued Series A Preferred Stock, which accrues cumulative dividends which are either paid in cash or compounding to the liquidation preference at the discretion of the board of directors. The Company accrues dividends as adjustments to net loss before net loss attributable to common stockholders.</w:t>
      </w:r>
    </w:p>
    <w:p>
      <w:pPr>
        <w:spacing w:after="0" w:line="173"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9"/>
          <w:szCs w:val="19"/>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941" w:right="1440" w:bottom="348"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8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available to common stockholders.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Business Combinations and Contingent Consideration</w:t>
      </w:r>
    </w:p>
    <w:p>
      <w:pPr>
        <w:spacing w:after="0" w:line="177" w:lineRule="exact"/>
        <w:rPr>
          <w:sz w:val="20"/>
          <w:szCs w:val="20"/>
          <w:color w:val="auto"/>
        </w:rPr>
      </w:pPr>
    </w:p>
    <w:p>
      <w:pPr>
        <w:jc w:val="both"/>
        <w:ind w:left="480"/>
        <w:spacing w:after="0" w:line="263" w:lineRule="auto"/>
        <w:rPr>
          <w:sz w:val="20"/>
          <w:szCs w:val="20"/>
          <w:color w:val="auto"/>
        </w:rPr>
      </w:pPr>
      <w:r>
        <w:rPr>
          <w:rFonts w:ascii="Times New Roman" w:cs="Times New Roman" w:eastAsia="Times New Roman" w:hAnsi="Times New Roman"/>
          <w:sz w:val="19"/>
          <w:szCs w:val="19"/>
          <w:color w:val="auto"/>
        </w:rPr>
        <w:t>Business combinations are accounted for using the acquisition method. The Company allocates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Fair value of the acquired intangible assets was determined using an income approach, specifically the multi-period excess earnings method, relief-from-royalty method, or the with-and-without method, depending on the nature of the respective assets. Management’s estimates of fair value are based upon assumptions believed to be reasonable, but the estimates and assumptions are inherently uncertain and subject to refinement. The significant judgments and assumptions used in valuing the developed technology include revenue growth rates, prospective financial information for cost of sales, research and development expenses and, other operating expenses, the discount rate, the technological obsolescence rate, and contributory asset charges. For customer relationships, the significant judgments and assumptions include revenue growth rates, customer attrition rate, prospective financial information for cost of sales and fixed and variable operating expenses and the discount rate. These estimates are inherently uncertain and, therefore, actual results may differ from the estimates made. As a result, during the measurement period of up to one year from the acquisition date, the Company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consolidated statements of operations in the period they are identified. Acquisition-related expenses are recognized separately from the business combination and expensed as incurred.</w:t>
      </w:r>
    </w:p>
    <w:p>
      <w:pPr>
        <w:spacing w:after="0" w:line="171"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Certain business combinations include contingent consideration arrangements, which are generally based on achievement of future financial performance or future events. If it is determined the contingent consideration arrangement is not compensatory, the Company estimates fair value of contingent consideration payments as part of the initial purchase price and records the estimated fair value of contingent consideration as a liability in the consolidated balance sheet. The Company reviews and assesses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consolidated statements of operations.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Goodwill</w:t>
      </w:r>
    </w:p>
    <w:p>
      <w:pPr>
        <w:spacing w:after="0" w:line="177"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19"/>
          <w:szCs w:val="19"/>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 Company’s policy is to review goodwill for impairment annually on October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9"/>
          <w:szCs w:val="19"/>
          <w:color w:val="auto"/>
        </w:rPr>
        <w:t xml:space="preserve"> unless a triggering event requires an analysis sooner. There was no goodwill impairment in any of the periods presented.</w:t>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Intangible Assets with Definite Lives</w:t>
      </w:r>
    </w:p>
    <w:p>
      <w:pPr>
        <w:spacing w:after="0" w:line="177"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9"/>
          <w:szCs w:val="19"/>
          <w:color w:val="auto"/>
        </w:rPr>
        <w:t>The Company’s intangible assets consist principally of developed technology, customer relationships, tradename, and conversation data. The Company assesses the appropriate method of amortization of the intangible assets that reflects the pattern in which the economic benefits of the intangible assets are consumed. The Company</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941" w:right="1440" w:bottom="348"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8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69"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2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Recent Accounting Pronouncements — Adopted</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continually assesses any ASUs or other new accounting pronouncements issued by the FASB to determine their applicability and impact. Where it is determined that a new accounting pronouncement will result in a change to the Company’s financial reporting, the Company takes the appropriate steps to ensure that such changes are properly reflected in the consolidated financial statements or notes thereto.</w:t>
      </w:r>
    </w:p>
    <w:p>
      <w:pPr>
        <w:spacing w:after="0" w:line="169"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In December 2023, the FASB issued Accounting Standards Update No. 2023-09, “Income Taxes (Topic 740): Improvements to Income Taxes Disclosures” (“ASU 2023-09”), which requires more detailed income tax disclosures. The guidance requires entities to disclose disaggregated information about their effective tax rate reconciliation as well as expanded information on income taxes paid by jurisdiction. The disclosure requirements are applied on a prospective basis, with the option to apply them retrospectively. The standard is effective for fiscal years beginning after December 15, 2024, with early adoption permitted. The Company adopted the standard retrospectively for the year ended December 31, 2025. See Note 19 of our consolidated financial statements included within this report for additional details.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Recent Accounting Pronouncements — Not Yet Adopted</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In November 2024, the FASB issued Accounting Standards Update No. 2024-03.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currently evaluating the impact that the updated standard will have on the financial statement disclosures.</w:t>
      </w:r>
    </w:p>
    <w:p>
      <w:pPr>
        <w:spacing w:after="0" w:line="171"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In July 2025, the FASB issued Accounting Standards Update No. 2025-05. The standard is intended to provide a practical expedient for all entities and an accounting policy election available to all entities other than public business entities related to the estimation of expected credit losses for current accounts receivable and current contract assets that arise from transactions accounted for under ASC 606. This ASU is effective for fiscal years beginning after December 15, 2025, and interim periods within those fiscal years. Early adoption is permitted. The amendments should be applied prospectively to financial statements issued for reporting periods after the effective date of this ASU. The Company is currently evaluating the impact that the updated standard will have on the financial statement disclosures.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941" w:right="1440" w:bottom="348"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NOTE 2. BASIS OF PRESENTATION AND SUMMARY OF SIGNIFICANT ACCOUNTING POLICIES </w:t>
      </w:r>
      <w:r>
        <w:rPr>
          <w:rFonts w:ascii="Times New Roman" w:cs="Times New Roman" w:eastAsia="Times New Roman" w:hAnsi="Times New Roman"/>
          <w:sz w:val="19"/>
          <w:szCs w:val="19"/>
          <w:color w:val="auto"/>
        </w:rPr>
        <w:t>(cont.)</w:t>
      </w:r>
    </w:p>
    <w:p>
      <w:pPr>
        <w:spacing w:after="0" w:line="183"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In September 2025, the FASB issued Accounting Standards Update No. 2025-06. The standard amends certain aspects of the accounting for and disclosure of internal-use software costs by increasing the operability of the recognition guidance considering different methods of software development under ASC 350-40. This ASU is effective for fiscal years beginning after December 15, 2027, and interim periods within those fiscal years. Early adoption is permitted. The amendments can be applied prospectively, retrospectively, or with a modified transition approach to financial statements issued for reporting periods after the effective date of this ASU. The Company is currently evaluating the impact that the updated standard will have on the financial statement disclosures.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BUSINESS COMBINATIONS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SYNQ3 Acquisition</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On January 3, 2024 (the “SYNQ3 Acquisition Date”), the Company acquired all of the issued and outstanding equity of SYNQ3, a provider of voice AI and other technology solutions to the restaurant industry, for total purchase consideration of $15.8 million (the “SYNQ3 Acquisition”). The Company’s acquisition of SYNQ3 is expected to expand its AI customer service solutions and create a Voice AI provider for restaurants. The acquisition is expected to significantly extend the Company’s market reach and accelerate the deployment of generative AI capabilities to the industry.</w:t>
      </w:r>
    </w:p>
    <w:p>
      <w:pPr>
        <w:spacing w:after="0" w:line="168"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total purchase consideration includes $3.9 million in cash paid and 5,755,910 in shares of the Company’s Class A Common Stock. The Company has also withheld purchase consideration of $0.5 million in cash and 1,179,514 shares of the Company’s Class A Common Stock, subject to customary net working capital adjustments, to partially secure the indemnification obligations of SYNQ3’s former stockholders under the merger agreement and agreed to pay up to $0.8 million in cash and 1,434,936 in shares of the Company’s Class A Common Stock to certain former stockholders of SYNQ3 based upon the achievement of specified future milestones. On the SYNQ3 Acquisition Date, the Company also issued 2,033,156 restricted shares of the Company’s Class A Common Stock subject to time and performance-based vesting conditions. The fair value of the purchase consideration was $15.8 million.</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SYNQ3 Holdback</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$0.5 million in cash and 1,179,514 shares of the Company’s Class A Common Stock were withheld for a period of 15 months (the “SYNQ3 Holdback Amount”). The Company determined that there are two components to the SYNQ3 Holdback Amount related to deferred consideration and contingent consideration, each comprised of cash and shares.</w:t>
      </w:r>
    </w:p>
    <w:p>
      <w:pPr>
        <w:spacing w:after="0" w:line="169"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deferred cash holdback consideration of $0.1 million and the deferred share holdback consideration of 361,145 shares of the Company’s Class A Common Stock (collectively the “Deferred Consideration”) were not recognized as of the SYNQ3 Acquisition Date as such amounts were offset by the indemnification obligations of SYNQ3’s former stockholders.</w:t>
      </w:r>
    </w:p>
    <w:p>
      <w:pPr>
        <w:spacing w:after="0" w:line="169"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The contingent cash and share holdback consideration to be issued is variable (“Contingent SYNQ3 Holdback Consideration”). Final amounts to be issued will be reduced based upon future actions and settlements with third parties to resolve assumed contingent sales tax liabilities and certain other assumed contingent liabilities of SYNQ3 in connection with the SYNQ3 Acquisition. The Company accounted for the Contingent SYNQ3 Holdback Consideration as a liability on the consolidated balance sheet. As of the SYNQ3 Acquisition Date, the Contingent SYNQ3 Holdback Consideration was estimated to be $0.6 million in aggregate and to be settled in $0.1 million cash and the remainder in shares of the Company’s Class A Common Stock. During the year ended December 31, 2024, the Company issued 38,277 shares of the Company’s Class A Common Stock and paid an immaterial amount in cash from the Contingent SYNQ3 Holdback Consideration to SYNQ3’s former stockholders as a result of the net working capital adjustments settled during the year. The Contingent SYNQ3</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941" w:right="1440" w:bottom="348"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BUSINESS COMBINATIONS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Holdback Consideration will be subsequently remeasured at each reporting date with changes in fair value recognized as a component of operating expense on the Company’s consolidated statement of operations and comprehensive loss.</w:t>
      </w:r>
    </w:p>
    <w:p>
      <w:pPr>
        <w:spacing w:after="0" w:line="17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In April 2025, the Contingent SYNQ3 Holdback Consideration was settled by issuing 472,501 shares of the Company’s Class A Common Stock and paying $0.2 million in cash. After the holdback settlement, any remaining indemnifications by the sellers to cover unsettled claims was offset against the Contingent SYNQ3 Earnout Consideration to the extent of its fair value as of December 31, 2025.</w:t>
      </w: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See Note 12 for more information on the fair value measurement of shares associated with the holdback.</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Contingent SYNQ3 Earnout Consideration</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also agreed to pay in aggregate up to $0.8 million in cash and 1,434,936 in shares of Class A Common Stock to certain stockholders of SYNQ3 based on tiered annual revenue targets for each fiscal year 2024, 2025 and 2026 (the “Contingent SYNQ3 Earnout Consideration”). The Company accounted for the Contingent SYNQ3 Earnout Consideration as a liability within contingent acquisition liabilities on the Company’s consolidated balance sheets and will subsequently remeasure the liability at each reporting date with changes in fair value recognized as a component of operating expense in the Company’s consolidated statement of operations and comprehensive loss. As of the SYNQ3 Acquisition Date, the Contingent SYNQ3 Earnout Consideration was estimated to be $1.7 million in aggregate and to be settled in $0.2 million cash and the remainder in shares of the Company’s Class A Common Stock. For the years ended December 31, 2025 and December 31, 2024, we recognized a gain of $6.9 million and a loss of $7.0 million, respectively, related to the Contingent SYNQ3 Earnout Consideration, reflected in the change in fair value of contingent acquisition liabilities in the consolidated statement of operations and comprehensive loss. As of December 31, 2025, the 2024 revenue target was not met, but the 2025 revenue target was met and the related earnout consideration is expected to be settled in the first quarter of 2026. The Company assessed the 2026 revenue target as probable of being met. No earnout consideration was issued as of December 31, 2025.</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awards</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2,033,156 restricted shares of the Company’s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 See Note 15 to our consolidated financial statements included within this report for more information on stock-based awards issued in connection with the SYNQ3 Acquisition.</w:t>
      </w: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Purchase price allocation</w:t>
      </w:r>
    </w:p>
    <w:p>
      <w:pPr>
        <w:spacing w:after="0" w:line="17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purchase price allocation was performed as of January 3, 2024 and allocated to the assets acquired and liabilities assumed based on their respective fair values,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8"/>
                <w:szCs w:val="18"/>
                <w:b w:val="1"/>
                <w:bCs w:val="1"/>
                <w:color w:val="auto"/>
              </w:rPr>
              <w:t>January 3,</w:t>
            </w:r>
          </w:p>
        </w:tc>
      </w:tr>
      <w:tr>
        <w:trPr>
          <w:trHeight w:val="210"/>
        </w:trPr>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paid . . . . . . . . . . . . . . . . . . . . . . . . . . . . . . . . . . . . . . . . . . . . . . . . . . . . . . . . . . . . . . . . . . . . . .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3,910</w:t>
            </w: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Equity consideration . . . . . . . . . . . . . . . . . . . . . . . . . . . . . . . . . . . . . . . . . . . . . . . . . . . . . . . . . . . . .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9,687</w:t>
            </w: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Contingent earnout consideration . . . . . . . . . . . . . . . . . . . . . . . . . . . . . . . . . . . . . . . . . . . . . . . . . . .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1,676</w:t>
            </w:r>
          </w:p>
        </w:tc>
      </w:tr>
      <w:tr>
        <w:trPr>
          <w:trHeight w:val="261"/>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Contingent holdback consideration . . . . . . . . . . . . . . . . . . . . . . . . . . . . . . . . . . . . . . . . . . . . . . . . . . .</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w:t>
            </w:r>
          </w:p>
        </w:tc>
      </w:tr>
      <w:tr>
        <w:trPr>
          <w:trHeight w:val="239"/>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 price . . . . . . . . . . . . . . . . . . . . . . . . . . . . . . . . . . . . . . . . . . . . . . . . . . . . . . . . . . . . . . . .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15,843</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941" w:right="1440" w:bottom="348"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7980" w:type="dxa"/>
            <w:vAlign w:val="bottom"/>
          </w:tcPr>
          <w:p>
            <w:pPr>
              <w:jc w:val="right"/>
              <w:ind w:right="2100"/>
              <w:spacing w:after="0"/>
              <w:rPr>
                <w:sz w:val="20"/>
                <w:szCs w:val="20"/>
                <w:color w:val="auto"/>
              </w:rPr>
            </w:pPr>
            <w:r>
              <w:rPr>
                <w:rFonts w:ascii="Times New Roman" w:cs="Times New Roman" w:eastAsia="Times New Roman" w:hAnsi="Times New Roman"/>
                <w:sz w:val="20"/>
                <w:szCs w:val="20"/>
                <w:b w:val="1"/>
                <w:bCs w:val="1"/>
                <w:color w:val="auto"/>
              </w:rPr>
              <w:t>SOUNDHOUND AI, INC.</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0"/>
        </w:trPr>
        <w:tc>
          <w:tcPr>
            <w:tcW w:w="7980" w:type="dxa"/>
            <w:vAlign w:val="bottom"/>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80"/>
        </w:trPr>
        <w:tc>
          <w:tcPr>
            <w:tcW w:w="7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NOTE 3. BUSINESS COMBINATIONS </w:t>
            </w:r>
            <w:r>
              <w:rPr>
                <w:rFonts w:ascii="Times New Roman" w:cs="Times New Roman" w:eastAsia="Times New Roman" w:hAnsi="Times New Roman"/>
                <w:sz w:val="20"/>
                <w:szCs w:val="20"/>
                <w:color w:val="auto"/>
              </w:rPr>
              <w:t>(cont.)</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9"/>
        </w:trPr>
        <w:tc>
          <w:tcPr>
            <w:tcW w:w="7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January 3,</w:t>
            </w:r>
          </w:p>
        </w:tc>
      </w:tr>
      <w:tr>
        <w:trPr>
          <w:trHeight w:val="209"/>
        </w:trPr>
        <w:tc>
          <w:tcPr>
            <w:tcW w:w="7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8"/>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Assets acquired: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Cash. . . . . . . . . . . . . . . . . . . . . . . . . . . . . . . . . . . . . . . . . . . . . . . . . . . . . . .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Prepaid expenses . . . . . . . . . . . . . . . . . . . . . . . . . . . . . . . . . . . . . . . . . . . . .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Intangible assets . . . . . . . . . . . . . . . . . . . . . . . . . . . . . . . . . . . . . . . . . . . . . . . . . . . . . . . . . . . . . . .</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12,705</w:t>
            </w:r>
          </w:p>
        </w:tc>
      </w:tr>
      <w:tr>
        <w:trPr>
          <w:trHeight w:val="23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Total identified assets acquired . . . . . . . . . . . . . . . . . . . . . . . . . . . . . . . . . . . . . . . . . . . . . . . . . . . . . .</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14,498</w:t>
            </w:r>
          </w:p>
        </w:tc>
      </w:tr>
      <w:tr>
        <w:trPr>
          <w:trHeight w:val="40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Liabilities assumed: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Accrued liabilities . . . . . . . . . . . . . . . . . . . . . . . . . . . . . . . . . . . . . . . . . . . .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3,427</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non-current liabilities . . . . . . . . . . . . . . . . . . . . . . . . . . . . . . . . . . . .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Deferred tax liability . . . . . . . . . . . . . . . . . . . . . . . . . . . . . . . . . . . . . . . . . . . . . . . . . . . . . . . . . . . .</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4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liabilities assumed . . . . . . . . . . . . . . . . . . . . . . . . . . . . . . . . . . . . . . . . . . . . . . . . . . . . . . .</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4,655</w:t>
            </w:r>
          </w:p>
        </w:tc>
      </w:tr>
      <w:tr>
        <w:trPr>
          <w:trHeight w:val="38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Fair value of identifiable net assets acquired . . . . . . . . . . . . . . . . . . . . . . . . . . . . . . . . . . . . . . . . . .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9,843</w:t>
            </w: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Goodwill acquired on acquisition . . . . . . . . . . . . . . . . . . . . . . . . . . . . . . . . . . . . . . . . . . . . . . . . . . .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6,000</w:t>
            </w: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purchase price allocation was finalized as of December 31, 2024.</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fair values of the identifiable intangible assets acquired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0"/>
        </w:trPr>
        <w:tc>
          <w:tcPr>
            <w:tcW w:w="6540" w:type="dxa"/>
            <w:vAlign w:val="bottom"/>
          </w:tcPr>
          <w:p>
            <w:pPr>
              <w:spacing w:after="0"/>
              <w:rPr>
                <w:sz w:val="17"/>
                <w:szCs w:val="17"/>
                <w:color w:val="auto"/>
              </w:rPr>
            </w:pPr>
          </w:p>
        </w:tc>
        <w:tc>
          <w:tcPr>
            <w:tcW w:w="1260" w:type="dxa"/>
            <w:vAlign w:val="bottom"/>
          </w:tcPr>
          <w:p>
            <w:pPr>
              <w:jc w:val="right"/>
              <w:ind w:right="143"/>
              <w:spacing w:after="0" w:line="200" w:lineRule="exact"/>
              <w:rPr>
                <w:sz w:val="20"/>
                <w:szCs w:val="20"/>
                <w:color w:val="auto"/>
              </w:rPr>
            </w:pPr>
            <w:r>
              <w:rPr>
                <w:rFonts w:ascii="Times New Roman" w:cs="Times New Roman" w:eastAsia="Times New Roman" w:hAnsi="Times New Roman"/>
                <w:sz w:val="18"/>
                <w:szCs w:val="18"/>
                <w:b w:val="1"/>
                <w:bCs w:val="1"/>
                <w:color w:val="auto"/>
              </w:rPr>
              <w:t>Useful life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4"/>
              <w:spacing w:after="0" w:line="200" w:lineRule="exact"/>
              <w:rPr>
                <w:sz w:val="20"/>
                <w:szCs w:val="20"/>
                <w:color w:val="auto"/>
              </w:rPr>
            </w:pPr>
            <w:r>
              <w:rPr>
                <w:rFonts w:ascii="Times New Roman" w:cs="Times New Roman" w:eastAsia="Times New Roman" w:hAnsi="Times New Roman"/>
                <w:sz w:val="18"/>
                <w:szCs w:val="18"/>
                <w:b w:val="1"/>
                <w:bCs w:val="1"/>
                <w:color w:val="auto"/>
                <w:w w:val="99"/>
              </w:rPr>
              <w:t>January 3,</w:t>
            </w:r>
          </w:p>
        </w:tc>
      </w:tr>
      <w:tr>
        <w:trPr>
          <w:trHeight w:val="209"/>
        </w:trPr>
        <w:tc>
          <w:tcPr>
            <w:tcW w:w="6540" w:type="dxa"/>
            <w:vAlign w:val="bottom"/>
          </w:tcPr>
          <w:p>
            <w:pPr>
              <w:spacing w:after="0"/>
              <w:rPr>
                <w:sz w:val="18"/>
                <w:szCs w:val="18"/>
                <w:color w:val="auto"/>
              </w:rPr>
            </w:pPr>
          </w:p>
        </w:tc>
        <w:tc>
          <w:tcPr>
            <w:tcW w:w="1260" w:type="dxa"/>
            <w:vAlign w:val="bottom"/>
            <w:tcBorders>
              <w:bottom w:val="single" w:sz="8" w:color="auto"/>
            </w:tcBorders>
          </w:tcPr>
          <w:p>
            <w:pPr>
              <w:jc w:val="right"/>
              <w:ind w:right="183"/>
              <w:spacing w:after="0" w:line="201" w:lineRule="exact"/>
              <w:rPr>
                <w:sz w:val="20"/>
                <w:szCs w:val="20"/>
                <w:color w:val="auto"/>
              </w:rPr>
            </w:pPr>
            <w:r>
              <w:rPr>
                <w:rFonts w:ascii="Times New Roman" w:cs="Times New Roman" w:eastAsia="Times New Roman" w:hAnsi="Times New Roman"/>
                <w:sz w:val="18"/>
                <w:szCs w:val="18"/>
                <w:b w:val="1"/>
                <w:bCs w:val="1"/>
                <w:color w:val="auto"/>
              </w:rPr>
              <w:t>(in years)</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44"/>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8"/>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Intangible Assets:</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Developed technology . . . . . . . . . . . . . . . . . . . . . . . . . . . . . . . . . . . . . . . . . . . . . .</w:t>
            </w:r>
          </w:p>
        </w:tc>
        <w:tc>
          <w:tcPr>
            <w:tcW w:w="1260" w:type="dxa"/>
            <w:vAlign w:val="bottom"/>
          </w:tcPr>
          <w:p>
            <w:pPr>
              <w:jc w:val="right"/>
              <w:ind w:right="383"/>
              <w:spacing w:after="0"/>
              <w:rPr>
                <w:sz w:val="20"/>
                <w:szCs w:val="20"/>
                <w:color w:val="auto"/>
              </w:rPr>
            </w:pPr>
            <w:r>
              <w:rPr>
                <w:rFonts w:ascii="Times New Roman" w:cs="Times New Roman" w:eastAsia="Times New Roman" w:hAnsi="Times New Roman"/>
                <w:sz w:val="20"/>
                <w:szCs w:val="20"/>
                <w:color w:val="auto"/>
              </w:rPr>
              <w:t>3.0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 . . . . . . . . . . . . . . . . . . . . . . . . . . . . . . . . . . . . . . . . . . . . .</w:t>
            </w:r>
          </w:p>
        </w:tc>
        <w:tc>
          <w:tcPr>
            <w:tcW w:w="1260" w:type="dxa"/>
            <w:vAlign w:val="bottom"/>
          </w:tcPr>
          <w:p>
            <w:pPr>
              <w:jc w:val="right"/>
              <w:ind w:right="383"/>
              <w:spacing w:after="0"/>
              <w:rPr>
                <w:sz w:val="20"/>
                <w:szCs w:val="20"/>
                <w:color w:val="auto"/>
              </w:rPr>
            </w:pPr>
            <w:r>
              <w:rPr>
                <w:rFonts w:ascii="Times New Roman" w:cs="Times New Roman" w:eastAsia="Times New Roman" w:hAnsi="Times New Roman"/>
                <w:sz w:val="20"/>
                <w:szCs w:val="20"/>
                <w:color w:val="auto"/>
              </w:rPr>
              <w:t>4.0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Tradename . . . . . . . . . . . . . . . . . . . . . . . . . . . . . . . . . . . . . . . . . . . . . . . . . . . . . . .</w:t>
            </w:r>
          </w:p>
        </w:tc>
        <w:tc>
          <w:tcPr>
            <w:tcW w:w="1260" w:type="dxa"/>
            <w:vAlign w:val="bottom"/>
          </w:tcPr>
          <w:p>
            <w:pPr>
              <w:jc w:val="right"/>
              <w:ind w:right="383"/>
              <w:spacing w:after="0"/>
              <w:rPr>
                <w:sz w:val="20"/>
                <w:szCs w:val="20"/>
                <w:color w:val="auto"/>
              </w:rPr>
            </w:pPr>
            <w:r>
              <w:rPr>
                <w:rFonts w:ascii="Times New Roman" w:cs="Times New Roman" w:eastAsia="Times New Roman" w:hAnsi="Times New Roman"/>
                <w:sz w:val="20"/>
                <w:szCs w:val="20"/>
                <w:color w:val="auto"/>
              </w:rPr>
              <w:t>2.0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Conversation data . . . . . . . . . . . . . . . . . . . . . . . . . . . . . . . . . . . . . . . . . . . . . . . . .</w:t>
            </w:r>
          </w:p>
        </w:tc>
        <w:tc>
          <w:tcPr>
            <w:tcW w:w="1260" w:type="dxa"/>
            <w:vAlign w:val="bottom"/>
          </w:tcPr>
          <w:p>
            <w:pPr>
              <w:jc w:val="right"/>
              <w:ind w:right="383"/>
              <w:spacing w:after="0"/>
              <w:rPr>
                <w:sz w:val="20"/>
                <w:szCs w:val="20"/>
                <w:color w:val="auto"/>
              </w:rPr>
            </w:pPr>
            <w:r>
              <w:rPr>
                <w:rFonts w:ascii="Times New Roman" w:cs="Times New Roman" w:eastAsia="Times New Roman" w:hAnsi="Times New Roman"/>
                <w:sz w:val="20"/>
                <w:szCs w:val="20"/>
                <w:color w:val="auto"/>
              </w:rPr>
              <w:t>2.5</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1,285</w:t>
            </w:r>
          </w:p>
        </w:tc>
      </w:tr>
      <w:tr>
        <w:trPr>
          <w:trHeight w:val="240"/>
        </w:trPr>
        <w:tc>
          <w:tcPr>
            <w:tcW w:w="6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12,705</w:t>
            </w:r>
          </w:p>
        </w:tc>
      </w:tr>
      <w:tr>
        <w:trPr>
          <w:trHeight w:val="20"/>
        </w:trPr>
        <w:tc>
          <w:tcPr>
            <w:tcW w:w="6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9"/>
          <w:szCs w:val="19"/>
          <w:color w:val="auto"/>
        </w:rPr>
        <w:t>The Company incurred $2.2 million in acquisition related expenses, of which $0.1 million, $1.0 million, and $1.1 million were incurred during the years ended December 31, 2025, 2024 and 2023, respectively, and recorded as general and administration expenses in its consolidated statements of operations and comprehensive loss.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Amelia Acquisition</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On August 6, 2024 (the “Amelia Acquisition Date”), the Company acquired all of the issued and outstanding equity of Amelia Holdings, Inc. (the “Amelia Acquisition”), a privately-held conversational AI software company involved in the development and delivery of AI and automation solutions and related services to improve customer experience and optimize business outcomes. The Company’s acquisition of Amelia is expected to strengthen SoundHound’s position in voice and conversational AI and allow the Company to enter new industries such as healthcare, insurance, financial services, energy and retail, expanding its market reach.</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941" w:right="1440" w:bottom="348"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BUSINESS COMBINATIONS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total purchase consideration includes 3,809,520 shares of the Company’s Class A Common Stock issued to the selling shareholders. The Company also issued and deposited 2,149,530 shares of Class A Common Stock otherwise owed to the selling shareholders into an escrow account in order to partially secure the indemnification obligations of the selling shareholders to the Company under the purchase agreement (the “Escrow Consideration”). The fair value of equity issued as part of the consideration paid was determined on the basis of the closing market price of the Company’s shares on the Amelia Acquisition Date, which also incorporated a discount for lack of marketability rates caused by the trading restrictions due to the fact that the shares were not registered at issuance and consequently there is a six-month holding period. The Company also paid $8.4 million of cash for seller transaction expenses in connection with the closing of the Amelia Acquisition. The Company agreed to issue up to 16,822,429 shares to the selling shareholders based on achievement of certain revenue targets in fiscal years 2025 and 2026 (the “Amelia Contingent Earnout Consideration). The fair value of the purchase consideration was $98.6 million.</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In connection with the Amelia Acquisition, the Company assumed the amended senior secured term loan facility from Amelia in an aggregate principal amount of $121.5 million (“Amelia Debt”). On December 3, 2024, the Company entered into a letter agreement (the “Amelia Debt Payoff Letter”) to prepay in full all indebtedness and other amounts outstanding and owing under the Amelia Debt Credit Agreement and the Amelia Debt was repaid in full.</w:t>
      </w: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Escrow Consideration</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accounted for the Escrow Consideration as equity-classified shares issued as part of the consideration transferred. The Company recorded an indemnification asset of $1.4 million under other non-current assets related to assumed sales tax and litigation contingent liabilities that existed prior to the Amelia Acquisition Date and are covered by the Company’s indemnification rights provided by the sellers.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See Note 12 to our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spacing w:after="0" w:line="2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Contingent Amelia Earnout Consideration</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also agreed to pay up to 16,822,429 in shares of Class A Common Stock to the selling shareholders based on achievement of certain annual revenue targets in fiscal years 2025 and 2026. The Company accounted for the Contingent Amelia Earnout Consideration as a liability within contingent acquisition liabilities on the Company’s consolidated balance sheets and will subsequently remeasure the liability at each reporting date with changes in fair value recognized as a component of operating expense in the Company’s consolidated statement of operations and comprehensive loss. As of the Amelia Acquisition Date, the Contingent Amelia Earnout Consideration had an estimated fair value of $66.3 million. For the year ended December 31, 2025 and December 31, 2024, the Company recognized a gain of $157.6 million and a loss of $211.9 million, respectively, related to the Contingent Amelia Earnout Consideration, reflected in the change in fair value of contingent acquisition liabilities in the consolidated statement of operations and comprehensive loss. See Note 12 to our consolidated financial statements included within this report for more information on the fair value measurement of Contingent Amelia Earnout Consideration. As of December 31, 2025, the 2025 revenue target was met and the related earnout consideration is expected to be settled in the first quarter of 2026. The Company assessed the 2026 revenue target as probable of being met.</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941" w:right="1440" w:bottom="348"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BUSINESS COMBINATIONS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Purchase price allocation</w:t>
      </w:r>
    </w:p>
    <w:p>
      <w:pPr>
        <w:spacing w:after="0" w:line="13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purchase price allocation was performed as of August 6, 2024 and allocated to the assets acquired and liabilities assumed based on their respective fair values,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August 6,</w:t>
            </w:r>
          </w:p>
        </w:tc>
      </w:tr>
      <w:tr>
        <w:trPr>
          <w:trHeight w:val="210"/>
        </w:trPr>
        <w:tc>
          <w:tcPr>
            <w:tcW w:w="7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Cash paid . . . . . . . . . . . . . . . . . . . . . . . . . . . . . . . . .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8,420</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Equity consideration . . . .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15,291</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Equity consideration in escrow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8,628</w:t>
            </w:r>
          </w:p>
        </w:tc>
      </w:tr>
      <w:tr>
        <w:trPr>
          <w:trHeight w:val="24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Contingent earnout consideration . . . . . . . . . . . . . . . . . . . . . . . . . . . . . . . . . . . . . . . . . . . . . . . . . . . .</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66,269</w:t>
            </w:r>
          </w:p>
        </w:tc>
      </w:tr>
      <w:tr>
        <w:trPr>
          <w:trHeight w:val="227"/>
        </w:trPr>
        <w:tc>
          <w:tcPr>
            <w:tcW w:w="7980" w:type="dxa"/>
            <w:vAlign w:val="bottom"/>
          </w:tcPr>
          <w:p>
            <w:pPr>
              <w:jc w:val="right"/>
              <w:ind w:right="20"/>
              <w:spacing w:after="0" w:line="227" w:lineRule="exact"/>
              <w:rPr>
                <w:sz w:val="20"/>
                <w:szCs w:val="20"/>
                <w:color w:val="auto"/>
              </w:rPr>
            </w:pPr>
            <w:r>
              <w:rPr>
                <w:rFonts w:ascii="Times New Roman" w:cs="Times New Roman" w:eastAsia="Times New Roman" w:hAnsi="Times New Roman"/>
                <w:sz w:val="20"/>
                <w:szCs w:val="20"/>
                <w:color w:val="auto"/>
              </w:rPr>
              <w:t>Purchase price . . . . . . . . . . . . . . . . . . . . . . . . . . . . . . . . . . . . . . . . . . . . . . . . . . . . . . . . . . . . . . . . .</w:t>
            </w:r>
          </w:p>
        </w:tc>
        <w:tc>
          <w:tcPr>
            <w:tcW w:w="180" w:type="dxa"/>
            <w:vAlign w:val="bottom"/>
          </w:tcPr>
          <w:p>
            <w:pPr>
              <w:spacing w:after="0"/>
              <w:rPr>
                <w:sz w:val="19"/>
                <w:szCs w:val="19"/>
                <w:color w:val="auto"/>
              </w:rPr>
            </w:pPr>
          </w:p>
        </w:tc>
        <w:tc>
          <w:tcPr>
            <w:tcW w:w="10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98,608</w:t>
            </w:r>
          </w:p>
        </w:tc>
      </w:tr>
      <w:tr>
        <w:trPr>
          <w:trHeight w:val="388"/>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Assets acquired: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8,075</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current assets . . .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1,822</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Contract asset – current.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4,090</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Property and equipment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Right-of-use assets . . .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assets . . . . . . . . .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w:t>
            </w:r>
          </w:p>
        </w:tc>
      </w:tr>
      <w:tr>
        <w:trPr>
          <w:trHeight w:val="24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Intangible assets . . . . . . . . . . . . . . . . . . . . . . . . . . . . . . . . . . . . . . . . . . . . . . . . . . . . . . . . . . . . . . .</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174,500</w:t>
            </w:r>
          </w:p>
        </w:tc>
      </w:tr>
      <w:tr>
        <w:trPr>
          <w:trHeight w:val="227"/>
        </w:trPr>
        <w:tc>
          <w:tcPr>
            <w:tcW w:w="7980" w:type="dxa"/>
            <w:vAlign w:val="bottom"/>
          </w:tcPr>
          <w:p>
            <w:pPr>
              <w:jc w:val="right"/>
              <w:ind w:right="20"/>
              <w:spacing w:after="0" w:line="227" w:lineRule="exact"/>
              <w:rPr>
                <w:sz w:val="20"/>
                <w:szCs w:val="20"/>
                <w:color w:val="auto"/>
              </w:rPr>
            </w:pPr>
            <w:r>
              <w:rPr>
                <w:rFonts w:ascii="Times New Roman" w:cs="Times New Roman" w:eastAsia="Times New Roman" w:hAnsi="Times New Roman"/>
                <w:sz w:val="20"/>
                <w:szCs w:val="20"/>
                <w:color w:val="auto"/>
              </w:rPr>
              <w:t>Total identified assets acquired . . . . . . . . . . . . . . . . . . . . . . . . . . . . . . . . . . . . . . . . . . . . . . . . . .</w:t>
            </w:r>
          </w:p>
        </w:tc>
        <w:tc>
          <w:tcPr>
            <w:tcW w:w="180" w:type="dxa"/>
            <w:vAlign w:val="bottom"/>
          </w:tcPr>
          <w:p>
            <w:pPr>
              <w:spacing w:after="0"/>
              <w:rPr>
                <w:sz w:val="19"/>
                <w:szCs w:val="19"/>
                <w:color w:val="auto"/>
              </w:rPr>
            </w:pPr>
          </w:p>
        </w:tc>
        <w:tc>
          <w:tcPr>
            <w:tcW w:w="10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191,931</w:t>
            </w:r>
          </w:p>
        </w:tc>
      </w:tr>
      <w:tr>
        <w:trPr>
          <w:trHeight w:val="388"/>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Liabilities assumed: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11,112</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Accrued liabilities . . . .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10,965</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tax liabilities . .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Short-term debt . . . . . .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70,000</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Operating lease liability, current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Financing lease liability, current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current liabilities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3,474</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23,408</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Deferred revenue, non-current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4,295</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Long-term debt . . . . . .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51,511</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Deferred tax liabilities . . . .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11,820</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Operating lease liability, non-current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liabilities, non-current . . . . . . . . . . . . . . . . . . . . . . . . . . . . . . . . . . . . . . . . . . . . . . . . . . . . . .</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4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tax liability, net of current portion . . . . . . . . . . . . . . . . . . . . . . . . . . . . . . . . . . . . . . . . . . .</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1,068</w:t>
            </w:r>
          </w:p>
        </w:tc>
      </w:tr>
      <w:tr>
        <w:trPr>
          <w:trHeight w:val="228"/>
        </w:trPr>
        <w:tc>
          <w:tcPr>
            <w:tcW w:w="7980" w:type="dxa"/>
            <w:vAlign w:val="bottom"/>
          </w:tcPr>
          <w:p>
            <w:pPr>
              <w:jc w:val="right"/>
              <w:ind w:right="20"/>
              <w:spacing w:after="0" w:line="227" w:lineRule="exact"/>
              <w:rPr>
                <w:sz w:val="20"/>
                <w:szCs w:val="20"/>
                <w:color w:val="auto"/>
              </w:rPr>
            </w:pPr>
            <w:r>
              <w:rPr>
                <w:rFonts w:ascii="Times New Roman" w:cs="Times New Roman" w:eastAsia="Times New Roman" w:hAnsi="Times New Roman"/>
                <w:sz w:val="20"/>
                <w:szCs w:val="20"/>
                <w:color w:val="auto"/>
              </w:rPr>
              <w:t>Total liabilities assumed . . . . . . . . . . . . . . . . . . . . . . . . . . . . . . . . . . . . . . . . . . . . . . . . . . . . . . .</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188,533</w:t>
            </w:r>
          </w:p>
        </w:tc>
      </w:tr>
      <w:tr>
        <w:trPr>
          <w:trHeight w:val="36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Fair value of identifiable net assets acquired . . . . . . . . . . . . . . . . . . . . . . . . . . . . . . . . . . . . . . . . . .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3,398</w:t>
            </w:r>
          </w:p>
        </w:tc>
      </w:tr>
      <w:tr>
        <w:trPr>
          <w:trHeight w:val="228"/>
        </w:trPr>
        <w:tc>
          <w:tcPr>
            <w:tcW w:w="7980" w:type="dxa"/>
            <w:vAlign w:val="bottom"/>
          </w:tcPr>
          <w:p>
            <w:pPr>
              <w:jc w:val="right"/>
              <w:ind w:right="20"/>
              <w:spacing w:after="0" w:line="227" w:lineRule="exact"/>
              <w:rPr>
                <w:sz w:val="20"/>
                <w:szCs w:val="20"/>
                <w:color w:val="auto"/>
              </w:rPr>
            </w:pPr>
            <w:r>
              <w:rPr>
                <w:rFonts w:ascii="Times New Roman" w:cs="Times New Roman" w:eastAsia="Times New Roman" w:hAnsi="Times New Roman"/>
                <w:sz w:val="20"/>
                <w:szCs w:val="20"/>
                <w:color w:val="auto"/>
                <w:w w:val="99"/>
              </w:rPr>
              <w:t>Goodwill acquired on acquisition . . . . . . . . . . . . . . . . . . . . . . . . . . . . . . . . . . . . . . . . . . . . . . . . . . . .</w:t>
            </w:r>
          </w:p>
        </w:tc>
        <w:tc>
          <w:tcPr>
            <w:tcW w:w="18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95,210</w:t>
            </w: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pacing w:after="0" w:line="132" w:lineRule="exact"/>
        <w:rPr>
          <w:sz w:val="20"/>
          <w:szCs w:val="20"/>
          <w:color w:val="auto"/>
        </w:rPr>
      </w:pPr>
    </w:p>
    <w:p>
      <w:pPr>
        <w:jc w:val="both"/>
        <w:ind w:left="480"/>
        <w:spacing w:after="0" w:line="287"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measurement period adjustments to decrease the accrued liabilities by $0.1 million and other current liabilities by $0.4 million due to true-up of the accrued payroll taxes and sales taxes subsequent to the acquisition. As a result of the adjusted acquisition-date fair value of liabilities</w:t>
      </w:r>
    </w:p>
    <w:p>
      <w:pPr>
        <w:sectPr>
          <w:pgSz w:w="12240" w:h="15840" w:orient="portrait"/>
          <w:cols w:equalWidth="0" w:num="1">
            <w:col w:w="9360"/>
          </w:cols>
          <w:pgMar w:left="1440" w:top="941" w:right="1440" w:bottom="348"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60"/>
          </w:cols>
          <w:pgMar w:left="1440" w:top="941" w:right="1440" w:bottom="348"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BUSINESS COMBINATIONS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9"/>
          <w:szCs w:val="19"/>
          <w:color w:val="auto"/>
        </w:rPr>
        <w:t>assumed, the Company recorded a decrease of $0.5 million to the goodwill recognized. The measurement period adjustments were recorded in the consolidated financial statements as of and for the year ended December 31, 2025 and were made to reflect facts and circumstances that existed as of the Amelia Acquisition Date.</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purchase price allocation was finalized as of September 30, 2025.</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fair values of the identifiable intangible assets acquired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63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Intangible Assets: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(in years)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
              <w:spacing w:after="0" w:line="201" w:lineRule="exact"/>
              <w:rPr>
                <w:sz w:val="20"/>
                <w:szCs w:val="20"/>
                <w:color w:val="auto"/>
              </w:rPr>
            </w:pPr>
            <w:r>
              <w:rPr>
                <w:rFonts w:ascii="Times New Roman" w:cs="Times New Roman" w:eastAsia="Times New Roman" w:hAnsi="Times New Roman"/>
                <w:sz w:val="18"/>
                <w:szCs w:val="18"/>
                <w:b w:val="1"/>
                <w:bCs w:val="1"/>
                <w:color w:val="auto"/>
                <w:w w:val="98"/>
              </w:rPr>
              <w:t>at acquisition</w:t>
            </w:r>
          </w:p>
        </w:tc>
      </w:tr>
      <w:tr>
        <w:trPr>
          <w:trHeight w:val="247"/>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8"/>
              </w:rPr>
              <w:t>Developed technology . . . . . . . . . . . . . . . . . . . . . . . . . . . . . . . . . . . . . . . . . . . . . .</w:t>
            </w:r>
          </w:p>
        </w:tc>
        <w:tc>
          <w:tcPr>
            <w:tcW w:w="1440" w:type="dxa"/>
            <w:vAlign w:val="bottom"/>
            <w:gridSpan w:val="2"/>
          </w:tcPr>
          <w:p>
            <w:pPr>
              <w:jc w:val="right"/>
              <w:ind w:right="390"/>
              <w:spacing w:after="0"/>
              <w:rPr>
                <w:sz w:val="20"/>
                <w:szCs w:val="20"/>
                <w:color w:val="auto"/>
              </w:rPr>
            </w:pPr>
            <w:r>
              <w:rPr>
                <w:rFonts w:ascii="Times New Roman" w:cs="Times New Roman" w:eastAsia="Times New Roman" w:hAnsi="Times New Roman"/>
                <w:sz w:val="20"/>
                <w:szCs w:val="20"/>
                <w:color w:val="auto"/>
              </w:rPr>
              <w:t>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98,900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Customer relationships . . . . . . . . . . . . . . . . . . . . . . . . . . . . . . . . . . . . . . . . . . . . .</w:t>
            </w:r>
          </w:p>
        </w:tc>
        <w:tc>
          <w:tcPr>
            <w:tcW w:w="1440" w:type="dxa"/>
            <w:vAlign w:val="bottom"/>
            <w:gridSpan w:val="2"/>
          </w:tcPr>
          <w:p>
            <w:pPr>
              <w:jc w:val="right"/>
              <w:ind w:right="390"/>
              <w:spacing w:after="0"/>
              <w:rPr>
                <w:sz w:val="20"/>
                <w:szCs w:val="20"/>
                <w:color w:val="auto"/>
              </w:rPr>
            </w:pPr>
            <w:r>
              <w:rPr>
                <w:rFonts w:ascii="Times New Roman" w:cs="Times New Roman" w:eastAsia="Times New Roman" w:hAnsi="Times New Roman"/>
                <w:sz w:val="20"/>
                <w:szCs w:val="20"/>
                <w:color w:val="auto"/>
              </w:rPr>
              <w:t>7.0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68,600</w:t>
            </w:r>
          </w:p>
        </w:tc>
      </w:tr>
      <w:tr>
        <w:trPr>
          <w:trHeight w:val="261"/>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Trade names . . . . . . . . . . . . . . . . . . . . . . . . . . . . . . . . . . . . . . . . . . . . . . . . . . . . .</w:t>
            </w:r>
          </w:p>
        </w:tc>
        <w:tc>
          <w:tcPr>
            <w:tcW w:w="1440" w:type="dxa"/>
            <w:vAlign w:val="bottom"/>
            <w:gridSpan w:val="2"/>
          </w:tcPr>
          <w:p>
            <w:pPr>
              <w:jc w:val="right"/>
              <w:ind w:right="390"/>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7,000</w:t>
            </w:r>
          </w:p>
        </w:tc>
      </w:tr>
      <w:tr>
        <w:trPr>
          <w:trHeight w:val="240"/>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174,500</w:t>
            </w: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Company incurred $6.7 million in acquisition related expenses, of which $0.9 million and $5.8 million were incurred during the years ended December 31, 2025 and December 31, 2024, respectively, and recorded as general and administration expenses in its consolidated statements of operations and comprehensive loss.</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Interactions Acquisition</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On September 3, 2025 (the “Interactions Acquisition Date”), the Company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transaction also expands SoundHound’s customer portfolio across various industries, including global consumer icons, large technology device brands, insurers, automakers, and other preeminent Fortune 100 companies across industries.</w:t>
      </w:r>
    </w:p>
    <w:p>
      <w:pPr>
        <w:spacing w:after="0" w:line="170"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fair value of the preliminary purchase consideration was $76.1 million. The preliminary purchase consideration includes $19.4 million of cash paid to the selling shareholders. The Company also paid $4.1 million of cash for seller transaction expenses in connection with the closing of the Interactions Acquisition.</w:t>
      </w:r>
    </w:p>
    <w:p>
      <w:pPr>
        <w:spacing w:after="0" w:line="173"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In connection with the Interactions Acquisition, the Company paid the debt held by Interactions (the “Interactions Debt”) on the Interactions Acquisition Date in an aggregate principal amount of $41.5 million as part of the purchase consideration under the merger agreement.</w:t>
      </w:r>
    </w:p>
    <w:p>
      <w:pPr>
        <w:spacing w:after="0" w:line="17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has also withheld purchase consideration of $1.2 million in cash, subject to customary net working capital adjustments, to partially secure the indemnification obligations of Interactions’ former stockholders under the merger agreement and agreed to pay up to $25.0 million in cash to certain former stockholders of Interactions based upon the achievement of specified future milestones in fiscal years 2026 and 2027 (the “Contingent Interactions Earnout Consideration).</w:t>
      </w: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Interactions Holdback</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As of the Interactions Acquisition Date, the $1.2 million in cash withheld (the “Deferred Interactions Holdback Consideration”) consisted of two components, adjustment holdback consideration and indemnity holdback consideration.</w:t>
      </w:r>
    </w:p>
    <w:p>
      <w:pPr>
        <w:spacing w:after="0" w:line="17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adjustment holdback consideration of $1.0 million was recorded within other current liabilities at fair value as of the Interactions Acquisition Date (the “Interactions Adjustment Holdback Consideration”) and is estimated to be paid to Interactions’ former stockholders for the settlement of net working capital adjustments after sellers finish the review of the closing statement submitted by the acquirer within 120 days subsequent to the Interactions Acquisition Date.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941" w:right="1440" w:bottom="348"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BUSINESS COMBINATIONS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indemnity holdback consideration of $0.2 million was recorded within other current liabilities, which was withheld for a period of 12 months subsequent to the Interactions Acquisition Date (the “Interactions Indemnity Holdback Consideration”). Payment will occur after the sellers complete their review of the closing statement which must be submitted by the acquirer within 120 days of the Interactions Acquisition Date.</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Contingent Interactions Earnout Consideration</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The Company also agreed to pay up to $25.0 million in cash to the selling shareholders based on achievement of certain annual revenue targets in fiscal years 2026 and 2027 and renewal or extension of an existing contract with a specific customer on or before March 31, 2026 (the “Contingent Interactions Earnout Consideration”). The Company accounted for the Contingent Interactions Earnout Consideration as a liability within contingent acquisition liabilities on the Company’s consolidated balance sheets and will subsequently remeasure the liability at each reporting date with changes in fair value recognized as a component of operating expense in the Company’s consolidated statement of operations and comprehensive loss. As of the Interactions Acquisition Date, the Contingent Interactions Earnout Consideration had an estimated fair value of $9.9 million. For the year ended December 31, 2025, the Company recognized a loss of $1.3 million related to the Contingent Interactions Earnout Consideration, reflected in the change in fair value of contingent acquisition liabilities in the consolidated statement of operations and comprehensive loss. As of December 31, 2025, the Company assessed the 2026 and 2027 revenue targets were probable of being met, and an existing contract with a specific customer was probable of being renewed or extended on or before March 31, 2026. See Note 22 to our consolidated financial statements included within this report for more information on the cash paid to settle a portion of the Contingent Interactions Earnout Consideration due to the renewal of an existing contract subsequent to December 31, 2025.</w:t>
      </w:r>
    </w:p>
    <w:p>
      <w:pPr>
        <w:spacing w:after="0" w:line="155"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See Note 12 to our consolidated financial statements for more information on the fair value measurement of Interactions Holdback Amount and Contingent Interactions Earnout Consideration.</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Preliminary purchase price allocation</w:t>
      </w:r>
    </w:p>
    <w:p>
      <w:pPr>
        <w:spacing w:after="0" w:line="17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preliminary purchase price allocation was performed as of September 3, 2025 and allocated to the assets acquired and liabilities assumed based on their respective fair values,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8"/>
              </w:rPr>
              <w:t>Preliminary:</w:t>
            </w:r>
          </w:p>
        </w:tc>
      </w:tr>
      <w:tr>
        <w:trPr>
          <w:trHeight w:val="200"/>
        </w:trPr>
        <w:tc>
          <w:tcPr>
            <w:tcW w:w="7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2"/>
              <w:spacing w:after="0" w:line="200" w:lineRule="exact"/>
              <w:rPr>
                <w:sz w:val="20"/>
                <w:szCs w:val="20"/>
                <w:color w:val="auto"/>
              </w:rPr>
            </w:pPr>
            <w:r>
              <w:rPr>
                <w:rFonts w:ascii="Times New Roman" w:cs="Times New Roman" w:eastAsia="Times New Roman" w:hAnsi="Times New Roman"/>
                <w:sz w:val="18"/>
                <w:szCs w:val="18"/>
                <w:b w:val="1"/>
                <w:bCs w:val="1"/>
                <w:color w:val="auto"/>
              </w:rPr>
              <w:t>September 3,</w:t>
            </w:r>
          </w:p>
        </w:tc>
      </w:tr>
      <w:tr>
        <w:trPr>
          <w:trHeight w:val="210"/>
        </w:trPr>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47"/>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paid . . . . . . . . . . . . . . . . . . . . . . . . . . . . . . . . . . . . . . . . . . . . . . . . . . . . . . . . . . . . . . . . . . . . . .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65,033</w:t>
            </w: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holdback consideration . . . . . . . . . . . . . . . . . . . . . . . . . . . . . . . . . . . . . . . . . . . . . . . . . . .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w:t>
            </w:r>
          </w:p>
        </w:tc>
      </w:tr>
      <w:tr>
        <w:trPr>
          <w:trHeight w:val="261"/>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Contingent earnout consideration . . . . . . . . . . . . . . . . . . . . . . . . . . . . . . . . . . . . . . . . . . . . . . . . . . . .</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9,900</w:t>
            </w:r>
          </w:p>
        </w:tc>
      </w:tr>
      <w:tr>
        <w:trPr>
          <w:trHeight w:val="239"/>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 price . . . . . . . . . . . . . . . . . . . . . . . . . . . . . . . . . . . . . . . . . . . . . . . . . . . . . . . . . . . . . . . .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76,083</w:t>
            </w:r>
          </w:p>
        </w:tc>
      </w:tr>
      <w:tr>
        <w:trPr>
          <w:trHeight w:val="400"/>
        </w:trPr>
        <w:tc>
          <w:tcPr>
            <w:tcW w:w="7920" w:type="dxa"/>
            <w:vAlign w:val="bottom"/>
          </w:tcPr>
          <w:p>
            <w:pPr>
              <w:jc w:val="right"/>
              <w:ind w:right="6500"/>
              <w:spacing w:after="0"/>
              <w:rPr>
                <w:sz w:val="20"/>
                <w:szCs w:val="20"/>
                <w:color w:val="auto"/>
              </w:rPr>
            </w:pPr>
            <w:r>
              <w:rPr>
                <w:rFonts w:ascii="Times New Roman" w:cs="Times New Roman" w:eastAsia="Times New Roman" w:hAnsi="Times New Roman"/>
                <w:sz w:val="20"/>
                <w:szCs w:val="20"/>
                <w:color w:val="auto"/>
                <w:w w:val="98"/>
              </w:rPr>
              <w:t>Assets acquired: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 . . . . . . . . . . . .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10,431</w:t>
            </w: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 . . . . . . . . . . . . . .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8,626</w:t>
            </w: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current assets . . . . . . . . . . . . . . . . . . . . . . . . . . . . . . . . . . . . . . . . . . . . . . . . . . . . . . . . . . . .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1,519</w:t>
            </w: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 assets and unbilled receivable, current, net . . . . . . . . . . . . . . . . . . . . . . . . . . . . . . . . . .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3,586</w:t>
            </w: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Property and equipment . . . . . . . . . . . . . . . . . . . . . . . . . . . . . . . . . . . . . . . . . . . . . . . . . . . . . . . .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w:t>
            </w: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Right-of-use assets . . . . . . . . . . . . . . . . . . . . . . . . . . . . . . . . . . . . . . . . . . . . . . . . . . . . . . . . . . . .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w:t>
            </w: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 assets and unbilled receivable, non-current, net . . . . . . . . . . . . . . . . . . . . . . . . . . . . . . .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3,081</w:t>
            </w: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assets . . . . . . . . . . . . . . . . . . . . . . . . . . . . . . . . . . . . . . . . . . . . . . . . . . . . . . . . . . . . . . . . . .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r>
      <w:tr>
        <w:trPr>
          <w:trHeight w:val="261"/>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Intangible assets . . . . . . . . . . . . . . . . . . . . . . . . . . . . . . . . . . . . . . . . . . . . . . . . . . . . . . . . . . . . . . .</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39,500</w:t>
            </w:r>
          </w:p>
        </w:tc>
      </w:tr>
      <w:tr>
        <w:trPr>
          <w:trHeight w:val="239"/>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identified assets acquired . . . . . . . . . . . . . . . . . . . . . . . . . . . . . . . . . . . . . . . . . . . . . . . . .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69,300</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941" w:right="1440" w:bottom="348"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BUSINESS COMBINATIONS </w:t>
      </w:r>
      <w:r>
        <w:rPr>
          <w:rFonts w:ascii="Times New Roman" w:cs="Times New Roman" w:eastAsia="Times New Roman" w:hAnsi="Times New Roman"/>
          <w:sz w:val="20"/>
          <w:szCs w:val="20"/>
          <w:color w:val="auto"/>
        </w:rPr>
        <w:t>(cont.)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8"/>
              </w:rPr>
              <w:t>Preliminary:</w:t>
            </w:r>
          </w:p>
        </w:tc>
      </w:tr>
      <w:tr>
        <w:trPr>
          <w:trHeight w:val="200"/>
        </w:trPr>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2"/>
              <w:spacing w:after="0" w:line="200" w:lineRule="exact"/>
              <w:rPr>
                <w:sz w:val="20"/>
                <w:szCs w:val="20"/>
                <w:color w:val="auto"/>
              </w:rPr>
            </w:pPr>
            <w:r>
              <w:rPr>
                <w:rFonts w:ascii="Times New Roman" w:cs="Times New Roman" w:eastAsia="Times New Roman" w:hAnsi="Times New Roman"/>
                <w:sz w:val="18"/>
                <w:szCs w:val="18"/>
                <w:b w:val="1"/>
                <w:bCs w:val="1"/>
                <w:color w:val="auto"/>
              </w:rPr>
              <w:t>September 3,</w:t>
            </w:r>
          </w:p>
        </w:tc>
      </w:tr>
      <w:tr>
        <w:trPr>
          <w:trHeight w:val="209"/>
        </w:trPr>
        <w:tc>
          <w:tcPr>
            <w:tcW w:w="7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48"/>
        </w:trPr>
        <w:tc>
          <w:tcPr>
            <w:tcW w:w="7980" w:type="dxa"/>
            <w:vAlign w:val="bottom"/>
          </w:tcPr>
          <w:p>
            <w:pPr>
              <w:jc w:val="right"/>
              <w:ind w:right="6280"/>
              <w:spacing w:after="0"/>
              <w:rPr>
                <w:sz w:val="20"/>
                <w:szCs w:val="20"/>
                <w:color w:val="auto"/>
              </w:rPr>
            </w:pPr>
            <w:r>
              <w:rPr>
                <w:rFonts w:ascii="Times New Roman" w:cs="Times New Roman" w:eastAsia="Times New Roman" w:hAnsi="Times New Roman"/>
                <w:sz w:val="20"/>
                <w:szCs w:val="20"/>
                <w:color w:val="auto"/>
                <w:w w:val="98"/>
              </w:rPr>
              <w:t>Liabilities assumed:</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 . . . . . . . . . . . . . . .</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3,048</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Accrued liabilities . . . . . . . . . . . . . . . . . . . . . . . . . . . . . . . . . . . . . . . . . . . . . . . . . . . . . . . . . . . . . .</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3,508</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Operating lease liability, current . . . . . . . . . . . . . . . . . . . . . . . . . . . . . . . . . . . . . . . . . . . . . . . . . . .</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Financing lease liability, current . . . . . . . . . . . . . . . . . . . . . . . . . . . . . . . . . . . . . . . . . . . . . . . . . . .</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 . . . . . . . . . . . . . . .</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4,155</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Deferred revenue, non-current . . . . . . . . . . . . . . . . . . . . . . . . . . . . . . . . . . . . . . . . . . . . . . . . . . . .</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Operating lease liability, non-current . . . . . . . . . . . . . . . . . . . . . . . . . . . . . . . . . . . . . . . . . . . . . . .</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liabilities, non-current . . . . . . . . . . . . . . . . . . . . . . . . . . . . . . . . . . . . . . . . . . . . . . . . . . . . . .</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w:t>
            </w:r>
          </w:p>
        </w:tc>
      </w:tr>
      <w:tr>
        <w:trPr>
          <w:trHeight w:val="23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Total liabilities assumed . . . . . . . . . . . . . . . . . . . . . . . . . . . . . . . . . . . . . . . . . . . . . . . . . . . . . . . . . . .</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14,284</w:t>
            </w:r>
          </w:p>
        </w:tc>
      </w:tr>
      <w:tr>
        <w:trPr>
          <w:trHeight w:val="38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Fair value of identifiable net assets acquired . . . . . . . . . . . . . . . . . . . . . . . . . . . . . . . . . . . . . . . . . .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55,016</w:t>
            </w: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Goodwill acquired on acquisition . . . . . . . . . . . . . . . . . . . . . . . . . . . . . . . . . . . . . . . . . . . . . . . . . . .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21,067</w:t>
            </w:r>
          </w:p>
        </w:tc>
      </w:tr>
      <w:tr>
        <w:trPr>
          <w:trHeight w:val="20"/>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pacing w:after="0" w:line="172"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purchase accounting is not yet complete as of December 31, 2025 and as such, the final allocation among purchase consideration, intangible assets, net assets acquired and goodwill may be subject to change. Any adjustments to the preliminary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acquisition date.</w:t>
      </w:r>
    </w:p>
    <w:p>
      <w:pPr>
        <w:spacing w:after="0" w:line="168"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preliminary fair values of the identifiable intangible assets acquired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Preliminary</w:t>
            </w: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50"/>
              <w:spacing w:after="0" w:line="200" w:lineRule="exact"/>
              <w:rPr>
                <w:sz w:val="20"/>
                <w:szCs w:val="20"/>
                <w:color w:val="auto"/>
              </w:rPr>
            </w:pPr>
            <w:r>
              <w:rPr>
                <w:rFonts w:ascii="Times New Roman" w:cs="Times New Roman" w:eastAsia="Times New Roman" w:hAnsi="Times New Roman"/>
                <w:sz w:val="18"/>
                <w:szCs w:val="18"/>
                <w:b w:val="1"/>
                <w:bCs w:val="1"/>
                <w:color w:val="auto"/>
              </w:rPr>
              <w:t>Useful life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4"/>
              <w:spacing w:after="0" w:line="200" w:lineRule="exact"/>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63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Intangible Assets: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(in years)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4"/>
              <w:spacing w:after="0" w:line="201" w:lineRule="exact"/>
              <w:rPr>
                <w:sz w:val="20"/>
                <w:szCs w:val="20"/>
                <w:color w:val="auto"/>
              </w:rPr>
            </w:pPr>
            <w:r>
              <w:rPr>
                <w:rFonts w:ascii="Times New Roman" w:cs="Times New Roman" w:eastAsia="Times New Roman" w:hAnsi="Times New Roman"/>
                <w:sz w:val="18"/>
                <w:szCs w:val="18"/>
                <w:b w:val="1"/>
                <w:bCs w:val="1"/>
                <w:color w:val="auto"/>
                <w:w w:val="98"/>
              </w:rPr>
              <w:t>at acquisition</w:t>
            </w:r>
          </w:p>
        </w:tc>
      </w:tr>
      <w:tr>
        <w:trPr>
          <w:trHeight w:val="247"/>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Customer relationships . . . . . . . . . . . . . . . . . . . . . . . . . . . . . . . . . . . . . . . . . . . . .</w:t>
            </w:r>
          </w:p>
        </w:tc>
        <w:tc>
          <w:tcPr>
            <w:tcW w:w="1440" w:type="dxa"/>
            <w:vAlign w:val="bottom"/>
            <w:gridSpan w:val="2"/>
          </w:tcPr>
          <w:p>
            <w:pPr>
              <w:jc w:val="right"/>
              <w:ind w:right="390"/>
              <w:spacing w:after="0"/>
              <w:rPr>
                <w:sz w:val="20"/>
                <w:szCs w:val="20"/>
                <w:color w:val="auto"/>
              </w:rPr>
            </w:pPr>
            <w:r>
              <w:rPr>
                <w:rFonts w:ascii="Times New Roman" w:cs="Times New Roman" w:eastAsia="Times New Roman" w:hAnsi="Times New Roman"/>
                <w:sz w:val="20"/>
                <w:szCs w:val="20"/>
                <w:color w:val="auto"/>
              </w:rPr>
              <w:t>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26,700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Developed Technology . . . . . . . . . . . . . . . . . . . . . . . . . . . . . . . . . . . . . . . . . . . . .</w:t>
            </w:r>
          </w:p>
        </w:tc>
        <w:tc>
          <w:tcPr>
            <w:tcW w:w="1440" w:type="dxa"/>
            <w:vAlign w:val="bottom"/>
            <w:gridSpan w:val="2"/>
          </w:tcPr>
          <w:p>
            <w:pPr>
              <w:jc w:val="right"/>
              <w:ind w:right="390"/>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12,000</w:t>
            </w:r>
          </w:p>
        </w:tc>
      </w:tr>
      <w:tr>
        <w:trPr>
          <w:trHeight w:val="261"/>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Trademark . . . . . . . . . . . . . . . . . . . . . . . . . . . . . . . . . . . . . . . . . . . . . . . . . . . . . . .</w:t>
            </w:r>
          </w:p>
        </w:tc>
        <w:tc>
          <w:tcPr>
            <w:tcW w:w="1440" w:type="dxa"/>
            <w:vAlign w:val="bottom"/>
            <w:gridSpan w:val="2"/>
          </w:tcPr>
          <w:p>
            <w:pPr>
              <w:jc w:val="right"/>
              <w:ind w:right="390"/>
              <w:spacing w:after="0"/>
              <w:rPr>
                <w:sz w:val="20"/>
                <w:szCs w:val="20"/>
                <w:color w:val="auto"/>
              </w:rPr>
            </w:pPr>
            <w:r>
              <w:rPr>
                <w:rFonts w:ascii="Times New Roman" w:cs="Times New Roman" w:eastAsia="Times New Roman" w:hAnsi="Times New Roman"/>
                <w:sz w:val="20"/>
                <w:szCs w:val="20"/>
                <w:color w:val="auto"/>
              </w:rPr>
              <w:t>2.0</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240"/>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39,500</w:t>
            </w: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fair values of all intangible assets were estimated using the income approach. Under the income approach, an intangible asset’s fair value is equal to the present value of future economic benefits to be derived from ownership of the asset. Customer relationships was valued under the multi-period excess earnings method, which assumes that the value of intangible assets is equal to the present value of the incremental after-tax cash flows attributable specifically to the customer relationships. Developed technology and trade names were valued under the relief from royalty method, which assumes value to the extent that the acquired company is relieved of the obligation to pay royalties for the benefits received from them. The present value of projected cash flows included significant judgment and assumptions regarding (a) the projected revenues, attrition rate, and the discount rate for the certain customer contracts and related relationships, (b) the projected revenues, projected expenses, migration curve, contributory asset charges, and the discount rate for the developed technology, (c) the projected revenues, royalty rate, and the discount rate for the trade name.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941" w:right="1440" w:bottom="348"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BUSINESS COMBINATIONS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Company incurred $5.0 million in acquisition related expenses during the year ended December 31, 2025 and recorded as general and administration expenses in its consolidated statements of operations and comprehensive loss.</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Unaudited pro forma financial information</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The financial results of SYNQ3, Amelia and Interactions are included in these consolidated financial statements from the date of the acquisition. SYNQ3 contributed revenue of $12.0 million and net loss of $7.5 million to the Company for the year ended December 31, 2024. Amelia contributed revenue of $42.0 million and net loss of $8.5 million to the Company for the year ended December 31, 2024. Interactions contributed revenue of $23.1 million, and net income of $2.7 million to the Company for the year ended December 31, 2025.</w:t>
      </w:r>
    </w:p>
    <w:p>
      <w:pPr>
        <w:spacing w:after="0" w:line="158"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following table includes unaudited pro forma financial information that presents combined results of the Company as if the SYNQ3 and Amelia acquisitions were completed on January 1, 2023, and the Interactions acquisition was completed on January 1, 2024, the beginning of the comparable prior annual reporting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Years Ended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5"/>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6"/>
                <w:szCs w:val="16"/>
                <w:color w:val="auto"/>
              </w:rPr>
            </w:pPr>
          </w:p>
        </w:tc>
      </w:tr>
      <w:tr>
        <w:trPr>
          <w:trHeight w:val="210"/>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47"/>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w w:val="99"/>
              </w:rPr>
              <w:t>Revenue . . . . . . . . . . . . . . . . . . . . . . . . . . . . . . . . . . . . . . . .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211,701</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225,556</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153,586</w:t>
            </w:r>
          </w:p>
        </w:tc>
        <w:tc>
          <w:tcPr>
            <w:tcW w:w="60" w:type="dxa"/>
            <w:vAlign w:val="bottom"/>
          </w:tcPr>
          <w:p>
            <w:pPr>
              <w:spacing w:after="0"/>
              <w:rPr>
                <w:sz w:val="21"/>
                <w:szCs w:val="21"/>
                <w:color w:val="auto"/>
              </w:rPr>
            </w:pP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SoundHound AI, Inc. . . . . . . . . . . .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(8,624)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(367,400)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(158,339)</w:t>
            </w:r>
          </w:p>
        </w:tc>
      </w:tr>
    </w:tbl>
    <w:p>
      <w:pPr>
        <w:spacing w:after="0" w:line="157" w:lineRule="exact"/>
        <w:rPr>
          <w:sz w:val="20"/>
          <w:szCs w:val="20"/>
          <w:color w:val="auto"/>
        </w:rPr>
      </w:pPr>
    </w:p>
    <w:p>
      <w:pPr>
        <w:jc w:val="both"/>
        <w:ind w:left="480"/>
        <w:spacing w:after="0" w:line="263" w:lineRule="auto"/>
        <w:rPr>
          <w:sz w:val="20"/>
          <w:szCs w:val="20"/>
          <w:color w:val="auto"/>
        </w:rPr>
      </w:pPr>
      <w:r>
        <w:rPr>
          <w:rFonts w:ascii="Times New Roman" w:cs="Times New Roman" w:eastAsia="Times New Roman" w:hAnsi="Times New Roman"/>
          <w:sz w:val="19"/>
          <w:szCs w:val="19"/>
          <w:color w:val="auto"/>
        </w:rPr>
        <w:t>The unaudited pro forma financial information includes the combined historical operating results of the Company, SYNQ3, Amelia and Interactions prior to the acquisition, with adjustments to give effect for the acquisitions and related events. Pro forma adjustments have been made to reflect the incremental intangible asset amortization to be incurred based on the fair values and useful lives of each identifiable intangible asset, incremental stock-based compensation related to inducement equity awards, incremental transaction costs related to the acquisitions, adjustments to interest expense related to previously outstanding debt held by Amelia and Interactions, elimination of profit or loss from stock warrants issued by Interactions, reduction of interest income to reflect reduced average cash and equivalents after funding the Acquisitions with cash, removal of earnings attributable to non-controlling interest due to changes in Interactions ownership structure, and the related tax effects of pro forma adjustments for the period. These unaudited pro forma results are presented for informational purposes only and are not necessarily indicative of what the actual results of operations of the combined company would have been if the acquisition had occurred at the beginning of the period presented, nor are they indicative of future results of operations. Given the paydown of Amelia Debt occurred in December 2024, which was shortly after the acquisition dates, and the paydown of Interaction Debt occurred at the Interaction Acquisition Date, the interest expenses from Amelia Debt and Interaction Debt were excluded from the unaudited pro forma financial information. The unaudited pro forma results are based on the preliminary purchase price allocation under Interactions Acquisition and will be updated to reflect the final amounts as the allocation is finalized during the measurement period.</w:t>
      </w:r>
    </w:p>
    <w:p>
      <w:pPr>
        <w:spacing w:after="0" w:line="170"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Company did not have any material nonrecurring pro forma adjustments directly attributable to the business combination included in the reported pro forma revenue and earnings.</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Other Acquisition</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On June 14, 2024, the Company completed an immaterial acquisition for total purchase consideration of $1.0 million. As part of the acquisition, the Company acquired net assets of $2.2 million, including intangible assets of $2.6 million, and recognized a gain on bargain purchase of $1.2 million within other income, net in the consolidated statements of operations and comprehensive loss during the quarter of the acquisition, resulting from a favorable fair value of identifiable net assets acquired at the date of acquisition as compared with the Company’s purchase price. The Company was able to negotiate a bargain purchase price as a result of the recurring losses and pre-filing bankruptcy status of the selling entity.</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941" w:right="1440" w:bottom="348"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BUSINESS COMBINATIONS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purchase price allocation was finalized as of March 31, 2025.</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fair values of the identifiable intangible assets acquired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63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Intangible Assets: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(in years)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
              <w:spacing w:after="0" w:line="201" w:lineRule="exact"/>
              <w:rPr>
                <w:sz w:val="20"/>
                <w:szCs w:val="20"/>
                <w:color w:val="auto"/>
              </w:rPr>
            </w:pPr>
            <w:r>
              <w:rPr>
                <w:rFonts w:ascii="Times New Roman" w:cs="Times New Roman" w:eastAsia="Times New Roman" w:hAnsi="Times New Roman"/>
                <w:sz w:val="18"/>
                <w:szCs w:val="18"/>
                <w:b w:val="1"/>
                <w:bCs w:val="1"/>
                <w:color w:val="auto"/>
                <w:w w:val="98"/>
              </w:rPr>
              <w:t>at acquisition</w:t>
            </w:r>
          </w:p>
        </w:tc>
      </w:tr>
      <w:tr>
        <w:trPr>
          <w:trHeight w:val="247"/>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8"/>
              </w:rPr>
              <w:t>Developed technology . . . . . . . . . . . . . . . . . . . . . . . . . . . . . . . . . . . . . . . . . . . . . .</w:t>
            </w:r>
          </w:p>
        </w:tc>
        <w:tc>
          <w:tcPr>
            <w:tcW w:w="1440" w:type="dxa"/>
            <w:vAlign w:val="bottom"/>
            <w:gridSpan w:val="2"/>
          </w:tcPr>
          <w:p>
            <w:pPr>
              <w:jc w:val="right"/>
              <w:ind w:right="390"/>
              <w:spacing w:after="0"/>
              <w:rPr>
                <w:sz w:val="20"/>
                <w:szCs w:val="20"/>
                <w:color w:val="auto"/>
              </w:rPr>
            </w:pPr>
            <w:r>
              <w:rPr>
                <w:rFonts w:ascii="Times New Roman" w:cs="Times New Roman" w:eastAsia="Times New Roman" w:hAnsi="Times New Roman"/>
                <w:sz w:val="20"/>
                <w:szCs w:val="20"/>
                <w:color w:val="auto"/>
              </w:rPr>
              <w:t>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Customer relationships . . . . . . . . . . . . . . . . . . . . . . . . . . . . . . . . . . . . . . . . . . . . .</w:t>
            </w:r>
          </w:p>
        </w:tc>
        <w:tc>
          <w:tcPr>
            <w:tcW w:w="1440" w:type="dxa"/>
            <w:vAlign w:val="bottom"/>
            <w:gridSpan w:val="2"/>
          </w:tcPr>
          <w:p>
            <w:pPr>
              <w:jc w:val="right"/>
              <w:ind w:right="390"/>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w:t>
            </w:r>
          </w:p>
        </w:tc>
      </w:tr>
      <w:tr>
        <w:trPr>
          <w:trHeight w:val="261"/>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Tradename . . . . . . . . . . . . . . . . . . . . . . . . . . . . . . . . . . . . . . . . . . . . . . . . . . . . . . .</w:t>
            </w:r>
          </w:p>
        </w:tc>
        <w:tc>
          <w:tcPr>
            <w:tcW w:w="1440" w:type="dxa"/>
            <w:vAlign w:val="bottom"/>
            <w:gridSpan w:val="2"/>
          </w:tcPr>
          <w:p>
            <w:pPr>
              <w:jc w:val="right"/>
              <w:ind w:right="390"/>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40"/>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2,550</w:t>
            </w: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Company incurred $0.1 million in acquisition related expenses during the year ended December 31, 2024, and recorded as general and administration expenses in its consolidated statements of operations and comprehensive loss.</w:t>
      </w:r>
    </w:p>
    <w:p>
      <w:pPr>
        <w:spacing w:after="0" w:line="173"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9"/>
          <w:szCs w:val="19"/>
          <w:color w:val="auto"/>
        </w:rPr>
        <w:t>The financial results of the acquired entity are included in these consolidated financial statements from the date of the acquisition, and are immaterial. The Company has not separately presented unaudited pro forma results of operations reflecting the acquisition as the impacts were not material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REVENUE RECOGNITION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Revenue Recognition</w:t>
      </w:r>
    </w:p>
    <w:p>
      <w:pPr>
        <w:spacing w:after="0" w:line="177" w:lineRule="exact"/>
        <w:rPr>
          <w:sz w:val="20"/>
          <w:szCs w:val="20"/>
          <w:color w:val="auto"/>
        </w:rPr>
      </w:pPr>
    </w:p>
    <w:p>
      <w:pPr>
        <w:jc w:val="both"/>
        <w:ind w:left="480"/>
        <w:spacing w:after="0" w:line="265" w:lineRule="auto"/>
        <w:rPr>
          <w:sz w:val="20"/>
          <w:szCs w:val="20"/>
          <w:color w:val="auto"/>
        </w:rPr>
      </w:pPr>
      <w:r>
        <w:rPr>
          <w:rFonts w:ascii="Times New Roman" w:cs="Times New Roman" w:eastAsia="Times New Roman" w:hAnsi="Times New Roman"/>
          <w:sz w:val="19"/>
          <w:szCs w:val="19"/>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spacing w:after="0" w:line="155"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Company’s arrangements with customers may contain multiple obligations. Individual services are accounted for separately if they are distinct — that is, if a customer can benefit from it on its own or with other resources that are readily available to the customer and if the service is separately identifiable from other items in the contract.</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derives its revenue primarily from the following performance obligations: (1) hosted services,</w:t>
      </w:r>
    </w:p>
    <w:p>
      <w:pPr>
        <w:spacing w:after="0" w:line="17" w:lineRule="exact"/>
        <w:rPr>
          <w:sz w:val="20"/>
          <w:szCs w:val="20"/>
          <w:color w:val="auto"/>
        </w:rPr>
      </w:pPr>
    </w:p>
    <w:p>
      <w:pPr>
        <w:jc w:val="both"/>
        <w:ind w:left="480"/>
        <w:spacing w:after="0" w:line="246" w:lineRule="auto"/>
        <w:tabs>
          <w:tab w:leader="none" w:pos="76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professional services, (3) monetization, and (4) licensing. Revenues are reported net of applicable sales and use taxes that are passed through to customers. The Company applies significant judgment in identifying and evaluating any terms and conditions in contracts which impact revenue recognition.</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has the following performance obligations in contracts with customers:</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Hosted Services</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Hosted services, along with non-distinct customization, integration, maintenance and support professional services, allow customers to access the Houndify. Amelia Software Platform, and Virtual Assistance applications over the contract period without taking possession of the software.</w:t>
      </w:r>
    </w:p>
    <w:p>
      <w:pPr>
        <w:spacing w:after="0" w:line="17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spacing w:after="0" w:line="172"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9"/>
          <w:szCs w:val="19"/>
          <w:color w:val="auto"/>
        </w:rPr>
        <w:t>Hosted services may include implementation services to develop and/or customize the applications to each customer’s specification. Judgment is required to determine whether these professional services are distinct from the hosted services. In making this determination, factors such as the degree of integration, the significance</w:t>
      </w:r>
    </w:p>
    <w:p>
      <w:pPr>
        <w:sectPr>
          <w:pgSz w:w="12240" w:h="15840" w:orient="portrait"/>
          <w:cols w:equalWidth="0" w:num="1">
            <w:col w:w="9360"/>
          </w:cols>
          <w:pgMar w:left="1440" w:top="941" w:right="1440" w:bottom="348"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941" w:right="1440" w:bottom="348"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4. REVENUE RECOGNITION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of enhancement to existing functionality, the customers’ ability to start using the software prior to customization, the evaluation as to whether the services extend the economic life of the application, and the availability of these services from other independent vendors are considered.</w:t>
      </w:r>
    </w:p>
    <w:p>
      <w:pPr>
        <w:spacing w:after="0" w:line="173"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In instances where the Company concluded that the implementation services are not distinct performance obligations, revenues for these activities are recognized over the period which the hosted services are expected to be provided and is included within hosted services revenue.</w:t>
      </w:r>
    </w:p>
    <w:p>
      <w:pPr>
        <w:spacing w:after="0" w:line="173"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All revenues derived as a result of the SYNQ3 Acquisition, and substantial revenues derived as a result of the Amelia Acquisition and Interactions Acquisition are categorized as hosted services revenue.</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Professional Services</w:t>
      </w:r>
    </w:p>
    <w:p>
      <w:pPr>
        <w:spacing w:after="0" w:line="177" w:lineRule="exact"/>
        <w:rPr>
          <w:sz w:val="20"/>
          <w:szCs w:val="20"/>
          <w:color w:val="auto"/>
        </w:rPr>
      </w:pPr>
    </w:p>
    <w:p>
      <w:pPr>
        <w:jc w:val="both"/>
        <w:ind w:left="480"/>
        <w:spacing w:after="0" w:line="263" w:lineRule="auto"/>
        <w:rPr>
          <w:sz w:val="20"/>
          <w:szCs w:val="20"/>
          <w:color w:val="auto"/>
        </w:rPr>
      </w:pPr>
      <w:r>
        <w:rPr>
          <w:rFonts w:ascii="Times New Roman" w:cs="Times New Roman" w:eastAsia="Times New Roman" w:hAnsi="Times New Roman"/>
          <w:sz w:val="19"/>
          <w:szCs w:val="19"/>
          <w:color w:val="auto"/>
        </w:rPr>
        <w:t>Revenues from distinct professional services, such as non-integrated development services and other professional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w:t>
      </w:r>
    </w:p>
    <w:p>
      <w:pPr>
        <w:spacing w:after="0" w:line="4" w:lineRule="exact"/>
        <w:rPr>
          <w:sz w:val="20"/>
          <w:szCs w:val="20"/>
          <w:color w:val="auto"/>
        </w:rPr>
      </w:pPr>
    </w:p>
    <w:p>
      <w:pPr>
        <w:jc w:val="both"/>
        <w:ind w:left="480"/>
        <w:spacing w:after="0" w:line="246" w:lineRule="auto"/>
        <w:tabs>
          <w:tab w:leader="none" w:pos="76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spacing w:after="0" w:line="173"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For distinct professional services determined to be recognized over-time, measuring the stage of completion of a project requires significant judgment and estimates and is based on either input or output measures. During the year ended December 31, 2025, $14.7 million of professional service revenue was recognized over time, with the remaining $0.4 million recognized at a point in time when the performance obligation was fulfilled and control of the service was transferred to the customer. During the year ended December 31, 2024, $9.4 million of professional service revenue was recognized over time, with the remaining $0.1 million recognized at a point in time when the performance obligation was fulfilled and control of the service was transferred to the customer. During the year ended December 31, 2023, $7.4 million of professional service revenue was recognized over time, with the remaining $0.9 million recognized at a point in time when the performance obligation was fulfilled and control of the service was transferred to the customer.</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Monetization</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Monetization revenues are primarily derived from advertising payments associated with ad impressions placed on the SoundHound music identification application.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Licensing</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The Company licenses Amelia’s software solutions, Virtual Assistance applications, and other voice solutions that are embedded in customers’ products or services.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on royalty</w:t>
      </w:r>
    </w:p>
    <w:p>
      <w:pPr>
        <w:sectPr>
          <w:pgSz w:w="12240" w:h="15840" w:orient="portrait"/>
          <w:cols w:equalWidth="0" w:num="1">
            <w:col w:w="9360"/>
          </w:cols>
          <w:pgMar w:left="1440" w:top="941" w:right="1440" w:bottom="348"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941" w:right="1440" w:bottom="348"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4. REVENUE RECOGNITION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arrangements with a per unit pricing or on fixed considerations. The Company records licensing revenue relating to usage-based royalty arrangements in the same period in which the underlying usage occurs. Licensing revenue on fixed considerations including fixed fee and a minimum guarantee from royalty arrangements are recognized when the Company grants the customer the right to use and benefit from the license at the start of the licensing period. Licenses may include post-contract support, which is a distinct performance obligation and revenue from post-contract support is recognized ratably over the licensing period.</w:t>
      </w:r>
    </w:p>
    <w:p>
      <w:pPr>
        <w:spacing w:after="0" w:line="168"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62" w:lineRule="exact"/>
        <w:rPr>
          <w:sz w:val="20"/>
          <w:szCs w:val="20"/>
          <w:color w:val="auto"/>
        </w:rPr>
      </w:pPr>
    </w:p>
    <w:p>
      <w:pPr>
        <w:ind w:left="960" w:hanging="480"/>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developing and supplying each performance obligation;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Industry standards;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product groupings; and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objectives and pricing practices, such as contractually stated prices, discounts offered and applicable price lists.</w:t>
      </w:r>
    </w:p>
    <w:p>
      <w:pPr>
        <w:spacing w:after="0" w:line="174"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 When such observable data is not available because there is a limited number of transactions or prices are highly variable, the Company will estimate the standalone selling price using the residual approach.</w:t>
      </w:r>
    </w:p>
    <w:p>
      <w:pPr>
        <w:spacing w:after="0" w:line="172"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The Company’s long-term contracts generally do not have significant financing components, as there is normally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thus, the Company does not adjust the transaction price for financing components. In the limited cases where a significant financing component is present, the Company adjusts the promised consideration for the effects of a significant financing component and to recognize revenue to approximate an amount that reflects the cash selling price that a customer would have paid for the promised goods or services.</w:t>
      </w:r>
    </w:p>
    <w:p>
      <w:pPr>
        <w:spacing w:after="0" w:line="15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2025, 2024 and 2023, revenue under each performance obligation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Hosted services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108,255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57,246</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18,364</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Licensing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45,146</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18,600</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Professional services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15,059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8,275</w:t>
            </w: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Monetization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634</w:t>
            </w: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168,920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84,693</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45,873</w:t>
            </w: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60"/>
          </w:cols>
          <w:pgMar w:left="1440" w:top="941" w:right="1440" w:bottom="348"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4. REVENUE RECOGNITION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2025, 2024 and 2023, the disaggregated revenue by geographic location*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United States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108,387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46,751</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6,769</w:t>
            </w:r>
          </w:p>
        </w:tc>
      </w:tr>
      <w:tr>
        <w:trPr>
          <w:trHeight w:val="244"/>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Korea . . . . . . . . . . . . . . . . . . . . . . . . . . . . . . . . . . . . . . . . . . . . .</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12,289</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22,962</w:t>
            </w:r>
          </w:p>
        </w:tc>
      </w:tr>
      <w:tr>
        <w:trPr>
          <w:trHeight w:val="244"/>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France . . . . . . . . . . . . . . . . . . . . . . . . . . . . . . . . . . . . . . . . . . . .</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7,307</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4,090</w:t>
            </w:r>
          </w:p>
        </w:tc>
      </w:tr>
      <w:tr>
        <w:trPr>
          <w:trHeight w:val="244"/>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Germany . . . . . . . . . . . . . . . . . . . . . . . . . . . . . . . . . . . . . . . . . .</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5,950</w:t>
            </w:r>
          </w:p>
        </w:tc>
      </w:tr>
      <w:tr>
        <w:trPr>
          <w:trHeight w:val="244"/>
        </w:trPr>
        <w:tc>
          <w:tcPr>
            <w:tcW w:w="5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42,530</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16,701</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6,102</w:t>
            </w:r>
          </w:p>
        </w:tc>
      </w:tr>
      <w:tr>
        <w:trPr>
          <w:trHeight w:val="225"/>
        </w:trPr>
        <w:tc>
          <w:tcPr>
            <w:tcW w:w="5100" w:type="dxa"/>
            <w:vAlign w:val="bottom"/>
            <w:gridSpan w:val="2"/>
          </w:tcPr>
          <w:p>
            <w:pPr>
              <w:jc w:val="right"/>
              <w:ind w:right="140"/>
              <w:spacing w:after="0" w:line="224" w:lineRule="exact"/>
              <w:rPr>
                <w:sz w:val="20"/>
                <w:szCs w:val="20"/>
                <w:color w:val="auto"/>
              </w:rPr>
            </w:pPr>
            <w:r>
              <w:rPr>
                <w:rFonts w:ascii="Times New Roman" w:cs="Times New Roman" w:eastAsia="Times New Roman" w:hAnsi="Times New Roman"/>
                <w:sz w:val="20"/>
                <w:szCs w:val="20"/>
                <w:color w:val="auto"/>
              </w:rPr>
              <w:t>. . . . . . . . . . . . . . . . . . . . . . . . . . . . . . . . . . . . . . . . .Total..</w:t>
            </w:r>
          </w:p>
        </w:tc>
        <w:tc>
          <w:tcPr>
            <w:tcW w:w="280" w:type="dxa"/>
            <w:vAlign w:val="bottom"/>
          </w:tcPr>
          <w:p>
            <w:pPr>
              <w:jc w:val="right"/>
              <w:ind w:right="80"/>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168,920</w:t>
            </w:r>
          </w:p>
        </w:tc>
        <w:tc>
          <w:tcPr>
            <w:tcW w:w="460" w:type="dxa"/>
            <w:vAlign w:val="bottom"/>
            <w:gridSpan w:val="2"/>
          </w:tcPr>
          <w:p>
            <w:pPr>
              <w:jc w:val="right"/>
              <w:ind w:right="180"/>
              <w:spacing w:after="0" w:line="224"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84,693</w:t>
            </w:r>
          </w:p>
        </w:tc>
        <w:tc>
          <w:tcPr>
            <w:tcW w:w="500" w:type="dxa"/>
            <w:vAlign w:val="bottom"/>
            <w:gridSpan w:val="2"/>
          </w:tcPr>
          <w:p>
            <w:pPr>
              <w:jc w:val="right"/>
              <w:ind w:right="220"/>
              <w:spacing w:after="0" w:line="224"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45,873</w:t>
            </w:r>
          </w:p>
        </w:tc>
      </w:tr>
      <w:tr>
        <w:trPr>
          <w:trHeight w:val="20"/>
        </w:trPr>
        <w:tc>
          <w:tcPr>
            <w:tcW w:w="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3"/>
        </w:trPr>
        <w:tc>
          <w:tcPr>
            <w:tcW w:w="880" w:type="dxa"/>
            <w:vAlign w:val="bottom"/>
            <w:tcBorders>
              <w:bottom w:val="single" w:sz="8" w:color="auto"/>
            </w:tcBorders>
          </w:tcPr>
          <w:p>
            <w:pPr>
              <w:spacing w:after="0"/>
              <w:rPr>
                <w:sz w:val="2"/>
                <w:szCs w:val="2"/>
                <w:color w:val="auto"/>
              </w:rPr>
            </w:pPr>
          </w:p>
        </w:tc>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bl>
    <w:p>
      <w:pPr>
        <w:spacing w:after="0" w:line="83" w:lineRule="exact"/>
        <w:rPr>
          <w:sz w:val="20"/>
          <w:szCs w:val="20"/>
          <w:color w:val="auto"/>
        </w:rPr>
      </w:pPr>
    </w:p>
    <w:p>
      <w:pPr>
        <w:jc w:val="both"/>
        <w:ind w:left="480" w:hanging="480"/>
        <w:spacing w:after="0" w:line="250"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 is allocated to individual countries based on the billing location of the customer. The end customer location may be different than the customer’s billing location. The ‘Other’ category is composed of geographic regions with sales less than 10% of the consolidated revenue.</w:t>
      </w:r>
    </w:p>
    <w:p>
      <w:pPr>
        <w:spacing w:after="0" w:line="134" w:lineRule="exact"/>
        <w:rPr>
          <w:rFonts w:ascii="Times New Roman" w:cs="Times New Roman" w:eastAsia="Times New Roman" w:hAnsi="Times New Roman"/>
          <w:sz w:val="18"/>
          <w:szCs w:val="18"/>
          <w:color w:val="auto"/>
        </w:rPr>
      </w:pPr>
    </w:p>
    <w:p>
      <w:pPr>
        <w:ind w:left="48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the years ended December 31, 2025, 2024 and 2023, the disaggregated revenue by recognition pattern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Over time revenue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125,887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67,789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25,757</w:t>
            </w:r>
          </w:p>
        </w:tc>
      </w:tr>
      <w:tr>
        <w:trPr>
          <w:trHeight w:val="245"/>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Point-in-time . . . . . . . . . . . . . . . . . . . . . . . . . . . . . . . . . . . . . . .</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43,033</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16,904</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20,116</w:t>
            </w:r>
          </w:p>
        </w:tc>
      </w:tr>
      <w:tr>
        <w:trPr>
          <w:trHeight w:val="224"/>
        </w:trPr>
        <w:tc>
          <w:tcPr>
            <w:tcW w:w="51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 . . . . . . . . . . . . . . . . . . . . . . . . . . . . . . . . . . . . . . . . . . . .</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168,920</w:t>
            </w:r>
          </w:p>
        </w:tc>
        <w:tc>
          <w:tcPr>
            <w:tcW w:w="4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84,693</w:t>
            </w:r>
          </w:p>
        </w:tc>
        <w:tc>
          <w:tcPr>
            <w:tcW w:w="50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45,873</w:t>
            </w: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Amelia services, and Virtual Assistance applications, which include customer services, food ordering, content, appointments and voice commerce, autonomous business workflows, and IT systems analysis. Subscription revenues are derived from monthly fees based on fixed fees, usage-based revenue, revenue per query or revenue per user. Houndified Products, Houndified Services, Amelia services, and Virtual Assistance applications may include professional services that develop and customize the Houndify platform, Amelia Software Platform, and Virtual Assistance applications to fit customers’ specific needs, and any post-contract support for on-premise solutions. Revenues from Monetization are generated from the SoundHound music identification app and are primarily attributable to user ad impression revenue.</w:t>
      </w:r>
    </w:p>
    <w:p>
      <w:pPr>
        <w:spacing w:after="0" w:line="138"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2025, 2024 and 2023, the disaggregated revenue by service type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Service subscriptions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133,547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56,347</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1,940</w:t>
            </w:r>
          </w:p>
        </w:tc>
      </w:tr>
      <w:tr>
        <w:trPr>
          <w:trHeight w:val="24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Product royalties . . . . . . . . . . . . . . . . . . . . . . . . . . . . . . . . . . .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34,913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27,964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43,299</w:t>
            </w:r>
          </w:p>
        </w:tc>
      </w:tr>
      <w:tr>
        <w:trPr>
          <w:trHeight w:val="24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Monetization . . . . . . . . . . . . . . . . . . . . . . . . . . . . . . . . . . . . . . .</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634</w:t>
            </w:r>
          </w:p>
        </w:tc>
      </w:tr>
      <w:tr>
        <w:trPr>
          <w:trHeight w:val="225"/>
        </w:trPr>
        <w:tc>
          <w:tcPr>
            <w:tcW w:w="50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 . . . . . . . . . . . . . . . . . . . . . . . . . . . . . . .Total.............</w:t>
            </w:r>
          </w:p>
        </w:tc>
        <w:tc>
          <w:tcPr>
            <w:tcW w:w="360" w:type="dxa"/>
            <w:vAlign w:val="bottom"/>
            <w:gridSpan w:val="2"/>
          </w:tcPr>
          <w:p>
            <w:pPr>
              <w:jc w:val="right"/>
              <w:ind w:right="180"/>
              <w:spacing w:after="0" w:line="224"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168,920</w:t>
            </w:r>
          </w:p>
        </w:tc>
        <w:tc>
          <w:tcPr>
            <w:tcW w:w="460" w:type="dxa"/>
            <w:vAlign w:val="bottom"/>
            <w:gridSpan w:val="2"/>
          </w:tcPr>
          <w:p>
            <w:pPr>
              <w:jc w:val="right"/>
              <w:ind w:right="180"/>
              <w:spacing w:after="0" w:line="224"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84,693</w:t>
            </w:r>
          </w:p>
        </w:tc>
        <w:tc>
          <w:tcPr>
            <w:tcW w:w="500" w:type="dxa"/>
            <w:vAlign w:val="bottom"/>
            <w:gridSpan w:val="2"/>
          </w:tcPr>
          <w:p>
            <w:pPr>
              <w:jc w:val="right"/>
              <w:ind w:right="220"/>
              <w:spacing w:after="0" w:line="224"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45,873</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Contract Balances</w:t>
      </w:r>
    </w:p>
    <w:p>
      <w:pPr>
        <w:spacing w:after="0" w:line="13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w:t>
      </w:r>
    </w:p>
    <w:p>
      <w:pPr>
        <w:sectPr>
          <w:pgSz w:w="12240" w:h="15840" w:orient="portrait"/>
          <w:cols w:equalWidth="0" w:num="1">
            <w:col w:w="9360"/>
          </w:cols>
          <w:pgMar w:left="1440" w:top="941" w:right="1440" w:bottom="348"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941" w:right="1440" w:bottom="348"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4. REVENUE RECOGNITION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As of January 1, 2024, accounts receivable, net of allowances, was $4.1 million, contract assets were $28.3 million and deferred revenue was $9.2 million.</w:t>
      </w:r>
    </w:p>
    <w:p>
      <w:pPr>
        <w:spacing w:after="0" w:line="174"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contract asset and unbilled accounts receivable, net as of December 31, 2025 and December 31, 2024 consists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2840" w:type="dxa"/>
            <w:vAlign w:val="bottom"/>
          </w:tcPr>
          <w:p>
            <w:pPr>
              <w:spacing w:after="0"/>
              <w:rPr>
                <w:sz w:val="18"/>
                <w:szCs w:val="18"/>
                <w:color w:val="auto"/>
              </w:rPr>
            </w:pPr>
          </w:p>
        </w:tc>
        <w:tc>
          <w:tcPr>
            <w:tcW w:w="3680" w:type="dxa"/>
            <w:vAlign w:val="bottom"/>
            <w:tcBorders>
              <w:bottom w:val="single" w:sz="8" w:color="auto"/>
            </w:tcBorders>
          </w:tcPr>
          <w:p>
            <w:pPr>
              <w:ind w:left="800"/>
              <w:spacing w:after="0" w:line="201" w:lineRule="exact"/>
              <w:rPr>
                <w:sz w:val="20"/>
                <w:szCs w:val="20"/>
                <w:color w:val="auto"/>
              </w:rPr>
            </w:pPr>
            <w:r>
              <w:rPr>
                <w:rFonts w:ascii="Times New Roman" w:cs="Times New Roman" w:eastAsia="Times New Roman" w:hAnsi="Times New Roman"/>
                <w:sz w:val="18"/>
                <w:szCs w:val="18"/>
                <w:b w:val="1"/>
                <w:bCs w:val="1"/>
                <w:color w:val="auto"/>
              </w:rPr>
              <w:t>Balance Sheet Presentation</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35"/>
        </w:trPr>
        <w:tc>
          <w:tcPr>
            <w:tcW w:w="2840" w:type="dxa"/>
            <w:vAlign w:val="bottom"/>
          </w:tcPr>
          <w:p>
            <w:pPr>
              <w:jc w:val="right"/>
              <w:ind w:right="1360"/>
              <w:spacing w:after="0"/>
              <w:rPr>
                <w:sz w:val="20"/>
                <w:szCs w:val="20"/>
                <w:color w:val="auto"/>
              </w:rPr>
            </w:pPr>
            <w:r>
              <w:rPr>
                <w:rFonts w:ascii="Times New Roman" w:cs="Times New Roman" w:eastAsia="Times New Roman" w:hAnsi="Times New Roman"/>
                <w:sz w:val="20"/>
                <w:szCs w:val="20"/>
                <w:color w:val="auto"/>
                <w:w w:val="99"/>
              </w:rPr>
              <w:t>Unbilled account</w:t>
            </w:r>
          </w:p>
        </w:tc>
        <w:tc>
          <w:tcPr>
            <w:tcW w:w="3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3"/>
        </w:trPr>
        <w:tc>
          <w:tcPr>
            <w:tcW w:w="28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receivables – current . . . . . . . .</w:t>
            </w:r>
          </w:p>
        </w:tc>
        <w:tc>
          <w:tcPr>
            <w:tcW w:w="36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Contract assets and unbilled receivables, net</w:t>
            </w:r>
          </w:p>
        </w:tc>
        <w:tc>
          <w:tcPr>
            <w:tcW w:w="420" w:type="dxa"/>
            <w:vAlign w:val="bottom"/>
            <w:gridSpan w:val="2"/>
          </w:tcPr>
          <w:p>
            <w:pPr>
              <w:jc w:val="right"/>
              <w:ind w:right="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17,728</w:t>
            </w:r>
          </w:p>
        </w:tc>
        <w:tc>
          <w:tcPr>
            <w:tcW w:w="420" w:type="dxa"/>
            <w:vAlign w:val="bottom"/>
            <w:gridSpan w:val="2"/>
          </w:tcPr>
          <w:p>
            <w:pPr>
              <w:jc w:val="right"/>
              <w:ind w:right="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13,441</w:t>
            </w:r>
          </w:p>
        </w:tc>
      </w:tr>
      <w:tr>
        <w:trPr>
          <w:trHeight w:val="260"/>
        </w:trPr>
        <w:tc>
          <w:tcPr>
            <w:tcW w:w="2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8"/>
              </w:rPr>
              <w:t>Contract assets – current . . . . . . .</w:t>
            </w: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 and unbilled receivables, net</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20,461</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13,204</w:t>
            </w:r>
          </w:p>
        </w:tc>
      </w:tr>
      <w:tr>
        <w:trPr>
          <w:trHeight w:val="257"/>
        </w:trPr>
        <w:tc>
          <w:tcPr>
            <w:tcW w:w="2840" w:type="dxa"/>
            <w:vAlign w:val="bottom"/>
          </w:tcPr>
          <w:p>
            <w:pPr>
              <w:jc w:val="right"/>
              <w:ind w:right="1360"/>
              <w:spacing w:after="0"/>
              <w:rPr>
                <w:sz w:val="20"/>
                <w:szCs w:val="20"/>
                <w:color w:val="auto"/>
              </w:rPr>
            </w:pPr>
            <w:r>
              <w:rPr>
                <w:rFonts w:ascii="Times New Roman" w:cs="Times New Roman" w:eastAsia="Times New Roman" w:hAnsi="Times New Roman"/>
                <w:sz w:val="20"/>
                <w:szCs w:val="20"/>
                <w:color w:val="auto"/>
                <w:w w:val="99"/>
              </w:rPr>
              <w:t>Unbilled account</w:t>
            </w: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 and unbilled receivables,</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3"/>
        </w:trPr>
        <w:tc>
          <w:tcPr>
            <w:tcW w:w="28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receivables – non-current . . . .</w:t>
            </w:r>
          </w:p>
        </w:tc>
        <w:tc>
          <w:tcPr>
            <w:tcW w:w="36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non-current, net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12,988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922</w:t>
            </w:r>
          </w:p>
        </w:tc>
      </w:tr>
      <w:tr>
        <w:trPr>
          <w:trHeight w:val="257"/>
        </w:trPr>
        <w:tc>
          <w:tcPr>
            <w:tcW w:w="2840" w:type="dxa"/>
            <w:vAlign w:val="bottom"/>
          </w:tcPr>
          <w:p>
            <w:pPr>
              <w:spacing w:after="0"/>
              <w:rPr>
                <w:sz w:val="22"/>
                <w:szCs w:val="2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 and unbilled receivables,</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3"/>
        </w:trPr>
        <w:tc>
          <w:tcPr>
            <w:tcW w:w="28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Contract assets – non-current . . .</w:t>
            </w:r>
          </w:p>
        </w:tc>
        <w:tc>
          <w:tcPr>
            <w:tcW w:w="36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non-current, net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16,918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11,957</w:t>
            </w:r>
          </w:p>
        </w:tc>
      </w:tr>
    </w:tbl>
    <w:p>
      <w:pPr>
        <w:spacing w:after="0" w:line="15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change in the Company’s unbilled accounts receivable and contract assets during the current period was primarily the result of new contracts, customer invoicing, and the performance of the Company’s contracts, respectively. The Company has not recorded any specific asset impairment charges related to contract assets during the periods presented in the consolidated financial statements.</w:t>
      </w:r>
    </w:p>
    <w:p>
      <w:pPr>
        <w:spacing w:after="0" w:line="169"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Revenues recognized included in the balances of the deferred revenue at the beginning of the reporting period for the years ended December 31, 2025, 2024 and 2023 were $24.1 million, $5.1 million and $7.9 million, respectively.</w:t>
      </w:r>
    </w:p>
    <w:p>
      <w:pPr>
        <w:spacing w:after="0" w:line="173"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As of December 31, 2025, the aggregate amount of the transaction price allocated to the remaining performance obligations related to customer contracts that were unsatisfied or partially unsatisfied was $79.5 million. Given the applicable contract terms, $47.8 million is expected to be recognized as revenue within one year, $30.1 million is expected to be recognized between 2 to 5 years and the remainder of $1.6 million is expected to be recognized after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GOODWILL AND INTANGIBLE ASSETS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Goodwill</w:t>
      </w:r>
    </w:p>
    <w:p>
      <w:pPr>
        <w:spacing w:after="0" w:line="17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change in the carrying value of goodwill including the effect of measurement period adjustments for the year ended December 31, 2025,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2023 . . . . . . . . . . . . . . . .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Acquisition of SYNQ3 . . . . . . . . . . . . . . . . . . . . . .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60" w:type="dxa"/>
            <w:vAlign w:val="bottom"/>
          </w:tcPr>
          <w:p>
            <w:pPr>
              <w:spacing w:after="0"/>
              <w:rPr>
                <w:sz w:val="22"/>
                <w:szCs w:val="22"/>
                <w:color w:val="auto"/>
              </w:rPr>
            </w:pP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Acquisition of Amelia . . . . . . . . . . . . . . . . . . . . . . . . . . . . . . . . . . . . . . . . . . . . . . . . . . . . . . . . . . .</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95,704</w:t>
            </w:r>
          </w:p>
        </w:tc>
        <w:tc>
          <w:tcPr>
            <w:tcW w:w="60" w:type="dxa"/>
            <w:vAlign w:val="bottom"/>
          </w:tcPr>
          <w:p>
            <w:pPr>
              <w:spacing w:after="0"/>
              <w:rPr>
                <w:sz w:val="22"/>
                <w:szCs w:val="22"/>
                <w:color w:val="auto"/>
              </w:rPr>
            </w:pPr>
          </w:p>
        </w:tc>
      </w:tr>
      <w:tr>
        <w:trPr>
          <w:trHeight w:val="23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2024 . . . . . . . . . . . . . . . .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101,704</w:t>
            </w:r>
          </w:p>
        </w:tc>
        <w:tc>
          <w:tcPr>
            <w:tcW w:w="60" w:type="dxa"/>
            <w:vAlign w:val="bottom"/>
          </w:tcPr>
          <w:p>
            <w:pPr>
              <w:spacing w:after="0"/>
              <w:rPr>
                <w:sz w:val="20"/>
                <w:szCs w:val="20"/>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Acquisition of Interactions . . . . . . . . . . . . . . . . . . . . . . . . . . . . . . . . . . . . . . . . . . . . . . .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21,067</w:t>
            </w:r>
          </w:p>
        </w:tc>
        <w:tc>
          <w:tcPr>
            <w:tcW w:w="60" w:type="dxa"/>
            <w:vAlign w:val="bottom"/>
          </w:tcPr>
          <w:p>
            <w:pPr>
              <w:spacing w:after="0"/>
              <w:rPr>
                <w:sz w:val="22"/>
                <w:szCs w:val="22"/>
                <w:color w:val="auto"/>
              </w:rPr>
            </w:pP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Measurement period adjustment . . . . . . . . . . . . . . .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(494)</w:t>
            </w: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2025 . . . . . . . . . . . . . . . . . . . . . . . . . . . . . . . . . . . . . . . . . . . . . . . . . . . .</w:t>
            </w:r>
          </w:p>
        </w:tc>
        <w:tc>
          <w:tcPr>
            <w:tcW w:w="3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122,277</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360"/>
          </w:cols>
          <w:pgMar w:left="1440" w:top="941" w:right="1440" w:bottom="348"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5. GOODWILL AND INTANGIBLE ASSETS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has applied the acquisition method of accounting in accordance with ASC 805 and recognized assets acquired and liabilities assumed of SYNQ3, Amelia, and Interactions at their fair value as of the date of acquisition, with the excess purchase consideration recorded to goodwill. As the Company finalizes the estimation of the fair value of the assets acquired and liabilities assumed, additional adjustments to the amount of goodwill may be necessary. Refer to Note 3 for further information on the measurement period adjustments of Amelia Acquisition.</w:t>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Intangible Assets</w:t>
      </w:r>
    </w:p>
    <w:p>
      <w:pPr>
        <w:spacing w:after="0" w:line="17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gross carrying value, accumulated amortization and net carrying value of intangible assets consisted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12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rPr>
              <w:t>Useful life</w:t>
            </w:r>
          </w:p>
        </w:tc>
        <w:tc>
          <w:tcPr>
            <w:tcW w:w="180" w:type="dxa"/>
            <w:vAlign w:val="bottom"/>
          </w:tcPr>
          <w:p>
            <w:pPr>
              <w:spacing w:after="0"/>
              <w:rPr>
                <w:sz w:val="17"/>
                <w:szCs w:val="17"/>
                <w:color w:val="auto"/>
              </w:rPr>
            </w:pPr>
          </w:p>
        </w:tc>
        <w:tc>
          <w:tcPr>
            <w:tcW w:w="126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3"/>
              <w:spacing w:after="0" w:line="195" w:lineRule="exact"/>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10"/>
        </w:trPr>
        <w:tc>
          <w:tcPr>
            <w:tcW w:w="366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(in years)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63"/>
              <w:spacing w:after="0" w:line="201"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
              <w:spacing w:after="0" w:line="201" w:lineRule="exact"/>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47"/>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Developed technology . . . . . . . . . . . . . . . . .</w:t>
            </w:r>
          </w:p>
        </w:tc>
        <w:tc>
          <w:tcPr>
            <w:tcW w:w="1260" w:type="dxa"/>
            <w:vAlign w:val="bottom"/>
          </w:tcPr>
          <w:p>
            <w:pPr>
              <w:jc w:val="center"/>
              <w:ind w:left="23"/>
              <w:spacing w:after="0"/>
              <w:rPr>
                <w:sz w:val="20"/>
                <w:szCs w:val="20"/>
                <w:color w:val="auto"/>
              </w:rPr>
            </w:pPr>
            <w:r>
              <w:rPr>
                <w:rFonts w:ascii="Times New Roman" w:cs="Times New Roman" w:eastAsia="Times New Roman" w:hAnsi="Times New Roman"/>
                <w:sz w:val="20"/>
                <w:szCs w:val="20"/>
                <w:color w:val="auto"/>
                <w:w w:val="99"/>
              </w:rPr>
              <w:t>3.0 – 7.0</w:t>
            </w:r>
          </w:p>
        </w:tc>
        <w:tc>
          <w:tcPr>
            <w:tcW w:w="440" w:type="dxa"/>
            <w:vAlign w:val="bottom"/>
            <w:gridSpan w:val="2"/>
          </w:tcPr>
          <w:p>
            <w:pPr>
              <w:jc w:val="right"/>
              <w:ind w:right="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24,871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92,769</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Customer relationships . . . . . . . . . . . . . . . .</w:t>
            </w:r>
          </w:p>
        </w:tc>
        <w:tc>
          <w:tcPr>
            <w:tcW w:w="1260" w:type="dxa"/>
            <w:vAlign w:val="bottom"/>
          </w:tcPr>
          <w:p>
            <w:pPr>
              <w:jc w:val="center"/>
              <w:ind w:left="23"/>
              <w:spacing w:after="0"/>
              <w:rPr>
                <w:sz w:val="20"/>
                <w:szCs w:val="20"/>
                <w:color w:val="auto"/>
              </w:rPr>
            </w:pPr>
            <w:r>
              <w:rPr>
                <w:rFonts w:ascii="Times New Roman" w:cs="Times New Roman" w:eastAsia="Times New Roman" w:hAnsi="Times New Roman"/>
                <w:sz w:val="20"/>
                <w:szCs w:val="20"/>
                <w:color w:val="auto"/>
                <w:w w:val="99"/>
              </w:rPr>
              <w:t>3.0 – 7.0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101,060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18,422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82,638</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Tradename . . . . . . . . . . . . . . . . . . . . . . . . . .</w:t>
            </w:r>
          </w:p>
        </w:tc>
        <w:tc>
          <w:tcPr>
            <w:tcW w:w="1260" w:type="dxa"/>
            <w:vAlign w:val="bottom"/>
          </w:tcPr>
          <w:p>
            <w:pPr>
              <w:jc w:val="center"/>
              <w:ind w:left="23"/>
              <w:spacing w:after="0"/>
              <w:rPr>
                <w:sz w:val="20"/>
                <w:szCs w:val="20"/>
                <w:color w:val="auto"/>
              </w:rPr>
            </w:pPr>
            <w:r>
              <w:rPr>
                <w:rFonts w:ascii="Times New Roman" w:cs="Times New Roman" w:eastAsia="Times New Roman" w:hAnsi="Times New Roman"/>
                <w:sz w:val="20"/>
                <w:szCs w:val="20"/>
                <w:color w:val="auto"/>
                <w:w w:val="99"/>
              </w:rPr>
              <w:t>2.0 – 5.0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5,732</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Conversation data . . . . . . . . . . . . . . . . . . . .</w:t>
            </w:r>
          </w:p>
        </w:tc>
        <w:tc>
          <w:tcPr>
            <w:tcW w:w="1260" w:type="dxa"/>
            <w:vAlign w:val="bottom"/>
          </w:tcPr>
          <w:p>
            <w:pPr>
              <w:jc w:val="center"/>
              <w:ind w:left="23"/>
              <w:spacing w:after="0"/>
              <w:rPr>
                <w:sz w:val="20"/>
                <w:szCs w:val="20"/>
                <w:color w:val="auto"/>
              </w:rPr>
            </w:pPr>
            <w:r>
              <w:rPr>
                <w:rFonts w:ascii="Times New Roman" w:cs="Times New Roman" w:eastAsia="Times New Roman" w:hAnsi="Times New Roman"/>
                <w:sz w:val="20"/>
                <w:szCs w:val="20"/>
                <w:color w:val="auto"/>
              </w:rPr>
              <w:t>2.5</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1,285</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1,029</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w:t>
            </w:r>
          </w:p>
        </w:tc>
      </w:tr>
      <w:tr>
        <w:trPr>
          <w:trHeight w:val="241"/>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 . . . . . . . . . . . . . . . . . . . . . . . . . . .</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229,255</w:t>
            </w:r>
          </w:p>
        </w:tc>
        <w:tc>
          <w:tcPr>
            <w:tcW w:w="1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47,860</w:t>
            </w:r>
          </w:p>
        </w:tc>
        <w:tc>
          <w:tcPr>
            <w:tcW w:w="1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181,395</w:t>
            </w:r>
          </w:p>
        </w:tc>
      </w:tr>
      <w:tr>
        <w:trPr>
          <w:trHeight w:val="20"/>
        </w:trPr>
        <w:tc>
          <w:tcPr>
            <w:tcW w:w="3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98"/>
        </w:trPr>
        <w:tc>
          <w:tcPr>
            <w:tcW w:w="36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96"/>
        </w:trPr>
        <w:tc>
          <w:tcPr>
            <w:tcW w:w="3660" w:type="dxa"/>
            <w:vAlign w:val="bottom"/>
          </w:tcPr>
          <w:p>
            <w:pPr>
              <w:spacing w:after="0"/>
              <w:rPr>
                <w:sz w:val="17"/>
                <w:szCs w:val="17"/>
                <w:color w:val="auto"/>
              </w:rPr>
            </w:pPr>
          </w:p>
        </w:tc>
        <w:tc>
          <w:tcPr>
            <w:tcW w:w="12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rPr>
              <w:t>Useful life</w:t>
            </w:r>
          </w:p>
        </w:tc>
        <w:tc>
          <w:tcPr>
            <w:tcW w:w="180" w:type="dxa"/>
            <w:vAlign w:val="bottom"/>
          </w:tcPr>
          <w:p>
            <w:pPr>
              <w:spacing w:after="0"/>
              <w:rPr>
                <w:sz w:val="17"/>
                <w:szCs w:val="17"/>
                <w:color w:val="auto"/>
              </w:rPr>
            </w:pPr>
          </w:p>
        </w:tc>
        <w:tc>
          <w:tcPr>
            <w:tcW w:w="126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3"/>
              <w:spacing w:after="0" w:line="195" w:lineRule="exact"/>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10"/>
        </w:trPr>
        <w:tc>
          <w:tcPr>
            <w:tcW w:w="366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(in years)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63"/>
              <w:spacing w:after="0" w:line="201"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
              <w:spacing w:after="0" w:line="201" w:lineRule="exact"/>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47"/>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Developed technology . . . . . . . . . . . . . . . . .</w:t>
            </w:r>
          </w:p>
        </w:tc>
        <w:tc>
          <w:tcPr>
            <w:tcW w:w="1260" w:type="dxa"/>
            <w:vAlign w:val="bottom"/>
          </w:tcPr>
          <w:p>
            <w:pPr>
              <w:jc w:val="center"/>
              <w:ind w:left="23"/>
              <w:spacing w:after="0"/>
              <w:rPr>
                <w:sz w:val="20"/>
                <w:szCs w:val="20"/>
                <w:color w:val="auto"/>
              </w:rPr>
            </w:pPr>
            <w:r>
              <w:rPr>
                <w:rFonts w:ascii="Times New Roman" w:cs="Times New Roman" w:eastAsia="Times New Roman" w:hAnsi="Times New Roman"/>
                <w:sz w:val="20"/>
                <w:szCs w:val="20"/>
                <w:color w:val="auto"/>
                <w:w w:val="99"/>
              </w:rPr>
              <w:t>3.0 – 7.0</w:t>
            </w:r>
          </w:p>
        </w:tc>
        <w:tc>
          <w:tcPr>
            <w:tcW w:w="440" w:type="dxa"/>
            <w:vAlign w:val="bottom"/>
            <w:gridSpan w:val="2"/>
          </w:tcPr>
          <w:p>
            <w:pPr>
              <w:jc w:val="right"/>
              <w:ind w:right="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97,944</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Customer relationships . . . . . . . . . . . . . . . .</w:t>
            </w:r>
          </w:p>
        </w:tc>
        <w:tc>
          <w:tcPr>
            <w:tcW w:w="1260" w:type="dxa"/>
            <w:vAlign w:val="bottom"/>
          </w:tcPr>
          <w:p>
            <w:pPr>
              <w:jc w:val="center"/>
              <w:ind w:left="23"/>
              <w:spacing w:after="0"/>
              <w:rPr>
                <w:sz w:val="20"/>
                <w:szCs w:val="20"/>
                <w:color w:val="auto"/>
              </w:rPr>
            </w:pPr>
            <w:r>
              <w:rPr>
                <w:rFonts w:ascii="Times New Roman" w:cs="Times New Roman" w:eastAsia="Times New Roman" w:hAnsi="Times New Roman"/>
                <w:sz w:val="20"/>
                <w:szCs w:val="20"/>
                <w:color w:val="auto"/>
                <w:w w:val="99"/>
              </w:rPr>
              <w:t>3.0 – 7.0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74,360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69,038</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Tradename . . . . . . . . . . . . . . . . . . . . . . . . . .</w:t>
            </w:r>
          </w:p>
        </w:tc>
        <w:tc>
          <w:tcPr>
            <w:tcW w:w="1260" w:type="dxa"/>
            <w:vAlign w:val="bottom"/>
          </w:tcPr>
          <w:p>
            <w:pPr>
              <w:jc w:val="center"/>
              <w:ind w:left="23"/>
              <w:spacing w:after="0"/>
              <w:rPr>
                <w:sz w:val="20"/>
                <w:szCs w:val="20"/>
                <w:color w:val="auto"/>
              </w:rPr>
            </w:pPr>
            <w:r>
              <w:rPr>
                <w:rFonts w:ascii="Times New Roman" w:cs="Times New Roman" w:eastAsia="Times New Roman" w:hAnsi="Times New Roman"/>
                <w:sz w:val="20"/>
                <w:szCs w:val="20"/>
                <w:color w:val="auto"/>
                <w:w w:val="99"/>
              </w:rPr>
              <w:t>2.0 – 5.0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7,190</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Conversation data . . . . . . . . . . . . . . . . . . . .</w:t>
            </w:r>
          </w:p>
        </w:tc>
        <w:tc>
          <w:tcPr>
            <w:tcW w:w="1260" w:type="dxa"/>
            <w:vAlign w:val="bottom"/>
          </w:tcPr>
          <w:p>
            <w:pPr>
              <w:jc w:val="center"/>
              <w:ind w:left="23"/>
              <w:spacing w:after="0"/>
              <w:rPr>
                <w:sz w:val="20"/>
                <w:szCs w:val="20"/>
                <w:color w:val="auto"/>
              </w:rPr>
            </w:pPr>
            <w:r>
              <w:rPr>
                <w:rFonts w:ascii="Times New Roman" w:cs="Times New Roman" w:eastAsia="Times New Roman" w:hAnsi="Times New Roman"/>
                <w:sz w:val="20"/>
                <w:szCs w:val="20"/>
                <w:color w:val="auto"/>
              </w:rPr>
              <w:t>2.5</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1,285</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771</w:t>
            </w:r>
          </w:p>
        </w:tc>
      </w:tr>
      <w:tr>
        <w:trPr>
          <w:trHeight w:val="241"/>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 . . . . . . . . . . . . . . . . . . . . . . . . . . .</w:t>
            </w:r>
          </w:p>
        </w:tc>
        <w:tc>
          <w:tcPr>
            <w:tcW w:w="1260" w:type="dxa"/>
            <w:vAlign w:val="bottom"/>
          </w:tcPr>
          <w:p>
            <w:pPr>
              <w:spacing w:after="0"/>
              <w:rPr>
                <w:sz w:val="20"/>
                <w:szCs w:val="20"/>
                <w:color w:val="auto"/>
              </w:rPr>
            </w:pPr>
          </w:p>
        </w:tc>
        <w:tc>
          <w:tcPr>
            <w:tcW w:w="440" w:type="dxa"/>
            <w:vAlign w:val="bottom"/>
            <w:gridSpan w:val="2"/>
          </w:tcPr>
          <w:p>
            <w:pPr>
              <w:jc w:val="right"/>
              <w:ind w:right="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189,755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174,943</w:t>
            </w:r>
          </w:p>
        </w:tc>
      </w:tr>
      <w:tr>
        <w:trPr>
          <w:trHeight w:val="20"/>
        </w:trPr>
        <w:tc>
          <w:tcPr>
            <w:tcW w:w="3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Amortization expense of intangible assets was $33.0 million for the year ended December 31, 2025. This expense was recorded as $17.2 million within cost of revenues for the year ended December 31, 2025. Amortization expense of intangible assets was $14.8 million for the year ended December 31, 2024. This expense was recorded as $7.7 million within cost of revenues for the year ended December 31, 2024. There was no amortization expense during the year ended December 31, 2023.</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Future amortization expense of intangible assets held as of December 31, 2025, is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0"/>
        </w:trPr>
        <w:tc>
          <w:tcPr>
            <w:tcW w:w="7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37,512</w:t>
            </w:r>
          </w:p>
        </w:tc>
      </w:tr>
      <w:tr>
        <w:trPr>
          <w:trHeight w:val="260"/>
        </w:trPr>
        <w:tc>
          <w:tcPr>
            <w:tcW w:w="7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34,930</w:t>
            </w:r>
          </w:p>
        </w:tc>
      </w:tr>
      <w:tr>
        <w:trPr>
          <w:trHeight w:val="260"/>
        </w:trPr>
        <w:tc>
          <w:tcPr>
            <w:tcW w:w="7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2028. . . . . . . . . . . . . . . . . . . . . . . . . . . . . . . . . . . . . . . . . . . . . . . . . . . . . . . . . . . . . . . . . . . . . . . . .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33,138</w:t>
            </w:r>
          </w:p>
        </w:tc>
      </w:tr>
      <w:tr>
        <w:trPr>
          <w:trHeight w:val="260"/>
        </w:trPr>
        <w:tc>
          <w:tcPr>
            <w:tcW w:w="7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2029. . . . . . . . . . . . . . . . . . . . . . . . . . . . . . . . . . . . . . . . . . . . . . . . . . . . . . . . . . . . . . . . . . . . . . . . .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32,501</w:t>
            </w:r>
          </w:p>
        </w:tc>
      </w:tr>
      <w:tr>
        <w:trPr>
          <w:trHeight w:val="260"/>
        </w:trPr>
        <w:tc>
          <w:tcPr>
            <w:tcW w:w="7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 .</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43,314</w:t>
            </w:r>
          </w:p>
        </w:tc>
      </w:tr>
      <w:tr>
        <w:trPr>
          <w:trHeight w:val="241"/>
        </w:trPr>
        <w:tc>
          <w:tcPr>
            <w:tcW w:w="7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 . . . . . . . . . .</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181,395</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360"/>
          </w:cols>
          <w:pgMar w:left="1440" w:top="941" w:right="1440" w:bottom="348"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6. PROPERTY AND EQUIPMENT, NET AND CAPITALIZED SOFTWARE DEVELOPMENT COST</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Property and equipment, net consisted of the following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17,441</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19,480</w:t>
            </w:r>
          </w:p>
        </w:tc>
        <w:tc>
          <w:tcPr>
            <w:tcW w:w="60" w:type="dxa"/>
            <w:vAlign w:val="bottom"/>
          </w:tcPr>
          <w:p>
            <w:pPr>
              <w:spacing w:after="0"/>
              <w:rPr>
                <w:sz w:val="21"/>
                <w:szCs w:val="2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Software and voice recordings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10,033</w:t>
            </w:r>
          </w:p>
        </w:tc>
        <w:tc>
          <w:tcPr>
            <w:tcW w:w="60" w:type="dxa"/>
            <w:vAlign w:val="bottom"/>
          </w:tcPr>
          <w:p>
            <w:pPr>
              <w:spacing w:after="0"/>
              <w:rPr>
                <w:sz w:val="22"/>
                <w:szCs w:val="22"/>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3,871</w:t>
            </w:r>
          </w:p>
        </w:tc>
        <w:tc>
          <w:tcPr>
            <w:tcW w:w="60" w:type="dxa"/>
            <w:vAlign w:val="bottom"/>
          </w:tcPr>
          <w:p>
            <w:pPr>
              <w:spacing w:after="0"/>
              <w:rPr>
                <w:sz w:val="22"/>
                <w:szCs w:val="22"/>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1,154</w:t>
            </w:r>
          </w:p>
        </w:tc>
        <w:tc>
          <w:tcPr>
            <w:tcW w:w="60" w:type="dxa"/>
            <w:vAlign w:val="bottom"/>
          </w:tcPr>
          <w:p>
            <w:pPr>
              <w:spacing w:after="0"/>
              <w:rPr>
                <w:sz w:val="22"/>
                <w:szCs w:val="22"/>
                <w:color w:val="auto"/>
              </w:rPr>
            </w:pP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property and equipment, at cost . . . . . . . . . . . . . . . . . . . . . . . . . . . . . . . . . .</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33,489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34,537</w:t>
            </w:r>
          </w:p>
        </w:tc>
        <w:tc>
          <w:tcPr>
            <w:tcW w:w="60" w:type="dxa"/>
            <w:vAlign w:val="bottom"/>
          </w:tcPr>
          <w:p>
            <w:pPr>
              <w:spacing w:after="0"/>
              <w:rPr>
                <w:sz w:val="20"/>
                <w:szCs w:val="20"/>
                <w:color w:val="auto"/>
              </w:rPr>
            </w:pP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(30,562)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(33,298)</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property and equipment, net . . . . .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1,239</w:t>
            </w:r>
          </w:p>
        </w:tc>
        <w:tc>
          <w:tcPr>
            <w:tcW w:w="6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As of December 31, 2025 and 2024, property and equipment, net includes assets under finance lease obligations (see Note 16 for additional information) with an aggregate cost of approximately $0.6 million and $0.6 million, respectively, and accumulated depreciation of approximately $0.2 million and $0.4 million, respectively. Depreciation and amortization expense in respect of capitalized property and equipment totaled approximately $1.0 million, $1.2 million and $2.3 million for the years ended December 31, 2025, 2024 and 2023, respectively.</w:t>
      </w:r>
    </w:p>
    <w:p>
      <w:pPr>
        <w:spacing w:after="0" w:line="158"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As of December 31, 2025 and 2024, capitalized software development costs were $6.4 million and zero, respectively, and are included in other non-current assets in the accompanying consolidated balance sheets. Amortization expense for the years ended December 31, 2025, 2024 and 2023, was less than $0.1 million, zero and zero,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ACCRUED LIABILITIES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Accrued liabilities consisted of the following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 expenses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15,850</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Accrued vendor payables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8,682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8,141</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Accrued litigation liabilities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accrued liabilities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649</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w:t>
            </w:r>
          </w:p>
        </w:tc>
      </w:tr>
      <w:tr>
        <w:trPr>
          <w:trHeight w:val="240"/>
        </w:trPr>
        <w:tc>
          <w:tcPr>
            <w:tcW w:w="64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26,291</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COMMITMENTS AND CONTINGENCIES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Contracts</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Aggregate non-cancelable future minimum payments were as follows as of December 31, 2025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2026. . . . . . . . . . . . . . . . . . . . . . . . . . . . . . . . . . . . . . . . . . . . . . . . . . . . . . . . . . . . . . . . . . . . . . . . . . .</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16,000</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2027. . . . . . . . . . . . . . . . . . . . . . . . . . . . . . . . . . . . . . . . . . . . . . . . . . . . . . . . . . . . . . . . . . . . . . . . . . .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24,000</w:t>
            </w: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2028. . . . . . . . . . . . . . . . . . . . . . . . . . . . . . . . . . . . . . . . . . . . . . . . . . . . . . . . . . . . . . . . . . . . . . . . . . .</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24,000</w:t>
            </w: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 . . . . . . . . . .</w:t>
            </w:r>
          </w:p>
        </w:tc>
        <w:tc>
          <w:tcPr>
            <w:tcW w:w="4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64,000</w:t>
            </w:r>
          </w:p>
        </w:tc>
      </w:tr>
      <w:tr>
        <w:trPr>
          <w:trHeight w:val="20"/>
        </w:trPr>
        <w:tc>
          <w:tcPr>
            <w:tcW w:w="7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360"/>
          </w:cols>
          <w:pgMar w:left="1440" w:top="941" w:right="1440" w:bottom="348"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8. COMMITMENTS AND CONTINGENCIES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Legal Proceedings</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The Company’s assessment may change over time as individual proceedings or claims progress.</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VB Assets, LLC v. SoundHound</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On November 21, 2024, VB Assets, LLC, a non-practicing entity, filed a complaint against the Company in the United States District Court for the District of Delaware alleging patent infringement under 35 U.S.C. § 271. The case is captioned as VB Assets, LLC v. SoundHound AI, Inc., Case No. 1:24-cv-1279-MN. In its complaint, VB Assets, LLC alleges the Company is infringing U.S. Patent Nos. 8,073,681, 11,222,626, 8,886,536, 9,269,097, 9,502,025, and 11,087,385. VB Assets, LLC subsequently amended its complaint adding allegations that the Company is also infringing U.S. Patent Nos. 10,755,699, 10,297,249, and 7,818,176. At the appropriate time, the Company will deny all infringement allegations and allege that VB Assets, LLC patents asserted against the Company are invalid and/or unenforceable. The Company intends to vigorously defend itself in all respects. As of December 31, 2025, no determination can be made as to the likelihood of a favorable or unfavorable outcome. In accordance with ASC 450, Contingencies, no reasonably possible loss or range of loss can be estimated and accrued as of December 31, 2025.</w:t>
      </w:r>
    </w:p>
    <w:p>
      <w:pPr>
        <w:spacing w:after="0" w:line="2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Securities Litigation</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On March 28, 2025, a class action complaint was filed in the United States District Court for the Northern District of California, captioned Liles v. SoundHound AI, Inc., Case No. 3:25-cv-02915-RFL. The complaint names as defendants the Company, its CEO Keyvan Mohajer, and its CFO Nitesh Sharan. The complaint asserts, among other things, claims under Sections 10(b) and 20(a) of the Securities Exchange Act of 1934, as amended. Plaintiff seeks to represent a putative class of stockholders who purchased or otherwise acquired SoundHound securities between March 1, 2024 and March 11, 2025, both dates inclusive. On July 14, 2025, Judge Rita Lin appointed the leading plaintiff in the litigation. On July 25, 2025, a new Scheduling Order was entered. On October 1, 2025, the Lead Plaintiff served their amended complaint. The Company filed a motion to dismiss on December 12, 2025. The Plaintiffs filed their opposition to the motion to dismiss on February 10, 2026. The Company plans to file its reply on or before March 19, 2026. The hearing is scheduled in April 2026. The Company intends to vigorously defend the claims and believes the complaint lacks merit. As of December 31, 2025, no determination can be made as to the likelihood of a favorable or unfavorable outcome. In accordance with ASC 450, Contingencies, no reasonably possible loss or range of loss can be estimated and accrued as of December 31, 2025.</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Derivative Actions</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On April 8, 2025, a purported shareholder derivative complaint was filed in the United States District Court for the Northern District of California, captioned Bishop v. Mohajer, Case No. 3:25-cv-03172-JD. The complaint purports to assert claims on behalf of the Company against its directors, CEO, and CFO for breach of fiduciary duty, aiding and abetting breach of fiduciary duty, unjust enrichment, waste of corporate assets, and for contribution against Mr. Mohajer and Mr. Sharan under Sections 10(b) and 21D of the Securities Exchange Act of 1934. On April 16, 2025, a similar purported shareholder derivative complaint was filed against the same defendants in the same forum, captioned Roy v. Mohajer, Case No. 5:25-cv-03363-NC. That complaint purports to assert claims on behalf of the Company against its directors, CEO, and CFO for breach of fiduciary duty, unjust enrichment, abuse of control, gross mismanagement, waste of corporate assets, and for contribution against Mr. Mohajer and Mr. Sharan under Sections 10(b) and 21D of the Securities Exchange Act of 1934. All derivative actions have been stayed pending resolution of the Liles v. SoundHound AI et al securities class action litigation. As of December 31, 2025, no determination can be made as to the likelihood of a favorable or unfavorable outcome. In accordance with ASC 450, Contingencies, no reasonably possible loss or range of loss can be estimated and accrued as of December 31, 2025.</w:t>
      </w:r>
    </w:p>
    <w:p>
      <w:pPr>
        <w:sectPr>
          <w:pgSz w:w="12240" w:h="15840" w:orient="portrait"/>
          <w:cols w:equalWidth="0" w:num="1">
            <w:col w:w="9360"/>
          </w:cols>
          <w:pgMar w:left="1440" w:top="941" w:right="1440" w:bottom="348"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360"/>
          </w:cols>
          <w:pgMar w:left="1440" w:top="941" w:right="1440" w:bottom="348"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8. COMMITMENTS AND CONTINGENCIES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Other Matters</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Company continues to analyze potential sales tax exposure using a state-by-state assessment. In accordance with ASC 450, Contingencies, the Company estimated and recorded a liability of $4.1 million and $3.1 million as of December 31, 2025 and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WARRANTS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Term Loan Warrants</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In connection with the Credit Agreement (as defined in Note 10), the Company issued warrants to purchase up to 3,301,536 shares of the Company’s Class A Common Stock to the lenders (the “Term Loan Warrants”). The Term Loan Warrants have a per share exercise price of $2.59 and may be exercised, including on a cashless basis, by the holder at any time prior to the 10-year anniversary of the issue date. The Term Loan Warrants will be automatically cashless exercised immediately prior to a change in control of the Company. The Term Loan Warrants are indexed to the Company’s stock and were classified as an equity instrument. On the Term Loan Closing Date, this resulted in the Company allocating the gross proceeds and issuance costs between the Term Loan and the Term Loan Warrants based on their relative fair values, resulting in the initial recognition of the Term Loan Warrant at $4.1 million as additional paid-in-capital on the consolidated balance sheets.</w:t>
      </w:r>
    </w:p>
    <w:p>
      <w:pPr>
        <w:spacing w:after="0" w:line="15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In March 2024, the Company issued 2,269,982 shares of the Company’s Class A Common Stock resulting from the cashless exercise in full of the Term Loan Warrants that were outstanding. As of December 31, 2024, all of the Term Loan Warrants had been exercised and no Term Loan Warrants are outstanding.</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Warrants Related to the Business Combination</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Public Warrants</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On April 26, 2022 (the “Closing”), pursuant to a merger agreement dated as of November 15, 2021 by and among ATSP, ATSPC Merger Sub, Inc. and Legacy SoundHound, the parties consummated the merger of ATSPC Merger Sub, Inc. with and into Legacy SoundHound, with Legacy SoundHound continuing as the surviving corporation, as well as the other transactions contemplated by the Merger Agreement (the merger and such other transactions collectively referred to the “ATSP Merger”).</w:t>
      </w:r>
    </w:p>
    <w:p>
      <w:pPr>
        <w:spacing w:after="0" w:line="172"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Prior to the ATSP Merger,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5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Subsequent to the closing of the ATSP Merger, the Company’s Public Warrants continue to be classified as equity instruments, as they are indexed to the Company’s stock.</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Private Warrants</w:t>
      </w:r>
    </w:p>
    <w:p>
      <w:pPr>
        <w:spacing w:after="0" w:line="177"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9"/>
          <w:szCs w:val="19"/>
          <w:color w:val="auto"/>
        </w:rPr>
        <w:t>Prior to the ATSP Merger,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360"/>
          </w:cols>
          <w:pgMar w:left="1440" w:top="941" w:right="1440" w:bottom="348"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9. WARRANTS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73"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ATSP Merger, the Company modified its Private Warrants to be identical to its Public Warrants. Therefore, the Private Warrants met requirements for classification as equity instruments, as they are indexed to the Company’s stock.</w:t>
      </w:r>
    </w:p>
    <w:p>
      <w:pPr>
        <w:spacing w:after="0" w:line="158"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As of December 31, 2025 and December 31, 2024, there were 3,654,115 and 3,663,955 Public Warrants and Private Warrants issued and outstanding, respectively. During the years ended December 31, 2025 and December 31, 2024, the Company issued 9,840 and 2,041 shares, respectively, of the Company’s Class A Common Stock resulting from the exercise of Public Warrants and Private Warrants that were outstanding and raised $0.1 million and less than $0.1 million, respectively, in cash proceeds. There was no exercise during the years ended December 31, 2023.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NOTE PAYABLE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SVB March 2021 Note</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In March 2021, the Company entered into a loan and security agreement with a commercial bank to borrow $30.0 million. The loan bore interest at an annual rate equal to the greater of 9.00% or 5.75% above the Prime Rate. During the year ended December 31, 2023, the interest rate was 13.75%. Payments were interest-only for the first twelve months and are now principal and interest through maturity. During the year ended December 31, 2023, the Company recorded less than $0.1 million related to the amortization of the debt discount in interest expense.</w:t>
      </w:r>
    </w:p>
    <w:p>
      <w:pPr>
        <w:spacing w:after="0" w:line="168"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Concurrently with the Company’s entry into the Credit Agreement (as defined below), the Company used a portion of the proceeds to prepay in full all outstanding obligations under, and terminated, the SVB March 2021 Note. In connection with the SVB March 2021 Note prepayment, the Company paid a total of $18.5 million on April 14, 2023, which consisted of (i) the remaining principal amount outstanding of $18.1 million, (ii) a prepayment premium of $0.3 million, (iii) accrued and unpaid interest of $0.1 million and (iv) a nominal amount for transaction expenses, resulting in a loss on debt extinguishment of $0.4 million.</w:t>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SCI June 2021 Note</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In June 2021, the Company entered into a loan and security agreement with a lender to obtain credit extensions to the Company. Extensions were available in $5.0 million increments up to a total commitment amount of $15.0 million. The Company drew an initial $5.0 million on June 14, 2021 and the remaining $10.0 million on December 1, 2021. The loan bore interest at an annual rate equal to the greater of 9.00% or 5.75% above the Prime Rate. During the year ended December 31, 2023, the interest rate was 13.75%. Payments were interest-only for the first twelve months and principal and interest through maturity. During the year ended December 31, 2023, the Company recorded less than $0.1 million related to the amortization of the debt discounts in interest expense.</w:t>
      </w:r>
    </w:p>
    <w:p>
      <w:pPr>
        <w:spacing w:after="0" w:line="158"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Concurrently with the Company’s entry into the Credit Agreement (as defined below), the Company used a portion of the proceeds to prepay in full all outstanding obligations under, and terminated, the SCI June 2021 Note. In connection with the SCI June 2021 Note prepayment on April 14, 2023, the Company paid a total of approximately $11.7 million, which consisted of (i) the remaining principal amount outstanding of approximately $11.5 million, (ii) a prepayment premium of approximately $0.2 million and (iii) a nominal amount for transaction expenses resulting in a loss on debt extinguishment of $0.4 million.</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360"/>
          </w:cols>
          <w:pgMar w:left="1440" w:top="941" w:right="1440" w:bottom="348"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10. NOTE PAYABLE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Term Loan</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On April 14, 2023 (the “Term Loan Closing Date”), the Company entered into a Senior Secured Term Loan Credit Agreement (the “Credit Agreement”). The Credit Agreement provides for a term loan facility in an aggregate principal amount of up to $100.0 million (the “Term Loan”). The Credit Agreement also permits the Company to request additional commitments of up to $25.0 million in the aggregate, with funding of such commitments in the sole discretion of the lenders, under certain circumstances, which will be subject to the same terms as the Term Loan if funded. On the Term Loan closing date, the Company also entered into Guarantee and Collateral Agreement. In addition, the Company is obligated to pay incremental lender fees (the “Lender Fees”), beginning on the Term Loan closing date, initially at the rate of 3.50% of the principal amount of the Term Loans for the first 18 months paid semi-annually to provide a collateral protection insurance policy on behalf of the lenders. Such rate for the Lender Fees will decrease to 2.50% after the 18-month anniversary of the Term Loan Closing Date. As the lenders are the sole beneficiary of the insurance policy, the Lender Fees are deemed to be additional fees payable to the Lenders and is therefore being recognized as interest expense over the term of the Term Loan based on effective interest method.</w:t>
      </w:r>
    </w:p>
    <w:p>
      <w:pPr>
        <w:spacing w:after="0" w:line="178"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 incurred in connection with entering into the Credit Agreement, and (iv) fund the Lender Fees, together with related taxes, with the remaining proceeds to be used to fund growth investments and for general corporate purposes as permitted under the Credit Agreement.</w:t>
      </w:r>
    </w:p>
    <w:p>
      <w:pPr>
        <w:spacing w:after="0" w:line="168"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The outstanding principal balance of the Term Loan bears interest at the applicable margin plus, at the Company’s election, either (i) the Term SOFR published by CME Group Benchmark Administration Limited for a one-month interest period plus 0.15% or (ii) the alternate base rate (“ABR”), which is a per annum rate equal to the greatest of (a) the Prime Rate (as defined in the Credit Agreement), (b) the NYFRB Rate (as defined in the Credit Agreement) plus 0.50% and (c) the Term SOFR plus 1.00%. The applicable margin under the Credit Agreement is 8.50% per annum with respect to SOFR loans, and 7.50% per annum with respect to ABR loans. As of June 30, 2024, the contractual interest rate was approximately 14.0%. The Company was amortizing the discounts on an effective interest basis over the period from issuance through April 14, 2027 (the “Maturity Date”). The effective interest rate was 25.18% for the quarter ended June 30, 2024. The Company incurred $6.0 million in stated interest in the consolidated statements of operations and comprehensive loss for the year ended December 31, 2024, and paid $3.5 million for the period. During the year ended December 31, 2024, the Company recorded $1.5 million in interest expense related to the debt discount.</w:t>
      </w:r>
    </w:p>
    <w:p>
      <w:pPr>
        <w:spacing w:after="0" w:line="156"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On June 7, 2024, the Company entered into a letter agreement (the “Payoff Letter”) to prepay in full all indebtedness and other amounts outstanding and owing under the Credit Agreement. In connection with the Term Loan prepayment, the Company paid a total of $105.6 million on June 7, 2024, which consisted of (i) the remaining principal amount outstanding of $100.0 million, (ii) a prepayment premium of $5.0 million, (iii) transaction expenses of $0.6 million, resulting in a loss on debt extinguishment of $15.6 million. Accordingly, the accrued and unpaid interest of $2.6 million was waived under the Payoff Letter.</w:t>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Amelia Debt</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In connection with the Amelia Acquisition, the Company assumed the amended senior secured term loan facility from Amelia in an aggregate principal amount of $121.5 million, which was issued pursuant to the existing Credit Agreement (the “Amelia Debt Credit Agreement”) of Amelia with Monroe Capital Management Advisors, LLC (“Monroe”), as administrative and collateral agent for certain affiliated funds of Monroe, as lenders. In accordance with the terms of the debt assumed, on August 7, 2024, the Company paid $70.0 million in cash to pay down a portion of the outstanding principal balance and issued 2,943,917 shares of Class A common stock to settle certain fees associated with the Amelia Debt. The remaining outstanding balance of $39.7 million has a maturity date of June 30, 2026 (the “Maturity Date”) and provides, at the Company’s election, for payment</w:t>
      </w:r>
    </w:p>
    <w:p>
      <w:pPr>
        <w:sectPr>
          <w:pgSz w:w="12240" w:h="15840" w:orient="portrait"/>
          <w:cols w:equalWidth="0" w:num="1">
            <w:col w:w="9360"/>
          </w:cols>
          <w:pgMar w:left="1440" w:top="941" w:right="1440" w:bottom="348"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360"/>
          </w:cols>
          <w:pgMar w:left="1440" w:top="941" w:right="1440" w:bottom="348"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10. NOTE PAYABLE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of a portion of interest in cash or in kind (“PIK”), in which case interest will be capitalized and added to the outstanding principal amount, with principal and accrued interest due at the Maturity Date. The Amelia Debt may be prepaid at any time and must be prepaid, along with the applicable prepayment premium and exit fee, upon the occurrence of certain future events. The Amelia Debt will accrue interest at an annual rate equal to the sum of (a) Adjusted Term SOFR and (b)(i) an applicable margin of 9.00% for the portion of interest paid in cash, and (ii) an additional 1.00% for the portion of interest paid in kind. Upon an event of default, the interest rate will automatically increase by an additional 2.00% per annum, and may result in the declaration that all outstanding principal and interest under the Amelia Debt be immediately due and payable in whole or in part. During the year ended December 31, 2024, the Company recorded and paid $2.0 million in interest expense, of which $0.1 million was paid to settle the PIK that was capitalized and added to the outstanding principal amount.</w:t>
      </w:r>
    </w:p>
    <w:p>
      <w:pPr>
        <w:spacing w:after="0" w:line="15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On December 3, 2024, the Company entered into a letter agreement (the “Amelia Debt Payoff Letter”) to prepay in full all indebtedness and other amounts outstanding and owing under the Amelia Debt Credit Agreement. In connection with the Amelia Debt prepayment, the Company paid a total of $39.8 million on December 4, 2024, which consisted of the remaining principal amount outstanding of $39.8 million and transaction expenses of an immaterial amount, resulting in a loss on debt extinguishment of an immaterial amount.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RESTRUCTURING</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In January 2023, the Company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69"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Costs associated with the Restructuring Plan consist of employee severance payments, employee benefits and share-based compensation. The costs associated with the Restructuring Plan were recorded to the restructuring expense line item within our consolidated statements of operations as incurred. During the year ended December 31, 2023, we recorded $4.6 million of restructuring expenses in connection with the Restructuring Plan, of which $1.4 million were cash payments. The Restructuring Plan was substantially complete as of December 31, 2023.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FAIR VALUE MEASUREMENT</w:t>
      </w:r>
    </w:p>
    <w:p>
      <w:pPr>
        <w:spacing w:after="0" w:line="17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fair value of the Company’s financial instruments that are measured or disclosed at fair value on a recurring basis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61"/>
              <w:spacing w:after="0" w:line="20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61"/>
              <w:spacing w:after="0" w:line="201" w:lineRule="exact"/>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48"/>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equivalents: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Treasury bills . . . . . . .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39,920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Money market funds . . . . . . . . . . . . .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21,334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non-current assets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Derivative . . . . . . . . . . . . . . . . . . . . . . . . . . . . . . . . . . . . .</w:t>
            </w: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w w:val="89"/>
              </w:rPr>
              <w:t>—</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4,786</w:t>
            </w:r>
          </w:p>
        </w:tc>
        <w:tc>
          <w:tcPr>
            <w:tcW w:w="0" w:type="dxa"/>
            <w:vAlign w:val="bottom"/>
          </w:tcPr>
          <w:p>
            <w:pPr>
              <w:spacing w:after="0"/>
              <w:rPr>
                <w:sz w:val="1"/>
                <w:szCs w:val="1"/>
                <w:color w:val="auto"/>
              </w:rPr>
            </w:pPr>
          </w:p>
        </w:tc>
      </w:tr>
      <w:tr>
        <w:trPr>
          <w:trHeight w:val="239"/>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assets . . . . . . .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61,254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Contingent acquisition liabilities (Current)</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Contingent earnout consideration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4,400</w:t>
            </w:r>
          </w:p>
        </w:tc>
        <w:tc>
          <w:tcPr>
            <w:tcW w:w="0" w:type="dxa"/>
            <w:vAlign w:val="bottom"/>
          </w:tcPr>
          <w:p>
            <w:pPr>
              <w:spacing w:after="0"/>
              <w:rPr>
                <w:sz w:val="1"/>
                <w:szCs w:val="1"/>
                <w:color w:val="auto"/>
              </w:rPr>
            </w:pPr>
          </w:p>
        </w:tc>
      </w:tr>
      <w:tr>
        <w:trPr>
          <w:trHeight w:val="260"/>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Contingent acquisition liabilities (Non-current)</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Contingent earnout consideration . . . . . . . . . . . . . . . . . . .</w:t>
            </w: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w w:val="89"/>
              </w:rPr>
              <w:t>—</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129,227</w:t>
            </w:r>
          </w:p>
        </w:tc>
        <w:tc>
          <w:tcPr>
            <w:tcW w:w="0" w:type="dxa"/>
            <w:vAlign w:val="bottom"/>
          </w:tcPr>
          <w:p>
            <w:pPr>
              <w:spacing w:after="0"/>
              <w:rPr>
                <w:sz w:val="1"/>
                <w:szCs w:val="1"/>
                <w:color w:val="auto"/>
              </w:rPr>
            </w:pPr>
          </w:p>
        </w:tc>
      </w:tr>
      <w:tr>
        <w:trPr>
          <w:trHeight w:val="240"/>
        </w:trPr>
        <w:tc>
          <w:tcPr>
            <w:tcW w:w="51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Total liabilities. . . . .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133,627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360"/>
          </w:cols>
          <w:pgMar w:left="1440" w:top="941" w:right="1440" w:bottom="348"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FAIR VALUE MEASUREMENT </w:t>
      </w:r>
      <w:r>
        <w:rPr>
          <w:rFonts w:ascii="Times New Roman" w:cs="Times New Roman" w:eastAsia="Times New Roman" w:hAnsi="Times New Roman"/>
          <w:sz w:val="20"/>
          <w:szCs w:val="20"/>
          <w:color w:val="auto"/>
        </w:rPr>
        <w:t>(cont.)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261"/>
              <w:spacing w:after="0" w:line="201" w:lineRule="exact"/>
              <w:rPr>
                <w:sz w:val="20"/>
                <w:szCs w:val="20"/>
                <w:color w:val="auto"/>
              </w:rPr>
            </w:pPr>
            <w:r>
              <w:rPr>
                <w:rFonts w:ascii="Times New Roman" w:cs="Times New Roman" w:eastAsia="Times New Roman" w:hAnsi="Times New Roman"/>
                <w:sz w:val="18"/>
                <w:szCs w:val="18"/>
                <w:b w:val="1"/>
                <w:bCs w:val="1"/>
                <w:color w:val="auto"/>
                <w:w w:val="93"/>
              </w:rPr>
              <w:t>Level 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22"/>
              <w:spacing w:after="0" w:line="201" w:lineRule="exact"/>
              <w:rPr>
                <w:sz w:val="20"/>
                <w:szCs w:val="20"/>
                <w:color w:val="auto"/>
              </w:rPr>
            </w:pPr>
            <w:r>
              <w:rPr>
                <w:rFonts w:ascii="Times New Roman" w:cs="Times New Roman" w:eastAsia="Times New Roman" w:hAnsi="Times New Roman"/>
                <w:sz w:val="18"/>
                <w:szCs w:val="18"/>
                <w:b w:val="1"/>
                <w:bCs w:val="1"/>
                <w:color w:val="auto"/>
                <w:w w:val="97"/>
              </w:rPr>
              <w:t>Level 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Assets:</w:t>
            </w: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Treasury bills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38,070</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51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Money market funds . . . . . . . . . . . . . . . . . . . . . . . . . . . . . . .</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131,767</w:t>
            </w:r>
          </w:p>
        </w:tc>
        <w:tc>
          <w:tcPr>
            <w:tcW w:w="180" w:type="dxa"/>
            <w:vAlign w:val="bottom"/>
          </w:tcPr>
          <w:p>
            <w:pPr>
              <w:spacing w:after="0"/>
              <w:rPr>
                <w:sz w:val="22"/>
                <w:szCs w:val="22"/>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1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Total assets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169,837</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1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1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Contingent holdback consideration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Contingent acquisition liabilities</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1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Contingent earnout consideration . . . . . . . . . . . . . . . . . . .</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286,898</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4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Total liabilities.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290,974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620" w:type="dxa"/>
            <w:vAlign w:val="bottom"/>
            <w:gridSpan w:val="2"/>
            <w:vMerge w:val="restart"/>
          </w:tcPr>
          <w:p>
            <w:pPr>
              <w:jc w:val="right"/>
              <w:ind w:right="2780"/>
              <w:spacing w:after="0"/>
              <w:rPr>
                <w:sz w:val="20"/>
                <w:szCs w:val="20"/>
                <w:color w:val="auto"/>
              </w:rPr>
            </w:pPr>
            <w:r>
              <w:rPr>
                <w:rFonts w:ascii="Times New Roman" w:cs="Times New Roman" w:eastAsia="Times New Roman" w:hAnsi="Times New Roman"/>
                <w:sz w:val="20"/>
                <w:szCs w:val="20"/>
                <w:b w:val="1"/>
                <w:bCs w:val="1"/>
                <w:color w:val="auto"/>
                <w:w w:val="98"/>
              </w:rPr>
              <w:t>Equity Line of Credit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80" w:type="dxa"/>
            <w:vAlign w:val="bottom"/>
          </w:tcPr>
          <w:p>
            <w:pPr>
              <w:spacing w:after="0"/>
              <w:rPr>
                <w:sz w:val="24"/>
                <w:szCs w:val="24"/>
                <w:color w:val="auto"/>
              </w:rPr>
            </w:pPr>
          </w:p>
        </w:tc>
        <w:tc>
          <w:tcPr>
            <w:tcW w:w="46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8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Equity Line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Credit</w:t>
            </w:r>
          </w:p>
        </w:tc>
        <w:tc>
          <w:tcPr>
            <w:tcW w:w="0" w:type="dxa"/>
            <w:vAlign w:val="bottom"/>
          </w:tcPr>
          <w:p>
            <w:pPr>
              <w:spacing w:after="0"/>
              <w:rPr>
                <w:sz w:val="1"/>
                <w:szCs w:val="1"/>
                <w:color w:val="auto"/>
              </w:rPr>
            </w:pPr>
          </w:p>
        </w:tc>
      </w:tr>
      <w:tr>
        <w:trPr>
          <w:trHeight w:val="248"/>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Liabilities: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4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w w:val="99"/>
              </w:rPr>
              <w:t>December 31, 2022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Change in fair value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Settlements . .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(2,976)</w:t>
            </w:r>
          </w:p>
        </w:tc>
        <w:tc>
          <w:tcPr>
            <w:tcW w:w="0" w:type="dxa"/>
            <w:vAlign w:val="bottom"/>
          </w:tcPr>
          <w:p>
            <w:pPr>
              <w:spacing w:after="0"/>
              <w:rPr>
                <w:sz w:val="1"/>
                <w:szCs w:val="1"/>
                <w:color w:val="auto"/>
              </w:rPr>
            </w:pPr>
          </w:p>
        </w:tc>
      </w:tr>
      <w:tr>
        <w:trPr>
          <w:trHeight w:val="241"/>
        </w:trPr>
        <w:tc>
          <w:tcPr>
            <w:tcW w:w="54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 . . . . . . . . . . . . . . . . . . . . . . . . . . . . . . . . . . . .December31,2023</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w:t>
            </w:r>
          </w:p>
        </w:tc>
        <w:tc>
          <w:tcPr>
            <w:tcW w:w="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The Company estimated the Level 3 fair value of the liability related to the ELOC using contractual inputs of the commitment shares and reimbursement fees prior to the settlement. The Company determined that the ELOC was not indexed to the Company’s own common stock and, therefore, should be accounted for in accordance with ASC 815: Derivatives. Accordingly, the Company recorded a derivative liability with an initial fair value of $1.1 million based on the upfront commitment fee and the reimbursement amount to the investor as consideration for its irrevocable commitment to purchase up to 25,000,000 shares of the Company’s common stock.</w:t>
      </w:r>
    </w:p>
    <w:p>
      <w:pPr>
        <w:spacing w:after="0" w:line="118"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Subsequent changes in the fair value of the derivative liability are dependent upon, among other things, changes in the closing share price of the Company’s common stock, the quantity and purchase price of shares purchased during the reporting period, the unused capacity under the ELOC as of the balance sheet date and the cost of raising other forms of capital. The Company adjusts the previous fair value estimate of the committed equity facility at each reporting period based on changes in the weighted average purchase price of shares purchased during the period, the unused capacity available under the ELOC, expected stock price volatility and other macroeconomic factors which impact the cost of raising comparable forms of capital.</w:t>
      </w:r>
    </w:p>
    <w:p>
      <w:pPr>
        <w:spacing w:after="0" w:line="130"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changes in the fair value of the committed equity facility were an increase of $1.9 million for the year ended December 31, 2023, which is included in other (income) expense, net on the consolidated statements of operations and comprehensive income (loss). The fair value of the liability then is remeasured as of the settlement date equal to the difference between the volume weighted average price at a 3% discount compared to the fair value of the common stock.</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Term Loan and Term Loan Warrant</w:t>
      </w:r>
    </w:p>
    <w:p>
      <w:pPr>
        <w:spacing w:after="0" w:line="13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fair value of the Company’s variable rate Term Loan approximates aggregate principal amount as the interest rate of the loan approximates market rates.</w:t>
      </w:r>
    </w:p>
    <w:p>
      <w:pPr>
        <w:spacing w:after="0" w:line="134"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Company issued a Class A Common Stock warrant in connection with the Term Loan (see Note 9 for additional information). The warrant was recorded based on the allocation of its relative fair value of the debt proceeds of $4.1 million. The warrants were classified as equity instruments at inception with a corresponding</w:t>
      </w:r>
    </w:p>
    <w:p>
      <w:pPr>
        <w:sectPr>
          <w:pgSz w:w="12240" w:h="15840" w:orient="portrait"/>
          <w:cols w:equalWidth="0" w:num="1">
            <w:col w:w="9360"/>
          </w:cols>
          <w:pgMar w:left="1440" w:top="941" w:right="1440" w:bottom="348"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360"/>
          </w:cols>
          <w:pgMar w:left="1440" w:top="941" w:right="1440" w:bottom="348"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FAIR VALUE MEASUREMENT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discount recorded at issuance against the outstanding note payable in connection with the Term Loan. The common stock warrant is not subject to remeasurement at each subsequent balance sheet date due to its classification as an equity instrument as it is considered indexed to the Company’s stock. The Term Loan warrant expires in April 2033.</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determined the fair value of the Term Loan common stock warrant at issuance using the</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Black-Scholes option-pricing model using the following assumptions:</w:t>
      </w:r>
    </w:p>
    <w:p>
      <w:pPr>
        <w:spacing w:after="0" w:line="210"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20"/>
          <w:szCs w:val="20"/>
          <w:color w:val="auto"/>
        </w:rPr>
        <w:t>Expected dividend rate . . . . . . . . . . . . . . . . . . . . . . . . . . . . . . . . . . . . . . . . . . . . . . . . . . . . . . . . . . . .</w:t>
      </w:r>
      <w:r>
        <w:rPr>
          <w:sz w:val="20"/>
          <w:szCs w:val="20"/>
          <w:color w:val="auto"/>
        </w:rPr>
        <w:tab/>
      </w:r>
      <w:r>
        <w:rPr>
          <w:rFonts w:ascii="Times New Roman" w:cs="Times New Roman" w:eastAsia="Times New Roman" w:hAnsi="Times New Roman"/>
          <w:sz w:val="19"/>
          <w:szCs w:val="19"/>
          <w:color w:val="auto"/>
        </w:rPr>
        <w:t>—%</w:t>
      </w:r>
    </w:p>
    <w:p>
      <w:pPr>
        <w:spacing w:after="0" w:line="30" w:lineRule="exact"/>
        <w:rPr>
          <w:sz w:val="20"/>
          <w:szCs w:val="20"/>
          <w:color w:val="auto"/>
        </w:rPr>
      </w:pPr>
    </w:p>
    <w:p>
      <w:pPr>
        <w:spacing w:after="0"/>
        <w:tabs>
          <w:tab w:leader="none" w:pos="8820" w:val="left"/>
        </w:tabs>
        <w:rPr>
          <w:sz w:val="20"/>
          <w:szCs w:val="20"/>
          <w:color w:val="auto"/>
        </w:rPr>
      </w:pPr>
      <w:r>
        <w:rPr>
          <w:rFonts w:ascii="Times New Roman" w:cs="Times New Roman" w:eastAsia="Times New Roman" w:hAnsi="Times New Roman"/>
          <w:sz w:val="20"/>
          <w:szCs w:val="20"/>
          <w:color w:val="auto"/>
        </w:rPr>
        <w:t>Risk-free interest rate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3.60%</w:t>
      </w:r>
    </w:p>
    <w:p>
      <w:pPr>
        <w:spacing w:after="0" w:line="30"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20"/>
          <w:szCs w:val="20"/>
          <w:color w:val="auto"/>
        </w:rPr>
        <w:t>Expected volatility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52%</w:t>
      </w:r>
    </w:p>
    <w:p>
      <w:pPr>
        <w:spacing w:after="0" w:line="30"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color w:val="auto"/>
        </w:rPr>
        <w:t>Expected term (in years) . . . . . . . . . . . . . . . . . . . . . . . . . . . . . . . . . . . . . . . . . . . . . . . . . . . . . . . . . . .</w:t>
      </w:r>
      <w:r>
        <w:rPr>
          <w:sz w:val="20"/>
          <w:szCs w:val="20"/>
          <w:color w:val="auto"/>
        </w:rPr>
        <w:tab/>
      </w:r>
      <w:r>
        <w:rPr>
          <w:rFonts w:ascii="Times New Roman" w:cs="Times New Roman" w:eastAsia="Times New Roman" w:hAnsi="Times New Roman"/>
          <w:sz w:val="20"/>
          <w:szCs w:val="20"/>
          <w:color w:val="auto"/>
        </w:rPr>
        <w:t>5</w:t>
      </w:r>
    </w:p>
    <w:p>
      <w:pPr>
        <w:spacing w:after="0" w:line="15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All of the Term Loan Warrants had been exercised during the year ended December 31, 2024. No Term Loan Warrants had been exercised during the year ended December 31, 2023.</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Escrow Consideration</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Derivative</w:t>
      </w:r>
    </w:p>
    <w:p>
      <w:pPr>
        <w:spacing w:after="0" w:line="17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reconciliation of the Company’s derivative measured at fair value on a recurring basis using unobservable inputs (Level 3)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2024 . . . . . . . . . . . . . . . . . . . . . . . . . . . . . . . . . . . . . . . . . . . . . . . . . . . .</w:t>
            </w:r>
          </w:p>
        </w:tc>
        <w:tc>
          <w:tcPr>
            <w:tcW w:w="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Change in the fair value of derivative . . . . . . . . . . . . . . . . . . . . . . . . . . . . . . . . . . . . . . . . . . . . . . .</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4,676</w:t>
            </w: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2025 . . . . . . . . . . . . . . . . . . . . . . . . . . . . . . . . . . . . . . . . . . . . . . . . . . . .</w:t>
            </w:r>
          </w:p>
        </w:tc>
        <w:tc>
          <w:tcPr>
            <w:tcW w:w="4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4,786</w:t>
            </w: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accounted for the Escrow Consideration under Amelia acquisition as equity-classified shares issued as part of the consideration transferred.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During the year ended December 31, 2025, the Company recognized a gain of $4.7 million related to the change in fair value of derivative under other income in the consolidated statement of operations and comprehensive loss.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Contingent Acquisition Liabilities</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Contingent Holdback Consideration</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reconciliation of the Company’s Contingent SYNQ3 Holdback Consideration measured at fair value, including the effect of measurement period adjustments, on a recurring basis using unobservable inputs (Level 3)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Balance as of December 31, 2023 . . . . . . . . . . . . . . . . . . . . . . . . . . . . . . . . . . . . . . . . . . . . . . . . . . . .</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Acquisition of SYNQ3 . . . . . . . . . . . . . . . . . . . . . . . . . . . . . . . . . . . . . . . . . . . . . . . . . . . . . . . . . .</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60" w:type="dxa"/>
            <w:vAlign w:val="bottom"/>
          </w:tcPr>
          <w:p>
            <w:pPr>
              <w:spacing w:after="0"/>
              <w:rPr>
                <w:sz w:val="22"/>
                <w:szCs w:val="22"/>
                <w:color w:val="auto"/>
              </w:rPr>
            </w:pP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the fair value of liability . . . . . . . . . . . . . . . . . . . . . . . . . . . . . . . . . . . . . . . . . . . . . . . .</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3,712</w:t>
            </w:r>
          </w:p>
        </w:tc>
        <w:tc>
          <w:tcPr>
            <w:tcW w:w="60" w:type="dxa"/>
            <w:vAlign w:val="bottom"/>
          </w:tcPr>
          <w:p>
            <w:pPr>
              <w:spacing w:after="0"/>
              <w:rPr>
                <w:sz w:val="22"/>
                <w:szCs w:val="22"/>
                <w:color w:val="auto"/>
              </w:rPr>
            </w:pP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Measurement period adjustments . . . . . . . . . . . . . . . . . . . . . . . . . . . . . . . . . . . . . . . . . . . . . . . . . .</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(411)</w:t>
            </w:r>
          </w:p>
        </w:tc>
      </w:tr>
      <w:tr>
        <w:trPr>
          <w:trHeight w:val="261"/>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Settlement . . . . . . . . . . . . . . . . . . . . . . . . . . . . . . . . . . . . . . . . . . . . . . . . . . . . . . . . . . . . . . . . . . . .</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(206)</w:t>
            </w:r>
          </w:p>
        </w:tc>
      </w:tr>
      <w:tr>
        <w:trPr>
          <w:trHeight w:val="239"/>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Balance as of December 31, 2024 . . . . . . . . . . . . . . . . . . . . . . . . . . . . . . . . . . . . . . . . . . . . . . . . . . . .</w:t>
            </w:r>
          </w:p>
        </w:tc>
        <w:tc>
          <w:tcPr>
            <w:tcW w:w="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4,076</w:t>
            </w:r>
          </w:p>
        </w:tc>
        <w:tc>
          <w:tcPr>
            <w:tcW w:w="60" w:type="dxa"/>
            <w:vAlign w:val="bottom"/>
          </w:tcPr>
          <w:p>
            <w:pPr>
              <w:spacing w:after="0"/>
              <w:rPr>
                <w:sz w:val="20"/>
                <w:szCs w:val="20"/>
                <w:color w:val="auto"/>
              </w:rPr>
            </w:pPr>
          </w:p>
        </w:tc>
      </w:tr>
      <w:tr>
        <w:trPr>
          <w:trHeight w:val="26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the fair value of liability . . . . . . . . . . . . . . . . . . . . . . . . . . . . . . . . . . . . . . . . . . . . . . . .</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2"/>
                <w:szCs w:val="22"/>
                <w:color w:val="auto"/>
              </w:rPr>
            </w:pPr>
          </w:p>
        </w:tc>
      </w:tr>
      <w:tr>
        <w:trPr>
          <w:trHeight w:val="261"/>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Settlement . . . . . . . . . . . . . . . . . . . . . . . . . . . . . . . . . . . . . . . . . . . . . . . . . . . . . . . . . . . . . . . . . . . .</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(4,120)</w:t>
            </w:r>
          </w:p>
        </w:tc>
      </w:tr>
      <w:tr>
        <w:trPr>
          <w:trHeight w:val="240"/>
        </w:trPr>
        <w:tc>
          <w:tcPr>
            <w:tcW w:w="7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Balance as of December 31, 2025 . . . . . . . . . . . . . . . . . . . . . . . . . . . . . . . . . . . . . . . . . . . . . . . . . . . .</w:t>
            </w:r>
          </w:p>
        </w:tc>
        <w:tc>
          <w:tcPr>
            <w:tcW w:w="6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360"/>
          </w:cols>
          <w:pgMar w:left="1440" w:top="941" w:right="1440" w:bottom="348"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FAIR VALUE MEASUREMENT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fair value of the cash portion of the Contingent Holdback Consideration was estimated based upon the holdback period of 15 months, and discounted using the risk-free interest rate based on the U.S. Treasury zero-coupon yield curve on the valuation date for a maturity similar to the 15-month holdback period. The fair value of the equity portion of the Contingent SYNQ3 Holdback Consideration was estimated based upon the value of the Company’s Class A Common Stock price. The fair value of the Contingent SYNQ3 Holdback Consideration was initially measured on January 3, 2024, the date on which the Company completed the acquisition of SYNQ3. For the years ended December 31, 2025 and 2024, the Company recognized a loss of less than $0.1 million and a loss of $3.7 million related to the Contingent SYNQ3 Holdback Consideration, respectively.</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fair value of the Contingent Holdback Consideration has been estimated as of the Closing Date and</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December 31, 2024 under the following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January 3,</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540" w:type="dxa"/>
            <w:vAlign w:val="bottom"/>
          </w:tcPr>
          <w:p>
            <w:pPr>
              <w:spacing w:after="0"/>
              <w:rPr>
                <w:sz w:val="18"/>
                <w:szCs w:val="18"/>
                <w:color w:val="auto"/>
              </w:rPr>
            </w:pPr>
          </w:p>
        </w:tc>
        <w:tc>
          <w:tcPr>
            <w:tcW w:w="1260" w:type="dxa"/>
            <w:vAlign w:val="bottom"/>
            <w:tcBorders>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 . . . . . . .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Holdback period . . . . . . . . . . . . . . . . . . . . . . . . . . . . . . . . . . . . . . . . . . . . . . . . . .</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1.25 years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0.25 years</w:t>
            </w:r>
          </w:p>
        </w:tc>
      </w:tr>
    </w:tbl>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Contingent Earnout Consideration</w:t>
      </w:r>
    </w:p>
    <w:p>
      <w:pPr>
        <w:spacing w:after="0" w:line="177"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20"/>
          <w:szCs w:val="20"/>
          <w:color w:val="auto"/>
        </w:rPr>
        <w:t>The reconciliation of the Company’s contingent earnout consideration measured at fair value on a recurring basis using unobservable inputs (Level 3)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Balance as of December 31, 2023 . . . . . . . . . . . . . . . . . . . . . . . . . . . . . . . . . . . . . . . . . . . . . . . . . . . .</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Acquisition of SYNQ3 . . . . . . . . . . . . . . . . . . . . . . . . . . . . . . . . . . . . . . . . . . . . . . . . . . . . . . . . . .</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1,676</w:t>
            </w:r>
          </w:p>
        </w:tc>
        <w:tc>
          <w:tcPr>
            <w:tcW w:w="60" w:type="dxa"/>
            <w:vAlign w:val="bottom"/>
          </w:tcPr>
          <w:p>
            <w:pPr>
              <w:spacing w:after="0"/>
              <w:rPr>
                <w:sz w:val="22"/>
                <w:szCs w:val="22"/>
                <w:color w:val="auto"/>
              </w:rPr>
            </w:pPr>
          </w:p>
        </w:tc>
      </w:tr>
      <w:tr>
        <w:trPr>
          <w:trHeight w:val="260"/>
        </w:trPr>
        <w:tc>
          <w:tcPr>
            <w:tcW w:w="7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Acquisition of Amelia . . . . . . . . . . . . . . . . . . . . . . . . . . . . . . . . . . . . . . . . . . . . . . . . . . . . . . . . . . .</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66,269</w:t>
            </w:r>
          </w:p>
        </w:tc>
        <w:tc>
          <w:tcPr>
            <w:tcW w:w="60" w:type="dxa"/>
            <w:vAlign w:val="bottom"/>
          </w:tcPr>
          <w:p>
            <w:pPr>
              <w:spacing w:after="0"/>
              <w:rPr>
                <w:sz w:val="22"/>
                <w:szCs w:val="22"/>
                <w:color w:val="auto"/>
              </w:rPr>
            </w:pPr>
          </w:p>
        </w:tc>
      </w:tr>
      <w:tr>
        <w:trPr>
          <w:trHeight w:val="261"/>
        </w:trPr>
        <w:tc>
          <w:tcPr>
            <w:tcW w:w="7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Change in the fair value of liability* . . . . . . . . . . . . . . . . . . . . . . . . . . . . . . . . . . . . . . . . . . . . . . .</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218,953</w:t>
            </w:r>
          </w:p>
        </w:tc>
        <w:tc>
          <w:tcPr>
            <w:tcW w:w="60" w:type="dxa"/>
            <w:vAlign w:val="bottom"/>
          </w:tcPr>
          <w:p>
            <w:pPr>
              <w:spacing w:after="0"/>
              <w:rPr>
                <w:sz w:val="22"/>
                <w:szCs w:val="22"/>
                <w:color w:val="auto"/>
              </w:rPr>
            </w:pPr>
          </w:p>
        </w:tc>
      </w:tr>
      <w:tr>
        <w:trPr>
          <w:trHeight w:val="239"/>
        </w:trPr>
        <w:tc>
          <w:tcPr>
            <w:tcW w:w="7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Balance as of December 31, 2024 . . . . . . . . . . . . . . . . . . . . . . . . . . . . . . . . . . . . . . . . . . . . . . . . . . . .</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286,898</w:t>
            </w:r>
          </w:p>
        </w:tc>
        <w:tc>
          <w:tcPr>
            <w:tcW w:w="60" w:type="dxa"/>
            <w:vAlign w:val="bottom"/>
          </w:tcPr>
          <w:p>
            <w:pPr>
              <w:spacing w:after="0"/>
              <w:rPr>
                <w:sz w:val="20"/>
                <w:szCs w:val="20"/>
                <w:color w:val="auto"/>
              </w:rPr>
            </w:pPr>
          </w:p>
        </w:tc>
      </w:tr>
      <w:tr>
        <w:trPr>
          <w:trHeight w:val="260"/>
        </w:trPr>
        <w:tc>
          <w:tcPr>
            <w:tcW w:w="7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Acquisition of Interactions . . . . . . . . . . . . . . . . . . . . . . . . . . . . . . . . . . . . . . . . . . . . . . . . . . . . . . .</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9,900</w:t>
            </w:r>
          </w:p>
        </w:tc>
        <w:tc>
          <w:tcPr>
            <w:tcW w:w="60" w:type="dxa"/>
            <w:vAlign w:val="bottom"/>
          </w:tcPr>
          <w:p>
            <w:pPr>
              <w:spacing w:after="0"/>
              <w:rPr>
                <w:sz w:val="22"/>
                <w:szCs w:val="22"/>
                <w:color w:val="auto"/>
              </w:rPr>
            </w:pPr>
          </w:p>
        </w:tc>
      </w:tr>
      <w:tr>
        <w:trPr>
          <w:trHeight w:val="261"/>
        </w:trPr>
        <w:tc>
          <w:tcPr>
            <w:tcW w:w="7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Change in the fair value of liability* . . . . . . . . . . . . . . . . . . . . . . . . . . . . . . . . . . . . . . . . . . . . . . .</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(163,171)</w:t>
            </w:r>
          </w:p>
        </w:tc>
      </w:tr>
      <w:tr>
        <w:trPr>
          <w:trHeight w:val="240"/>
        </w:trPr>
        <w:tc>
          <w:tcPr>
            <w:tcW w:w="7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Balance as of December 31, 2025 . . . . . . . . . . . . . . . . . . . . . . . . . . . . . . . . . . . . . . . . . . . . . . . . . . . .</w:t>
            </w:r>
          </w:p>
        </w:tc>
        <w:tc>
          <w:tcPr>
            <w:tcW w:w="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133,627</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70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jc w:val="both"/>
        <w:ind w:left="480" w:hanging="480"/>
        <w:spacing w:after="0" w:line="251"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year-end stock price resulted in adjustments to the fair value of contingent acquisition liabilities where future Contingent Earnout Consideration is marked-to-market on a quarterly basis, significantly impacting net loss and net loss per share during the years ended December 31, 2025 and 2024. The fluctuation is non-operating and non-cash in nature.</w:t>
      </w:r>
    </w:p>
    <w:p>
      <w:pPr>
        <w:spacing w:after="0" w:line="175" w:lineRule="exact"/>
        <w:rPr>
          <w:rFonts w:ascii="Times New Roman" w:cs="Times New Roman" w:eastAsia="Times New Roman" w:hAnsi="Times New Roman"/>
          <w:sz w:val="18"/>
          <w:szCs w:val="18"/>
          <w:color w:val="auto"/>
        </w:rPr>
      </w:pPr>
    </w:p>
    <w:p>
      <w:pPr>
        <w:jc w:val="both"/>
        <w:ind w:left="4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For the years ended December 31, 2025 and 2024, the Company recognized a gain of $163.2 million and a loss of $219.0 million related to the contingent earnout consideration, respectively, reflected in the change in fair value of contingent acquisition liabilities in the consolidated statement of operations and comprehensive loss.</w:t>
      </w:r>
    </w:p>
    <w:p>
      <w:pPr>
        <w:spacing w:after="0" w:line="153" w:lineRule="exact"/>
        <w:rPr>
          <w:rFonts w:ascii="Times New Roman" w:cs="Times New Roman" w:eastAsia="Times New Roman" w:hAnsi="Times New Roman"/>
          <w:sz w:val="18"/>
          <w:szCs w:val="18"/>
          <w:color w:val="auto"/>
        </w:rPr>
      </w:pPr>
    </w:p>
    <w:p>
      <w:pPr>
        <w:jc w:val="both"/>
        <w:ind w:left="48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utilizes a Monte Carlo simulation to value the contingent earnout consideration. The Company selected this model as it believes it is reflective of all significant assumptions that market participants would likely consider in negotiating the transfer of the contingent earnout consideration. Such assumptions include, among other inputs, expected stock price volatility, risk-free rates, and change in control assumptions. The Company estimates the expected volatility of its common stock based on historical volatility of a peer group, considering the remaining term of the contingent earnout consideration. The risk-free interest rate is based on the U.S. Treasury zero-coupon yield curve on the valuation date for a maturity similar to the expected remaining life of the contingent earnout consideration. The expected life of the contingent earnout consideration is assumed to be equivalent to their remaining contractual term. The dividend rate is based on the historical rate, which the Company anticipates to remain at zero.</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360"/>
          </w:cols>
          <w:pgMar w:left="1440" w:top="941" w:right="1440" w:bottom="348"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FAIR VALUE MEASUREMENT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fair value of the Contingent SYNQ3 Earnout Consideration acquired from the SYNQ3 Acquisition has been estimated as of the Closing Date, December 31, 2024, and December 31, 2025, with the following assumptions for the unobservable inputs: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20" w:type="dxa"/>
            <w:vAlign w:val="bottom"/>
          </w:tcPr>
          <w:p>
            <w:pPr>
              <w:spacing w:after="0"/>
              <w:rPr>
                <w:sz w:val="17"/>
                <w:szCs w:val="17"/>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4880" w:type="dxa"/>
            <w:vAlign w:val="bottom"/>
          </w:tcPr>
          <w:p>
            <w:pPr>
              <w:spacing w:after="0"/>
              <w:rPr>
                <w:sz w:val="18"/>
                <w:szCs w:val="18"/>
                <w:color w:val="auto"/>
              </w:rPr>
            </w:pPr>
          </w:p>
        </w:tc>
        <w:tc>
          <w:tcPr>
            <w:tcW w:w="1380" w:type="dxa"/>
            <w:vAlign w:val="bottom"/>
            <w:tcBorders>
              <w:bottom w:val="single" w:sz="8" w:color="auto"/>
            </w:tcBorders>
          </w:tcPr>
          <w:p>
            <w:pPr>
              <w:jc w:val="right"/>
              <w:ind w:right="42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bottom w:val="single" w:sz="8" w:color="auto"/>
            </w:tcBorders>
          </w:tcPr>
          <w:p>
            <w:pPr>
              <w:jc w:val="right"/>
              <w:ind w:right="41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6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47"/>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 . . . . . . . . . . . . . . . . . . . . . . . . . . . . . . . . . . . .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Expected stock price volatility . . . . . . . . . . . . . . . . . . . . . .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115.3%</w:t>
            </w: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130.0%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115.0%</w:t>
            </w: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 . . . . . . . . . . . . . . . . . . . . . . . . . . . .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4.2%</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3.5%</w:t>
            </w: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 . . . . . . . . . . . . . . . . . . . . . . . . . . .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0.0%</w:t>
            </w: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0.0%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0.0%</w:t>
            </w: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Expected life . . . . . . . . . . . . . . . . . . . . . . . . . . . . . . . . . . . . .</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0.5 – 2.5 years</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w w:val="99"/>
              </w:rPr>
              <w:t>0.50 – 1.50 years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 year</w:t>
            </w:r>
          </w:p>
        </w:tc>
      </w:tr>
    </w:tbl>
    <w:p>
      <w:pPr>
        <w:spacing w:after="0" w:line="15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fair value of the Contingent Amelia Earnout Consideration acquired from the Amelia Acquisition has been estimated as of the Closing Date, December 31, 2024, and December 31, 2025, with the following assumptions for the unobservable inputs: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August 6,</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4880" w:type="dxa"/>
            <w:vAlign w:val="bottom"/>
          </w:tcPr>
          <w:p>
            <w:pPr>
              <w:spacing w:after="0"/>
              <w:rPr>
                <w:sz w:val="18"/>
                <w:szCs w:val="18"/>
                <w:color w:val="auto"/>
              </w:rPr>
            </w:pPr>
          </w:p>
        </w:tc>
        <w:tc>
          <w:tcPr>
            <w:tcW w:w="1380" w:type="dxa"/>
            <w:vAlign w:val="bottom"/>
            <w:tcBorders>
              <w:bottom w:val="single" w:sz="8" w:color="auto"/>
            </w:tcBorders>
          </w:tcPr>
          <w:p>
            <w:pPr>
              <w:jc w:val="right"/>
              <w:ind w:right="42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right"/>
              <w:ind w:right="40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6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47"/>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Metric specific discount rate . . . . . . . . . . . . . . . . . . . . . . . . .</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8.0%</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Earnout payment discount rate . . . . . . . . . . . . . . . . . . . . . . .</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3.8%</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4.2%</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3.4%</w:t>
            </w: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Expected stock price volatility . . . . . . . . . . . . . . . . . . . . . . .</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73.0%</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68.0%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98.0%</w:t>
            </w: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Expected metric volatility . . . . . . . . . . . . . . . . . . . . . . . . . . .</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11.0%</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for target revenue . . . . . . . . . . . . . . . .</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for stock price . . . . . . . . . . . . . . . . . .</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3.8%</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4.2%</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3.5%</w:t>
            </w: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 . . . . . . . . . . . . . . . . . . . . . . . . . . . .</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Expected life . . . . . . . . . . . . . . . . . . . . . . . . . . . . . . . . . . . . .</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1.4 – 2.4 years</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 – 2.0 years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1.0 year</w:t>
            </w:r>
          </w:p>
        </w:tc>
      </w:tr>
    </w:tbl>
    <w:p>
      <w:pPr>
        <w:spacing w:after="0" w:line="15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fair value of the Contingent Interactions Earnout Consideration acquired from the Interactions Acquisition has been estimated as of the Closing Date and December 31, 2025, with the following assumptions for the unobservable inputs: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September 3,</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54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8"/>
                <w:szCs w:val="18"/>
                <w:color w:val="auto"/>
              </w:rPr>
            </w:pP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Metric specific discount rate . . .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for target revenue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Expected metric volatility . . . . .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Earnout payment discount rate .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Expected life . . . . . . . . . . . . . . . . . . . . . . . . . . . . . . . . . . . . . . . . . . . . . . . . . . . . .</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8"/>
              </w:rPr>
              <w:t>1.3 – 2.3 years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1.0 – 2.0 years</w:t>
            </w:r>
          </w:p>
        </w:tc>
      </w:tr>
    </w:tbl>
    <w:p>
      <w:pPr>
        <w:spacing w:after="0" w:line="15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There were no transfers of financial instruments between Level 1, Level 2 and Level 3 during the years ended December 31, 2025 and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PREFERRED STOCK</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Series A Preferred Stock</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Between January 18, 2023 and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for issuance price of $30.00 per share, raising an aggregate of approximately $25.0 million in cash proceeds. As of December 31, 2025 and December 31, 2024, all the Series A Preferred Stock have been converted to Class A Common Stock.</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360"/>
          </w:cols>
          <w:pgMar w:left="1440" w:top="941" w:right="1440" w:bottom="348"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13. PREFERRED STOCK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Liquidation Preference</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Liquidation Preference per share of Preferred Stock was initially equal to $30.00, the original issue price per share. On January 1, 2024, the Company’s Series A Preferred Stock holders received their latest dividends paid-in-kind as an increase in Liquidation Preference, thereby increasing the Liquidation Preference per share to approximately $34.13.</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Redemption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Series A Preferred Stock is not mandatorily redeemable.</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Conversion</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As of December 31, 2024, the condition of automatic conversion was met and all the remaining Series A Preferred Stock were automatically converted.</w:t>
      </w:r>
    </w:p>
    <w:p>
      <w:pPr>
        <w:spacing w:after="0" w:line="15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2024, 475,005 shares of preferred stock were converted into 16,624,215 shares of Class A Common Stock. The conversion was pursuant to the original terms of the agreement and therefore the carrying value of Series A Preferred Stock was converted into Class A Common Stock with no gain or loss upon conversion. There were no conversions during the year ended December 31, 2025.</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Investors do not have voting rights, except with respect to certain protective provisions and as required by the Delaware General Corporation Law. However, as long as the Series A Preferred Stock are outstanding, the Company may not take certain actions that may materially and adversely impact the powers, preferences, or rights of the Investors without the consent of at least a majority of the Investors.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COMMON STOCK</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At the 2025 Annual Meeting of Stockholders held on May 23, 2025, the Company’s stockholders approved to increase the number of authorized shares of Class A Common Stock from 455,000,000 to 755,000,000. As of December 31, 2025, the Company is authorized to issue 800,000,000 shares of capital stock, consisting of</w:t>
      </w:r>
    </w:p>
    <w:p>
      <w:pPr>
        <w:spacing w:after="0" w:line="13" w:lineRule="exact"/>
        <w:rPr>
          <w:sz w:val="20"/>
          <w:szCs w:val="20"/>
          <w:color w:val="auto"/>
        </w:rPr>
      </w:pPr>
    </w:p>
    <w:p>
      <w:pPr>
        <w:jc w:val="both"/>
        <w:ind w:left="480"/>
        <w:spacing w:after="0" w:line="248" w:lineRule="auto"/>
        <w:tabs>
          <w:tab w:leader="none" w:pos="75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69"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and B Common Stock are entitled to one vote and ten votes per share respectively on all matters submitted to the stockholders for their vote or approval.</w:t>
      </w:r>
    </w:p>
    <w:p>
      <w:pPr>
        <w:spacing w:after="0" w:line="172" w:lineRule="exact"/>
        <w:rPr>
          <w:sz w:val="20"/>
          <w:szCs w:val="20"/>
          <w:color w:val="auto"/>
        </w:rPr>
      </w:pPr>
    </w:p>
    <w:p>
      <w:pPr>
        <w:jc w:val="both"/>
        <w:ind w:left="480"/>
        <w:spacing w:after="0" w:line="265" w:lineRule="auto"/>
        <w:rPr>
          <w:sz w:val="20"/>
          <w:szCs w:val="20"/>
          <w:color w:val="auto"/>
        </w:rPr>
      </w:pPr>
      <w:r>
        <w:rPr>
          <w:rFonts w:ascii="Times New Roman" w:cs="Times New Roman" w:eastAsia="Times New Roman" w:hAnsi="Times New Roman"/>
          <w:sz w:val="19"/>
          <w:szCs w:val="19"/>
          <w:color w:val="auto"/>
        </w:rPr>
        <w:t>Each share of Class B Common Stock shall convert into one fully paid and nonassessable share of Class A Common Stock upon mandatory or optional conversion. Shares of Class B Common Stock will be automatically converted into shares of Class A Common Stock upon the occurrence of certain future events, generally including transfers, subject to limited exceptions set forth in the amended charter. The conversion of Class B Common</w:t>
      </w:r>
    </w:p>
    <w:p>
      <w:pPr>
        <w:sectPr>
          <w:pgSz w:w="12240" w:h="15840" w:orient="portrait"/>
          <w:cols w:equalWidth="0" w:num="1">
            <w:col w:w="9360"/>
          </w:cols>
          <w:pgMar w:left="1440" w:top="941" w:right="1440" w:bottom="348"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360"/>
          </w:cols>
          <w:pgMar w:left="1440" w:top="941" w:right="1440" w:bottom="348"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14. COMMON STOCK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65" w:lineRule="auto"/>
        <w:rPr>
          <w:sz w:val="20"/>
          <w:szCs w:val="20"/>
          <w:color w:val="auto"/>
        </w:rPr>
      </w:pPr>
      <w:r>
        <w:rPr>
          <w:rFonts w:ascii="Times New Roman" w:cs="Times New Roman" w:eastAsia="Times New Roman" w:hAnsi="Times New Roman"/>
          <w:sz w:val="19"/>
          <w:szCs w:val="19"/>
          <w:color w:val="auto"/>
        </w:rPr>
        <w:t>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5"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2024, certain holders of Class B Common Stock optionally converted 4,950,000 shares of Class B Common Stock into the same number of shares of Class A Common Stock. There was no conversion of Class B Common Stock during the year ended December 31, 2025.</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Equity Line of Credit (“ELOC”)</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On August 16, 2022, the Company entered into a common stock purchase agreement (“Common Stock Purchase Agreement”) and related registration rights agreement (the “CFPI Registration Rights Agreement”) with CF Principal Investments LLC (the “Counterparty”). Pursuant to the Common Stock Purchase Agreement, the Company had the right, but not the obligation, to direct the Counterparty to purchase up to 25,000,000 shares of Class A Common Stock, subject to certain limitations and conditions (the “ELOC Program”) at a purchase price equal to 97% of the volume weighted average stock price for a given purchase date. In connection with the execution of the Common Stock Purchase Agreement and the side letter on February 14, 2023, the Company issued 250,000 shares of Common Stock (the “Initial Commitment Shares”) and additional cash commitment fee of $0.3 million.</w:t>
      </w:r>
    </w:p>
    <w:p>
      <w:pPr>
        <w:spacing w:after="0" w:line="173"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Company recorded Common Stock Purchase Agreement as a derivative liability with an initial fair value of $1.1 million based on the upfront commitment fee in the form of proceeds from future issuance of commitment shares to the Counterparty plus certain fees and expenses as specified in the Purchase Agreement.</w:t>
      </w:r>
    </w:p>
    <w:p>
      <w:pPr>
        <w:spacing w:after="0" w:line="173"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recorded losses on changes in the fair value of the derivative liability associated with the ELOC Program of $1.9 million for the year ended December 31, 2023 as other income, net on its consolidated statements of operations and comprehensive loss. The Company incurred third-party costs of $0.2 million related to the execution of the Common Stock Purchase Agreement which were recorded as general and administrative expenses in the consolidated statements of operations and comprehensive loss for the year ended December 31, 2023.</w:t>
      </w:r>
    </w:p>
    <w:p>
      <w:pPr>
        <w:spacing w:after="0" w:line="168"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2023, the Company sold the entirety of the 25,000,000 shares for aggregate proceeds of approximately $71.7 million, with the volume weighted average stock price of shares purchased by the Counterparty ranging from $1.75 to $4.26 per share.</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Sales Agreement</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 million of shares of our Class A Common Stock from time to time through or to the Sales Agents acting as agent or principal. Sales of our Class A Common Stock under the Sales Agreement were made at market prices by any method that is deemed to be an “at the market offering” as defined in Rule 415 under the Securities Act. The Sales Agents were entitled to aggregate compensation at a fixed commission rate of 2.5% of the gross sales price per share sold under the Sales Agreement. We also agreed to reimburse the Sales Agents for certain specified expenses, including the reasonable and documented fees and disbursements of its legal counsel in an amount of $0.1 million in the aggregate in connection with the execution of the Sales Agreement.</w:t>
      </w:r>
    </w:p>
    <w:p>
      <w:pPr>
        <w:spacing w:after="0" w:line="15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As of December 31, 2024, the Company sold 37,907,219 shares of our Class A common stock under the Sales Agreement, at a weighted-average price of $3.62 per share and raised $137.3 million of gross proceeds, which resulted in complete utilization of the Sales Agreement. After deducting approximately $3.4 million of</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360"/>
          </w:cols>
          <w:pgMar w:left="1440" w:top="941" w:right="1440" w:bottom="348"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14. COMMON STOCK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commissions and offering costs incurred by the Company, the net proceeds from sales of Class A common stock was $133.8 million. As of December 31, 2024, the Company had no remaining capacity to sell the Company’s Class A common stock under the Sales Agreement.</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Equity Distribution Agreement</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On April 9, 2024, the Company entered into an Equity Distribution Agreement (the “Equity Distribution Agreement”) with Citigroup Global Markets Inc., Barclays Capital Inc., Wedbush Securities Inc., Northland Securities, Inc. and Ladenburg Thalmann &amp; Co. Inc. (the “Managers”) with respect to an at-the-market equity program. Under this program, the Company was able to offer and sell up to $150.0 million of shares of its Class A Common Stock from time to time through the Managers. Sales of Class A Common Stock under the Equity Distribution Agreement will be made at market prices by any method that is deemed to be an “at the market offering” as defined in Rule 415 under the Securities Act. The Managers were entitled to commission at a fixed rate of 2.5% of the gross sales price per share for their services in acting as agent in the sale of the Company’s Class A Common Stock.</w:t>
      </w:r>
    </w:p>
    <w:p>
      <w:pPr>
        <w:spacing w:after="0" w:line="173"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2024, the Company sold a total of 31,694,198 shares of our Class A common stock under the Equity Distribution Agreement, at a weighted-average price of $4.73 per share and raised $150.0 million of gross proceeds. After deducting approximately $3.7 million of commissions and offering costs incurred by the Company, the net proceeds from sales of Class A common stock was $146.2 million during the year ended December 31, 2024. As of December 31, 2024, the Company had no remaining capacity to sell the Company’s Class A common stock under the Equity Distribution Agreement.</w:t>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Execute Equity Distribution Agreement</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On November 12, 2024, the Company entered into an Execute Equity Distribution Agreement (the “Execute Equity Distribution Agreement”) with Barclays Capital Inc., Piper Sandler &amp; Co., D.A. Davidson &amp; Co., H.C. Wainwright &amp; Co., LLC, and Joseph Gunnar &amp; Co., LLC, (each, an “Agent,” and, collectively, the “Agents”) with respect to an at-the-market equity program. Under this program, the Company was able to offer and sell up to $120.0 million of shares of its Class A Common Stock from time to time through the Agents. Sales of Class A Common Stock under the Execute Equity Distribution Agreement were made at market prices by any method that is deemed to be an “at the market offering” as defined in Rule 415 under the Securities Act. The Agents were entitled to commission at a fixed rate of 2.5% of the gross sales price per share for their services in acting as agent in the sale of the Company’s Class A Common Stock.</w:t>
      </w:r>
    </w:p>
    <w:p>
      <w:pPr>
        <w:spacing w:after="0" w:line="173"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2024, the Company sold a total of 16,224,989 shares of our Class A common stock under the Execute Equity Distribution Agreement, at a weighted-average price of $7.40 per share and raised $120.0 million of gross proceeds. After deducting approximately $3.0 million of commissions and offering costs incurred by the Company, the net proceeds from sales of Class A common stock was $117.0 million during the year ended December 31, 2024. As of December 31, 2024, the Company had no remaining capacity to sell the Company’s Class A common stock under the Execute Equity Distribution Agreement.</w:t>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Second Equity Distribution Agreement</w:t>
      </w:r>
    </w:p>
    <w:p>
      <w:pPr>
        <w:spacing w:after="0" w:line="177"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On January 24, 2025, the Company entered into the Second Equity Distribution Agreement with Cantor Fitzgerald &amp; Co., Guggenheim Securities, LLC, Oppenheimer &amp; Co. Inc., Wedbush Securities Inc., Ladenburg Thalmann &amp; Co. Inc. and Northland Securities, Inc. (each, an “Sales Manager,” and, collectively, the “Sales Managers”) with respect to an at-the-market equity program. Under this program, the Company may offer and sell up to $250.0 million of shares of its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the Company’s Class A Common Stock.</w:t>
      </w:r>
    </w:p>
    <w:p>
      <w:pPr>
        <w:sectPr>
          <w:pgSz w:w="12240" w:h="15840" w:orient="portrait"/>
          <w:cols w:equalWidth="0" w:num="1">
            <w:col w:w="9360"/>
          </w:cols>
          <w:pgMar w:left="1440" w:top="941" w:right="1440" w:bottom="348"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360"/>
          </w:cols>
          <w:pgMar w:left="1440" w:top="941" w:right="1440" w:bottom="348" w:gutter="0" w:footer="0" w:header="0"/>
          <w:type w:val="continuous"/>
        </w:sectPr>
      </w:pPr>
    </w:p>
    <w:bookmarkStart w:id="116" w:name="page117"/>
    <w:bookmarkEnd w:id="11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14. COMMON STOCK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right="2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2025, the Company sold 13,913,014 shares of its common stock under the Second Equity Distribution Agreement, at an average price of $14.48 per share and raised $201.5 million of gross proceeds, respectively. The commissions and offering costs borne by us were approximately $4.0 million. As of December 31, 2025, the Company had a remaining capacity to sell up to an additional $48.5 million of its common stock under the Second Equity Distribution Agreement.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STOCK INCENTIVE PLANS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2016 Equity Incentive Plan</w:t>
      </w:r>
    </w:p>
    <w:p>
      <w:pPr>
        <w:spacing w:after="0" w:line="177" w:lineRule="exact"/>
        <w:rPr>
          <w:sz w:val="20"/>
          <w:szCs w:val="20"/>
          <w:color w:val="auto"/>
        </w:rPr>
      </w:pPr>
    </w:p>
    <w:p>
      <w:pPr>
        <w:jc w:val="both"/>
        <w:ind w:left="480" w:right="20"/>
        <w:spacing w:after="0" w:line="248" w:lineRule="auto"/>
        <w:rPr>
          <w:sz w:val="20"/>
          <w:szCs w:val="20"/>
          <w:color w:val="auto"/>
        </w:rPr>
      </w:pPr>
      <w:r>
        <w:rPr>
          <w:rFonts w:ascii="Times New Roman" w:cs="Times New Roman" w:eastAsia="Times New Roman" w:hAnsi="Times New Roman"/>
          <w:sz w:val="20"/>
          <w:szCs w:val="20"/>
          <w:color w:val="auto"/>
        </w:rPr>
        <w:t>In April 2016, we adopted the 2016 Equity Incentive Plan (the “2016 Plan”) as a successor and continuation of the 2006 Plan. Under the 2016 Plan, the Company was permitted to grant awards of stock options and Restricted Stock Units (“RSUs”), as well as stock appreciation rights and other stock awards. The Company no longer has shares available for issuance under the 2016 Plan.</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2022 Incentive Award Plan</w:t>
      </w:r>
    </w:p>
    <w:p>
      <w:pPr>
        <w:spacing w:after="0" w:line="177" w:lineRule="exact"/>
        <w:rPr>
          <w:sz w:val="20"/>
          <w:szCs w:val="20"/>
          <w:color w:val="auto"/>
        </w:rPr>
      </w:pPr>
    </w:p>
    <w:p>
      <w:pPr>
        <w:jc w:val="both"/>
        <w:ind w:left="480" w:right="20"/>
        <w:spacing w:after="0" w:line="249" w:lineRule="auto"/>
        <w:rPr>
          <w:sz w:val="20"/>
          <w:szCs w:val="20"/>
          <w:color w:val="auto"/>
        </w:rPr>
      </w:pPr>
      <w:r>
        <w:rPr>
          <w:rFonts w:ascii="Times New Roman" w:cs="Times New Roman" w:eastAsia="Times New Roman" w:hAnsi="Times New Roman"/>
          <w:sz w:val="20"/>
          <w:szCs w:val="20"/>
          <w:color w:val="auto"/>
        </w:rPr>
        <w:t>The Company adopted the 2022 Incentive Award Plan (the “2022 Incentive Plan,” collectively, with the 2006 Plan and the 2016 Plan, the “Plans”), effective April 26, 2022. The Company reserved 19,650,371 shares of Class A Common Stock for the issuance of awards under the 2022 Incentive Plan (“the Initial Limit”). The Initial Limit represents 10% of the aggregate number of shares of the Company’s common stock outstanding immediately after the Closing and is subject to increase each year over a ten-year period. As of December 31, 2025, the Company had 9,967,757 shares remaining for issuance under the 2022 Incentive Plan.</w:t>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2022 Employee Stock Purchase Plan</w:t>
      </w:r>
    </w:p>
    <w:p>
      <w:pPr>
        <w:spacing w:after="0" w:line="177" w:lineRule="exact"/>
        <w:rPr>
          <w:sz w:val="20"/>
          <w:szCs w:val="20"/>
          <w:color w:val="auto"/>
        </w:rPr>
      </w:pPr>
    </w:p>
    <w:p>
      <w:pPr>
        <w:jc w:val="both"/>
        <w:ind w:left="480" w:right="20"/>
        <w:spacing w:after="0" w:line="279" w:lineRule="auto"/>
        <w:rPr>
          <w:sz w:val="20"/>
          <w:szCs w:val="20"/>
          <w:color w:val="auto"/>
        </w:rPr>
      </w:pPr>
      <w:r>
        <w:rPr>
          <w:rFonts w:ascii="Times New Roman" w:cs="Times New Roman" w:eastAsia="Times New Roman" w:hAnsi="Times New Roman"/>
          <w:sz w:val="18"/>
          <w:szCs w:val="18"/>
          <w:color w:val="auto"/>
        </w:rPr>
        <w:t>The Company adopted the 2022 Employee Stock Purchase Plan (the “ESPP”) effective April 26, 2022,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is being implemented through a series of offerings of purchase rights to eligible employees. Under the ESPP, the Company’s Board of Directors may specify offerings but generally provides for a duration of 27 months.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 The first offering period under the ESPP began on November 1, 2022. As of December 31, 2025, 1,216,324 shares of Class A Common Stock were issued under the ESPP.</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2024 Employment Inducement Incentive Award Plan</w:t>
      </w:r>
    </w:p>
    <w:p>
      <w:pPr>
        <w:spacing w:after="0" w:line="177" w:lineRule="exact"/>
        <w:rPr>
          <w:sz w:val="20"/>
          <w:szCs w:val="20"/>
          <w:color w:val="auto"/>
        </w:rPr>
      </w:pPr>
    </w:p>
    <w:p>
      <w:pPr>
        <w:jc w:val="both"/>
        <w:ind w:left="480"/>
        <w:spacing w:after="0" w:line="265" w:lineRule="auto"/>
        <w:rPr>
          <w:sz w:val="20"/>
          <w:szCs w:val="20"/>
          <w:color w:val="auto"/>
        </w:rPr>
      </w:pPr>
      <w:r>
        <w:rPr>
          <w:rFonts w:ascii="Times New Roman" w:cs="Times New Roman" w:eastAsia="Times New Roman" w:hAnsi="Times New Roman"/>
          <w:sz w:val="19"/>
          <w:szCs w:val="19"/>
          <w:color w:val="auto"/>
        </w:rPr>
        <w:t>The Company adopted 2024 Employment Inducement Incentive Award Plan (the “2024 Inducement Plan,” collectively, with the 2016 Plan and the 2022 Incentive Plan, the “Plans”) effective August 6, 2024. The Company reserved 6,000,000 shares of Class A Common Stock for the issuance of awards under the 2024 Inducement Plan. As of December 31, 2025, 2,569,834 shares remaining for issuance under the 2024 Inducement Plan.</w:t>
      </w:r>
    </w:p>
    <w:p>
      <w:pPr>
        <w:spacing w:after="0" w:line="2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Stock Options Activity</w:t>
      </w:r>
    </w:p>
    <w:p>
      <w:pPr>
        <w:spacing w:after="0" w:line="177" w:lineRule="exact"/>
        <w:rPr>
          <w:sz w:val="20"/>
          <w:szCs w:val="20"/>
          <w:color w:val="auto"/>
        </w:rPr>
      </w:pPr>
    </w:p>
    <w:p>
      <w:pPr>
        <w:jc w:val="both"/>
        <w:ind w:left="480" w:right="20"/>
        <w:spacing w:after="0" w:line="248" w:lineRule="auto"/>
        <w:rPr>
          <w:sz w:val="20"/>
          <w:szCs w:val="20"/>
          <w:color w:val="auto"/>
        </w:rPr>
      </w:pPr>
      <w:r>
        <w:rPr>
          <w:rFonts w:ascii="Times New Roman" w:cs="Times New Roman" w:eastAsia="Times New Roman" w:hAnsi="Times New Roman"/>
          <w:sz w:val="20"/>
          <w:szCs w:val="20"/>
          <w:color w:val="auto"/>
        </w:rPr>
        <w:t>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ectPr>
          <w:pgSz w:w="12240" w:h="15840" w:orient="portrait"/>
          <w:cols w:equalWidth="0" w:num="1">
            <w:col w:w="9380"/>
          </w:cols>
          <w:pgMar w:left="1440" w:top="941" w:right="1420" w:bottom="348"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380"/>
          </w:cols>
          <w:pgMar w:left="1440" w:top="941" w:right="1420" w:bottom="348"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15. STOCK INCENTIVE PLANS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Stock option activity under the Plans was as follows for the years ended December 31, 2025,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2"/>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1"/>
              <w:spacing w:after="0" w:line="200" w:lineRule="exact"/>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00"/>
        </w:trPr>
        <w:tc>
          <w:tcPr>
            <w:tcW w:w="3660" w:type="dxa"/>
            <w:vAlign w:val="bottom"/>
          </w:tcPr>
          <w:p>
            <w:pPr>
              <w:spacing w:after="0"/>
              <w:rPr>
                <w:sz w:val="17"/>
                <w:szCs w:val="17"/>
                <w:color w:val="auto"/>
              </w:rPr>
            </w:pPr>
          </w:p>
        </w:tc>
        <w:tc>
          <w:tcPr>
            <w:tcW w:w="138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2"/>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8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Intrinsic Value</w:t>
            </w:r>
          </w:p>
        </w:tc>
      </w:tr>
      <w:tr>
        <w:trPr>
          <w:trHeight w:val="210"/>
        </w:trPr>
        <w:tc>
          <w:tcPr>
            <w:tcW w:w="3660" w:type="dxa"/>
            <w:vAlign w:val="bottom"/>
          </w:tcPr>
          <w:p>
            <w:pPr>
              <w:spacing w:after="0"/>
              <w:rPr>
                <w:sz w:val="18"/>
                <w:szCs w:val="18"/>
                <w:color w:val="auto"/>
              </w:rPr>
            </w:pPr>
          </w:p>
        </w:tc>
        <w:tc>
          <w:tcPr>
            <w:tcW w:w="126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Term (Years)</w:t>
            </w:r>
          </w:p>
        </w:tc>
        <w:tc>
          <w:tcPr>
            <w:tcW w:w="180" w:type="dxa"/>
            <w:vAlign w:val="bottom"/>
          </w:tcPr>
          <w:p>
            <w:pPr>
              <w:spacing w:after="0"/>
              <w:rPr>
                <w:sz w:val="18"/>
                <w:szCs w:val="18"/>
                <w:color w:val="auto"/>
              </w:rPr>
            </w:pPr>
          </w:p>
        </w:tc>
        <w:tc>
          <w:tcPr>
            <w:tcW w:w="1260" w:type="dxa"/>
            <w:vAlign w:val="bottom"/>
            <w:tcBorders>
              <w:bottom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4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December 31, 2022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25,420,425</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1,448</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(3,585,829)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5,207</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Forfeited or cancelled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(4,993,229)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9"/>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December 31, 2023 .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16,841,367</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1,392</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(9,806,309)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72,806</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Forfeited or cancelled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(1,109,147)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9"/>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December 31, 2024 .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5,925,911</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91,268</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(2,036,995)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22,034</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Forfeited or cancelled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(5,503)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December 31, 2025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3,883,413</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21,051</w:t>
            </w:r>
          </w:p>
        </w:tc>
      </w:tr>
      <w:tr>
        <w:trPr>
          <w:trHeight w:val="20"/>
        </w:trPr>
        <w:tc>
          <w:tcPr>
            <w:tcW w:w="3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0"/>
        </w:trPr>
        <w:tc>
          <w:tcPr>
            <w:tcW w:w="36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Exercisable, December 31, 2025 . . . . . . . . .</w:t>
            </w:r>
          </w:p>
        </w:tc>
        <w:tc>
          <w:tcPr>
            <w:tcW w:w="12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3,877,860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4.55</w:t>
            </w:r>
          </w:p>
        </w:tc>
        <w:tc>
          <w:tcPr>
            <w:tcW w:w="144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4.50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21,026</w:t>
            </w:r>
          </w:p>
        </w:tc>
      </w:tr>
      <w:tr>
        <w:trPr>
          <w:trHeight w:val="20"/>
        </w:trPr>
        <w:tc>
          <w:tcPr>
            <w:tcW w:w="3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Options exercised early are subject to the vesting provisions mentioned above, and any unvested shares are subject to repurchase at the original price upon termination of employment, death, or disability. There were no option exercises during the years ended December 31, 2025, 2024 and 2023 that were subject to repurchase.</w:t>
      </w:r>
    </w:p>
    <w:p>
      <w:pPr>
        <w:spacing w:after="0" w:line="17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There were no options granted during the years ended December 31, 2025, 2024, and 2023. The total fair value of options vested was approximately $1.5 million, $3.0 million and $4.5 million during the years ended December 31, 2025, 2024 and 2023, respectively. The Company recorded stock-based compensation expense related to options of $1.3 million, $3.0 million and $4.0 million for the years ended December 31, 2025, 2024 and 2023.</w:t>
      </w:r>
    </w:p>
    <w:p>
      <w:pPr>
        <w:spacing w:after="0" w:line="172"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As of December 31, 2025, the total unrecognized stock-based compensation expense related to the unvested stock options was less than $0.1 million, which we expect to recognize over a weighted-average period of 0.53 years.</w:t>
      </w:r>
    </w:p>
    <w:p>
      <w:pPr>
        <w:spacing w:after="0" w:line="173"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For the purpose of determining the estimated fair value of share-based payment awards issued in the form of stock options, the Company uses the Black-Scholes option-pricing model. The assumptions under the Black-Scholes option-pricing model during the year ended December 31, 2022 were as follows for option awards:</w:t>
      </w:r>
    </w:p>
    <w:p>
      <w:pPr>
        <w:spacing w:after="0" w:line="17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5067300</wp:posOffset>
                </wp:positionH>
                <wp:positionV relativeFrom="paragraph">
                  <wp:posOffset>13970</wp:posOffset>
                </wp:positionV>
                <wp:extent cx="8001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1pt" to="462pt,1.1pt" o:allowincell="f" strokecolor="#000000" strokeweight="0.5pt"/>
            </w:pict>
          </mc:Fallback>
        </mc:AlternateContent>
      </w:r>
    </w:p>
    <w:p>
      <w:pPr>
        <w:spacing w:after="0" w:line="26"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color w:val="auto"/>
        </w:rPr>
        <w:t>Dividend yield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0%</w:t>
      </w:r>
    </w:p>
    <w:p>
      <w:pPr>
        <w:spacing w:after="0" w:line="30"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20"/>
          <w:szCs w:val="20"/>
          <w:color w:val="auto"/>
        </w:rPr>
        <w:t>Expected volatility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51%</w:t>
      </w:r>
    </w:p>
    <w:p>
      <w:pPr>
        <w:spacing w:after="0" w:line="30" w:lineRule="exact"/>
        <w:rPr>
          <w:sz w:val="20"/>
          <w:szCs w:val="20"/>
          <w:color w:val="auto"/>
        </w:rPr>
      </w:pPr>
    </w:p>
    <w:p>
      <w:pPr>
        <w:spacing w:after="0"/>
        <w:tabs>
          <w:tab w:leader="none" w:pos="8840" w:val="left"/>
        </w:tabs>
        <w:rPr>
          <w:sz w:val="20"/>
          <w:szCs w:val="20"/>
          <w:color w:val="auto"/>
        </w:rPr>
      </w:pPr>
      <w:r>
        <w:rPr>
          <w:rFonts w:ascii="Times New Roman" w:cs="Times New Roman" w:eastAsia="Times New Roman" w:hAnsi="Times New Roman"/>
          <w:sz w:val="20"/>
          <w:szCs w:val="20"/>
          <w:color w:val="auto"/>
        </w:rPr>
        <w:t>Expected term (years) . . . . . . . . . . . . . . . . . . . . . . . . . . . . . . . . . . . . . . . . . . . . . . . . . . . . . . . . . . . . .</w:t>
      </w:r>
      <w:r>
        <w:rPr>
          <w:sz w:val="20"/>
          <w:szCs w:val="20"/>
          <w:color w:val="auto"/>
        </w:rPr>
        <w:tab/>
      </w:r>
      <w:r>
        <w:rPr>
          <w:rFonts w:ascii="Times New Roman" w:cs="Times New Roman" w:eastAsia="Times New Roman" w:hAnsi="Times New Roman"/>
          <w:sz w:val="19"/>
          <w:szCs w:val="19"/>
          <w:color w:val="auto"/>
        </w:rPr>
        <w:t>5.88</w:t>
      </w:r>
    </w:p>
    <w:p>
      <w:pPr>
        <w:spacing w:after="0" w:line="30" w:lineRule="exact"/>
        <w:rPr>
          <w:sz w:val="20"/>
          <w:szCs w:val="20"/>
          <w:color w:val="auto"/>
        </w:rPr>
      </w:pPr>
    </w:p>
    <w:p>
      <w:pPr>
        <w:spacing w:after="0"/>
        <w:tabs>
          <w:tab w:leader="none" w:pos="8820" w:val="left"/>
        </w:tabs>
        <w:rPr>
          <w:sz w:val="20"/>
          <w:szCs w:val="20"/>
          <w:color w:val="auto"/>
        </w:rPr>
      </w:pPr>
      <w:r>
        <w:rPr>
          <w:rFonts w:ascii="Times New Roman" w:cs="Times New Roman" w:eastAsia="Times New Roman" w:hAnsi="Times New Roman"/>
          <w:sz w:val="20"/>
          <w:szCs w:val="20"/>
          <w:color w:val="auto"/>
        </w:rPr>
        <w:t>Risk free interest rate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2.58%</w:t>
      </w: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Units Activity</w:t>
      </w:r>
    </w:p>
    <w:p>
      <w:pPr>
        <w:spacing w:after="0" w:line="177" w:lineRule="exact"/>
        <w:rPr>
          <w:sz w:val="20"/>
          <w:szCs w:val="20"/>
          <w:color w:val="auto"/>
        </w:rPr>
      </w:pPr>
    </w:p>
    <w:p>
      <w:pPr>
        <w:jc w:val="both"/>
        <w:ind w:left="480"/>
        <w:spacing w:after="0" w:line="265" w:lineRule="auto"/>
        <w:rPr>
          <w:sz w:val="20"/>
          <w:szCs w:val="20"/>
          <w:color w:val="auto"/>
        </w:rPr>
      </w:pPr>
      <w:r>
        <w:rPr>
          <w:rFonts w:ascii="Times New Roman" w:cs="Times New Roman" w:eastAsia="Times New Roman" w:hAnsi="Times New Roman"/>
          <w:sz w:val="19"/>
          <w:szCs w:val="19"/>
          <w:color w:val="auto"/>
        </w:rPr>
        <w:t>RSUs granted generally vest over a four-year period, with 25% cliff vesting after one year and then ratably on a monthly basis for the remaining three years. Besides RSUs with vesting condition tied to requisite service period, the Company also issues RSUs with vesting conditions tied to certain market conditions (“Market-Based RSUs”) and RSUs with vesting conditions tied to certain performance criteria (“Performance-Based RSUs”).</w:t>
      </w:r>
    </w:p>
    <w:p>
      <w:pPr>
        <w:spacing w:after="0" w:line="155"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In connection with the SYNQ3 Acquisition, the Company granted 1,434,978 RSUs (the “Retention Pool”), 25% of which is subject to service conditions that vest at the end of each of the upcoming three fiscal years and 75% of which is subject to both service and performance-based vesting conditions at the end of each of the upcoming three fiscal years, respectively.</w:t>
      </w:r>
    </w:p>
    <w:p>
      <w:pPr>
        <w:sectPr>
          <w:pgSz w:w="12240" w:h="15840" w:orient="portrait"/>
          <w:cols w:equalWidth="0" w:num="1">
            <w:col w:w="9360"/>
          </w:cols>
          <w:pgMar w:left="1440" w:top="941" w:right="1440" w:bottom="348"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360"/>
          </w:cols>
          <w:pgMar w:left="1440" w:top="941" w:right="1440" w:bottom="348"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15. STOCK INCENTIVE PLANS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9"/>
          <w:szCs w:val="19"/>
          <w:color w:val="auto"/>
        </w:rPr>
        <w:t>The performance level for each of the fiscal years 2024, 2025 and 2026 is based on tiered annual revenue targets, subject to a floor of $9.0 million, $21.0 million and $30.0 million, respectively, with vesting ranging from 50% to 100% of the RSUs granted depending on the level of achievement of the specified revenue target in each year.</w:t>
      </w:r>
    </w:p>
    <w:p>
      <w:pPr>
        <w:spacing w:after="0" w:line="154"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Company assesses the probability of vesting of the above performance-based awards from the Retention Pool every reporting period. As of December 31, 2025, the 2024 performance target was not met, but the 2025 performance target was met. The Company assessed the 2026 performance target as probable of being met.</w:t>
      </w:r>
    </w:p>
    <w:p>
      <w:pPr>
        <w:spacing w:after="0" w:line="17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also granted 3,533,500 RSUs that vest over a four-year requisite service period to Amelia employees during the year ended December 31, 2025. Additionally, the Company granted 10,045,389 RSUs to other employees of the Company during the year ended December 31, 2025. As a result, the Company granted total of 13,578,889 RSUs during the year ended December 31, 2025.</w:t>
      </w:r>
    </w:p>
    <w:p>
      <w:pPr>
        <w:spacing w:after="0" w:line="169"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activity for unvested Restricted Stock Units under the Plans was as follows for the years ended December 31, 2025,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6540" w:type="dxa"/>
            <w:vAlign w:val="bottom"/>
          </w:tcPr>
          <w:p>
            <w:pPr>
              <w:spacing w:after="0"/>
              <w:rPr>
                <w:sz w:val="17"/>
                <w:szCs w:val="17"/>
                <w:color w:val="auto"/>
              </w:rPr>
            </w:pPr>
          </w:p>
        </w:tc>
        <w:tc>
          <w:tcPr>
            <w:tcW w:w="1440" w:type="dxa"/>
            <w:vAlign w:val="bottom"/>
            <w:gridSpan w:val="2"/>
          </w:tcPr>
          <w:p>
            <w:pPr>
              <w:jc w:val="right"/>
              <w:ind w:right="40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0"/>
        </w:trPr>
        <w:tc>
          <w:tcPr>
            <w:tcW w:w="6540" w:type="dxa"/>
            <w:vAlign w:val="bottom"/>
          </w:tcPr>
          <w:p>
            <w:pPr>
              <w:spacing w:after="0"/>
              <w:rPr>
                <w:sz w:val="18"/>
                <w:szCs w:val="18"/>
                <w:color w:val="auto"/>
              </w:rPr>
            </w:pPr>
          </w:p>
        </w:tc>
        <w:tc>
          <w:tcPr>
            <w:tcW w:w="1440" w:type="dxa"/>
            <w:vAlign w:val="bottom"/>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Shares</w:t>
            </w:r>
          </w:p>
        </w:tc>
        <w:tc>
          <w:tcPr>
            <w:tcW w:w="12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5"/>
              </w:rPr>
              <w:t>Date Fair Value</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December 31, 2023 . . . . . . . . . . . . . . . . . . . . . . . . . . . . . . . .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16,343,591</w:t>
            </w:r>
          </w:p>
        </w:tc>
        <w:tc>
          <w:tcPr>
            <w:tcW w:w="180" w:type="dxa"/>
            <w:vAlign w:val="bottom"/>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14,009,111</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(7,322,556)</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(1,239,891)</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December 31, 2024 . . . . . . . . . . . . . . . . . . . . . . . . . . . . . . . .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21,790,255</w:t>
            </w:r>
          </w:p>
        </w:tc>
        <w:tc>
          <w:tcPr>
            <w:tcW w:w="18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13,628,889</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(12,093,741)</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(1,722,039)</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w:t>
            </w: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December 31, 2025 . . . . . . . . . . . . . . . . . . . . . . . . . . . . . . .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21,603,364</w:t>
            </w:r>
          </w:p>
        </w:tc>
        <w:tc>
          <w:tcPr>
            <w:tcW w:w="1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8.09</w:t>
            </w:r>
          </w:p>
        </w:tc>
      </w:tr>
      <w:tr>
        <w:trPr>
          <w:trHeight w:val="20"/>
        </w:trPr>
        <w:tc>
          <w:tcPr>
            <w:tcW w:w="6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recorded stock-based compensation expense of $4.0 million, $1.1 million and $1.3 million related to Performance-Based RSUs during the years ended December 31, 2025, 2024, and 2023, respectively. As of December 31, 2025, the total unrecognized stock-based compensation expense related to the unvested Performance-based RSUs was approximately $3.9 million. There were 50,000 Performance-Based RSUs granted during the year ended December 31, 2025.</w:t>
      </w:r>
    </w:p>
    <w:p>
      <w:pPr>
        <w:spacing w:after="0" w:line="172"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recorded less than $0.1 million, $0.6 million and $1.5 million in stock-based compensation expense related to Market-Based RSUs during the year ended December 31, 2025, 2024 and 2023, respectively. As of December 31, 2025, there was no unrecognized stock-based compensation expense related to the unvested Market-Based RSUs.</w:t>
      </w:r>
    </w:p>
    <w:p>
      <w:pPr>
        <w:spacing w:after="0" w:line="169"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To derive the fair value of Market-Based RSUs, the Company applies a Monte Carlo simulation to determine the grant date fair value. The Company did not grant Market-Based RSUs during the years ended December 31, 2025, 2024, and 2023.</w:t>
      </w:r>
    </w:p>
    <w:p>
      <w:pPr>
        <w:spacing w:after="0" w:line="173"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During the years ended December 31, 2025, 2024 and 2023, the fair value of RSUs that vested was $66.1 million, $24.1 million, and $25.5 million. During the years ended December 31, 2025, 2024, and 2023, the Company recorded $70.6 million, $27.2 million, and $20.4 million of stock-based compensation related to RSUs. As of December 31, 2025, the total unrecognized stock-based compensation expense related to the unvested RSUs with service conditions was approximately $157.7 million.</w:t>
      </w:r>
    </w:p>
    <w:p>
      <w:pPr>
        <w:spacing w:after="0" w:line="172"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total unrecognized stock-based compensation related to unvested RSUs is $161.6 million and this will vest over a weighted average period of 2.48 years.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360"/>
          </w:cols>
          <w:pgMar w:left="1440" w:top="941" w:right="1440" w:bottom="348"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15. STOCK INCENTIVE PLANS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Awards Activity</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In connection with the SYNQ3 Acquisition, a total of 2,033,156 unvested restricted Class A Common Stock shares (“RSAs”) were issued, 25% of which are subject to service conditions that vest at the end of each of the upcoming three fiscal years in three tranches, and 75% of which is subject to both service and performance-based vesting conditions in three tranches. As of December 31, 2025, 465,349 RSAs were vested and 508,289 RSAs were forfeited as a result of the targets not met or not probable of being met.</w:t>
      </w:r>
    </w:p>
    <w:p>
      <w:pPr>
        <w:spacing w:after="0" w:line="172"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9"/>
          <w:szCs w:val="19"/>
          <w:color w:val="auto"/>
        </w:rPr>
        <w:t>The performance level for each of the fiscal years 2024, 2025 and 2026 is based on tiered annual revenue targets, subject to a floor of $9.0 million, $21.0 million and $30.0 million, respectively, with vesting ranging from 50% to 100% of the RSAs granted depending on the level of achievement of the specified revenue target in each year.</w:t>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Company assesses the probability of vesting of the above performance-based awards every reporting period.</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the 2024 performance target was not met, but the 2025 performance target was met.</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assessed the 2026 performance target as probable of being met.</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activity for unvested Restricted Stock Awards was as follows for the year ended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6540" w:type="dxa"/>
            <w:vAlign w:val="bottom"/>
          </w:tcPr>
          <w:p>
            <w:pPr>
              <w:spacing w:after="0"/>
              <w:rPr>
                <w:sz w:val="17"/>
                <w:szCs w:val="17"/>
                <w:color w:val="auto"/>
              </w:rPr>
            </w:pPr>
          </w:p>
        </w:tc>
        <w:tc>
          <w:tcPr>
            <w:tcW w:w="1440" w:type="dxa"/>
            <w:vAlign w:val="bottom"/>
            <w:gridSpan w:val="2"/>
          </w:tcPr>
          <w:p>
            <w:pPr>
              <w:jc w:val="right"/>
              <w:ind w:right="40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0"/>
        </w:trPr>
        <w:tc>
          <w:tcPr>
            <w:tcW w:w="6540" w:type="dxa"/>
            <w:vAlign w:val="bottom"/>
          </w:tcPr>
          <w:p>
            <w:pPr>
              <w:spacing w:after="0"/>
              <w:rPr>
                <w:sz w:val="18"/>
                <w:szCs w:val="18"/>
                <w:color w:val="auto"/>
              </w:rPr>
            </w:pPr>
          </w:p>
        </w:tc>
        <w:tc>
          <w:tcPr>
            <w:tcW w:w="126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5"/>
              </w:rPr>
              <w:t>Date Fair Value</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December 31, 2023 . . . . . . . . . . . . . . . . . . . . . . . . . . . . . . . . . . . . . . .</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2,033,156</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(169,430)</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spacing w:after="0"/>
              <w:rPr>
                <w:sz w:val="22"/>
                <w:szCs w:val="22"/>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December 31, 2024 . . . . . . . . . . . . . . . . . . . . . . . . . . . . . . . .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1,863,726</w:t>
            </w:r>
          </w:p>
        </w:tc>
        <w:tc>
          <w:tcPr>
            <w:tcW w:w="18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spacing w:after="0"/>
              <w:rPr>
                <w:sz w:val="22"/>
                <w:szCs w:val="22"/>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(295,919)</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(508,289)</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December 31, 2025 . . . . . . . . . . . . . . . . . . . . . . . . . . . . . . .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1,059,518</w:t>
            </w:r>
          </w:p>
        </w:tc>
        <w:tc>
          <w:tcPr>
            <w:tcW w:w="1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w:t>
            </w:r>
          </w:p>
        </w:tc>
      </w:tr>
      <w:tr>
        <w:trPr>
          <w:trHeight w:val="20"/>
        </w:trPr>
        <w:tc>
          <w:tcPr>
            <w:tcW w:w="6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The Company recorded stock-based compensation expense of $5.7 million and $0.8 million related to RSAs during the years ended December 31, 2025 and 2024, respectively.</w:t>
      </w:r>
    </w:p>
    <w:p>
      <w:pPr>
        <w:spacing w:after="0" w:line="174"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As of December 31, 2025, the total unrecognized stock-based compensation expense related to the unvested RSAs subject to service-based vesting condition and unvested RSAs subject to performance-based vesting condition was approximately $0.1 million and $0.3 million, respectively, over a weighted average period of 1.00 years. Refer to Note 3 for further information on the SYNQ3 Acquisition.</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ESPP Activity</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For the purpose of determining the estimated fair value of ESPP shares, the Company uses the Black-Scholes option-pricing model. The assumptions under the Black-Scholes option-pricing model during the years ended December 31, 2025, 2024, and 2023 were as follows for ESPP awards: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00"/>
        </w:trPr>
        <w:tc>
          <w:tcPr>
            <w:tcW w:w="5100" w:type="dxa"/>
            <w:vAlign w:val="bottom"/>
          </w:tcPr>
          <w:p>
            <w:pPr>
              <w:spacing w:after="0"/>
              <w:rPr>
                <w:sz w:val="17"/>
                <w:szCs w:val="17"/>
                <w:color w:val="auto"/>
              </w:rPr>
            </w:pPr>
          </w:p>
        </w:tc>
        <w:tc>
          <w:tcPr>
            <w:tcW w:w="144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jc w:val="center"/>
              <w:ind w:right="12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510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8"/>
                <w:szCs w:val="18"/>
                <w:color w:val="auto"/>
              </w:rPr>
            </w:pPr>
          </w:p>
        </w:tc>
      </w:tr>
      <w:tr>
        <w:trPr>
          <w:trHeight w:val="247"/>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96%</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(years)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0.50</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0.50</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0.49</w:t>
            </w:r>
          </w:p>
        </w:tc>
        <w:tc>
          <w:tcPr>
            <w:tcW w:w="12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Risk free interest rate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3.74%</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5.26%</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360"/>
          </w:cols>
          <w:pgMar w:left="1440" w:top="941" w:right="1440" w:bottom="348"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15. STOCK INCENTIVE PLANS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recorded $1.4 million, $0.5 million and $0.4 million of stock-based compensation related to its ESPP. There was $0.6 million of unrecognized stock-based compensation expense for the year ended December 31, 2025, related to the ESPP that is expected to be recognized over an average vesting period of 0.36 years.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Equity Award Modifications</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In connection with the Restructuring Plan (as defined in Note 11), the Company entered into severance arrangements with 166 affected employees. Pursuant to these arrangements, these employees received acceleration of vesting of RSUs and extensions of the post-termination exercise period of stock option awards. All award modifications related to restructuring activities were expensed in the year ended December 31, 2023. The total incremental compensation cost resulting from these modifications is $3.2 million. There were no significant modifications during the years ended December 31, 2025 and 2024.</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u w:val="single" w:color="auto"/>
          <w:color w:val="auto"/>
        </w:rPr>
        <w:t>Stock-Based Compensation</w:t>
      </w:r>
    </w:p>
    <w:p>
      <w:pPr>
        <w:spacing w:after="0" w:line="17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Stock-based compensation is classified in the following expense accounts on the consolidated statements of operations and comprehensive loss for the years ended December 31, 2025, 2024 and 2023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Cost of revenues . . . . . . . . . . . . . . . . . . . . . . . . . . . . . . . . . . . .</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8,899</w:t>
            </w:r>
          </w:p>
        </w:tc>
        <w:tc>
          <w:tcPr>
            <w:tcW w:w="12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w:t>
            </w:r>
          </w:p>
        </w:tc>
      </w:tr>
      <w:tr>
        <w:trPr>
          <w:trHeight w:val="24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Sales and marketing . . . . . . . . . . . . . . . . . . . . . . . . . . . . . . . .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4,818</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3,601</w:t>
            </w:r>
          </w:p>
        </w:tc>
      </w:tr>
      <w:tr>
        <w:trPr>
          <w:trHeight w:val="24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Research and development . . . . . . . . . . . . . . . . . . . . . . . . . . .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35,270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16,203</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11,992</w:t>
            </w:r>
          </w:p>
        </w:tc>
      </w:tr>
      <w:tr>
        <w:trPr>
          <w:trHeight w:val="24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General and administrative . . . . . . . . . . . . . . . . . . . . . . . . . . .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22,892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8,784</w:t>
            </w:r>
          </w:p>
        </w:tc>
      </w:tr>
      <w:tr>
        <w:trPr>
          <w:trHeight w:val="24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Restructuring costs . . . . . . . . . . . . . . . . . . . . . . . . . . . . . . . . .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3,142</w:t>
            </w:r>
          </w:p>
        </w:tc>
      </w:tr>
      <w:tr>
        <w:trPr>
          <w:trHeight w:val="245"/>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Less: Capitalized software development costs . . . . . . . . . .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(2,431)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4"/>
        </w:trPr>
        <w:tc>
          <w:tcPr>
            <w:tcW w:w="5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Total . . . . . . . . . . . . . . . . . . . . . . . . . . . . . . . . . . . . . . . . .</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80,620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33,145</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27,931</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LEASES</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leases certain facilities under non-cancelable operating leases that expire at various dates through 2030.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69"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Aggregate non-cancelable future minimum lease payments under operating and finance leases were as follows as of December 31, 2025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09"/>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line="201" w:lineRule="exact"/>
              <w:rPr>
                <w:sz w:val="20"/>
                <w:szCs w:val="20"/>
                <w:color w:val="auto"/>
              </w:rPr>
            </w:pPr>
            <w:r>
              <w:rPr>
                <w:rFonts w:ascii="Times New Roman" w:cs="Times New Roman" w:eastAsia="Times New Roman" w:hAnsi="Times New Roman"/>
                <w:sz w:val="18"/>
                <w:szCs w:val="18"/>
                <w:b w:val="1"/>
                <w:bCs w:val="1"/>
                <w:color w:val="auto"/>
              </w:rPr>
              <w:t>Lease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80"/>
              <w:spacing w:after="0" w:line="201" w:lineRule="exact"/>
              <w:rPr>
                <w:sz w:val="20"/>
                <w:szCs w:val="20"/>
                <w:color w:val="auto"/>
              </w:rPr>
            </w:pPr>
            <w:r>
              <w:rPr>
                <w:rFonts w:ascii="Times New Roman" w:cs="Times New Roman" w:eastAsia="Times New Roman" w:hAnsi="Times New Roman"/>
                <w:sz w:val="18"/>
                <w:szCs w:val="18"/>
                <w:b w:val="1"/>
                <w:bCs w:val="1"/>
                <w:color w:val="auto"/>
              </w:rPr>
              <w:t>Lease</w:t>
            </w:r>
          </w:p>
        </w:tc>
      </w:tr>
      <w:tr>
        <w:trPr>
          <w:trHeight w:val="240"/>
        </w:trPr>
        <w:tc>
          <w:tcPr>
            <w:tcW w:w="6440" w:type="dxa"/>
            <w:vAlign w:val="bottom"/>
          </w:tcPr>
          <w:p>
            <w:pPr>
              <w:jc w:val="right"/>
              <w:ind w:right="4180"/>
              <w:spacing w:after="0"/>
              <w:rPr>
                <w:sz w:val="20"/>
                <w:szCs w:val="20"/>
                <w:color w:val="auto"/>
              </w:rPr>
            </w:pPr>
            <w:r>
              <w:rPr>
                <w:rFonts w:ascii="Times New Roman" w:cs="Times New Roman" w:eastAsia="Times New Roman" w:hAnsi="Times New Roman"/>
                <w:sz w:val="20"/>
                <w:szCs w:val="20"/>
                <w:color w:val="auto"/>
                <w:w w:val="97"/>
              </w:rPr>
              <w:t>Year Ending December 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2,037</w:t>
            </w:r>
          </w:p>
        </w:tc>
        <w:tc>
          <w:tcPr>
            <w:tcW w:w="120" w:type="dxa"/>
            <w:vAlign w:val="bottom"/>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Pr>
          <w:p>
            <w:pPr>
              <w:spacing w:after="0"/>
              <w:rPr>
                <w:sz w:val="21"/>
                <w:szCs w:val="21"/>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2030. . . . . . . . . . . . . . . . . . . . . . . . . . . . . . . . . . . . . . . . . . . . . . . . . . . . . . . . . .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Thereafter . . . . . . . . . . . . . . . . . . . . . . . . . . . . . . . . . . . . . . . . . . . . . . . . . . . . . .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Total . . . . . . . . . . . . . . . . . . . . . . . . . . . . . . . . . . . . . . . . . . . . . . . . . . . . . . . . .</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4,249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536</w:t>
            </w:r>
          </w:p>
        </w:tc>
        <w:tc>
          <w:tcPr>
            <w:tcW w:w="60" w:type="dxa"/>
            <w:vAlign w:val="bottom"/>
          </w:tcPr>
          <w:p>
            <w:pPr>
              <w:spacing w:after="0"/>
              <w:rPr>
                <w:sz w:val="19"/>
                <w:szCs w:val="19"/>
                <w:color w:val="auto"/>
              </w:rPr>
            </w:pPr>
          </w:p>
        </w:tc>
      </w:tr>
      <w:tr>
        <w:trPr>
          <w:trHeight w:val="24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imputed interest . . . . . . . . . . . . . . . . . . . . . . . . . . . . . . . . . . . . . . . . . . . . .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(386)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Present value of lease liabilities . . . . . . . . . . . . . . . . . . . . . . . . . . . . . . . . . . . .</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3,863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478</w:t>
            </w:r>
          </w:p>
        </w:tc>
        <w:tc>
          <w:tcPr>
            <w:tcW w:w="60" w:type="dxa"/>
            <w:vAlign w:val="bottom"/>
          </w:tcPr>
          <w:p>
            <w:pPr>
              <w:spacing w:after="0"/>
              <w:rPr>
                <w:sz w:val="19"/>
                <w:szCs w:val="19"/>
                <w:color w:val="auto"/>
              </w:rPr>
            </w:pPr>
          </w:p>
        </w:tc>
      </w:tr>
      <w:tr>
        <w:trPr>
          <w:trHeight w:val="244"/>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(1,812)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(332)</w:t>
            </w:r>
          </w:p>
        </w:tc>
      </w:tr>
      <w:tr>
        <w:trPr>
          <w:trHeight w:val="24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Add: immaterial difference . . . . . . . . . . . . . . . . . . . . . . . . . . . . . . . . . . . . . . . . . .</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24"/>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Lease liabilities, net of current portion . . . . . . . . . . . . . . . . . . . . . . . . . . . . . . .</w:t>
            </w:r>
          </w:p>
        </w:tc>
        <w:tc>
          <w:tcPr>
            <w:tcW w:w="2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2,069</w:t>
            </w:r>
          </w:p>
        </w:tc>
        <w:tc>
          <w:tcPr>
            <w:tcW w:w="120" w:type="dxa"/>
            <w:vAlign w:val="bottom"/>
          </w:tcPr>
          <w:p>
            <w:pPr>
              <w:spacing w:after="0"/>
              <w:rPr>
                <w:sz w:val="19"/>
                <w:szCs w:val="19"/>
                <w:color w:val="auto"/>
              </w:rPr>
            </w:pPr>
          </w:p>
        </w:tc>
        <w:tc>
          <w:tcPr>
            <w:tcW w:w="28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146</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360"/>
          </w:cols>
          <w:pgMar w:left="1440" w:top="941" w:right="1440" w:bottom="348"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16. 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20"/>
          <w:szCs w:val="20"/>
          <w:color w:val="auto"/>
        </w:rPr>
        <w:t>The components of lease cost were as follows during the years ended December 31, 2025, 2024 and 2023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 . . . . . . . . . . . . . . . . . . . . . . . . . . . . . . . . .</w:t>
            </w: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2,703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2,628</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3,177</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 . . . . . . . . . . . . . . . . . . . . . . . . . . . . . . . . .</w:t>
            </w: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1,298</w:t>
            </w:r>
          </w:p>
        </w:tc>
      </w:tr>
      <w:tr>
        <w:trPr>
          <w:trHeight w:val="400"/>
        </w:trPr>
        <w:tc>
          <w:tcPr>
            <w:tcW w:w="5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Finance lease cost:</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finance leased assets . . . . . . . . . . . . . . . . . . .</w:t>
            </w: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Interest on lease liabilities . . . . . . . . . . . . . . . . . . . . . . . . . . . . .</w:t>
            </w: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bl>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table below presents additional information related to our leases as of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6540" w:type="dxa"/>
            <w:vAlign w:val="bottom"/>
          </w:tcPr>
          <w:p>
            <w:pPr>
              <w:spacing w:after="0"/>
              <w:rPr>
                <w:sz w:val="18"/>
                <w:szCs w:val="18"/>
                <w:color w:val="auto"/>
              </w:rPr>
            </w:pPr>
          </w:p>
        </w:tc>
        <w:tc>
          <w:tcPr>
            <w:tcW w:w="1440" w:type="dxa"/>
            <w:vAlign w:val="bottom"/>
            <w:gridSpan w:val="2"/>
          </w:tcPr>
          <w:p>
            <w:pPr>
              <w:jc w:val="right"/>
              <w:ind w:right="600"/>
              <w:spacing w:after="0" w:line="201" w:lineRule="exact"/>
              <w:rPr>
                <w:sz w:val="20"/>
                <w:szCs w:val="20"/>
                <w:color w:val="auto"/>
              </w:rPr>
            </w:pPr>
            <w:r>
              <w:rPr>
                <w:rFonts w:ascii="Times New Roman" w:cs="Times New Roman" w:eastAsia="Times New Roman" w:hAnsi="Times New Roman"/>
                <w:sz w:val="18"/>
                <w:szCs w:val="18"/>
                <w:b w:val="1"/>
                <w:bCs w:val="1"/>
                <w:color w:val="auto"/>
              </w:rPr>
              <w:t>Lease</w:t>
            </w:r>
          </w:p>
        </w:tc>
        <w:tc>
          <w:tcPr>
            <w:tcW w:w="138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Finance Lease</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remaining lease term (years) . . . . . . . . . . . . . . . . . . .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180" w:type="dxa"/>
            <w:vAlign w:val="bottom"/>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0.92</w:t>
            </w:r>
          </w:p>
        </w:tc>
        <w:tc>
          <w:tcPr>
            <w:tcW w:w="120" w:type="dxa"/>
            <w:vAlign w:val="bottom"/>
          </w:tcPr>
          <w:p>
            <w:pPr>
              <w:spacing w:after="0"/>
              <w:rPr>
                <w:sz w:val="21"/>
                <w:szCs w:val="2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 .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14.00%</w:t>
            </w:r>
          </w:p>
        </w:tc>
      </w:tr>
    </w:tbl>
    <w:p>
      <w:pPr>
        <w:spacing w:after="0" w:line="157"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20"/>
          <w:szCs w:val="20"/>
          <w:color w:val="auto"/>
        </w:rPr>
        <w:t>The Company’s rent expense totaled approximately $4.0 million, $4.5 million and $5.3 million during the years ended December 31, 2025, 2024 and 2023,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OTHER INCOME, NET</w:t>
      </w:r>
    </w:p>
    <w:p>
      <w:pPr>
        <w:spacing w:after="0" w:line="177"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20"/>
          <w:szCs w:val="20"/>
          <w:color w:val="auto"/>
        </w:rPr>
        <w:t>Other income, net on the consolidated statements of operations and comprehensive loss is comprised of the following for the years ended December 31, 2025, 2024 and 2023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7"/>
                <w:szCs w:val="17"/>
                <w:color w:val="auto"/>
              </w:rPr>
            </w:pPr>
          </w:p>
        </w:tc>
      </w:tr>
      <w:tr>
        <w:trPr>
          <w:trHeight w:val="240"/>
        </w:trPr>
        <w:tc>
          <w:tcPr>
            <w:tcW w:w="5020" w:type="dxa"/>
            <w:vAlign w:val="bottom"/>
          </w:tcPr>
          <w:p>
            <w:pPr>
              <w:jc w:val="right"/>
              <w:ind w:right="3420"/>
              <w:spacing w:after="0"/>
              <w:rPr>
                <w:sz w:val="20"/>
                <w:szCs w:val="20"/>
                <w:color w:val="auto"/>
              </w:rPr>
            </w:pPr>
            <w:r>
              <w:rPr>
                <w:rFonts w:ascii="Times New Roman" w:cs="Times New Roman" w:eastAsia="Times New Roman" w:hAnsi="Times New Roman"/>
                <w:sz w:val="20"/>
                <w:szCs w:val="20"/>
                <w:color w:val="auto"/>
                <w:w w:val="99"/>
              </w:rPr>
              <w:t>Other income, net: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income . . . . . . . . . . . . . . . . . . . . . . . . . . . . . . . . . . .</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9,799</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8,370</w:t>
            </w:r>
          </w:p>
        </w:tc>
        <w:tc>
          <w:tcPr>
            <w:tcW w:w="120" w:type="dxa"/>
            <w:vAlign w:val="bottom"/>
          </w:tcPr>
          <w:p>
            <w:pPr>
              <w:spacing w:after="0"/>
              <w:rPr>
                <w:sz w:val="21"/>
                <w:szCs w:val="21"/>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2,866</w:t>
            </w:r>
          </w:p>
        </w:tc>
        <w:tc>
          <w:tcPr>
            <w:tcW w:w="60" w:type="dxa"/>
            <w:vAlign w:val="bottom"/>
          </w:tcPr>
          <w:p>
            <w:pPr>
              <w:spacing w:after="0"/>
              <w:rPr>
                <w:sz w:val="21"/>
                <w:szCs w:val="21"/>
                <w:color w:val="auto"/>
              </w:rPr>
            </w:pPr>
          </w:p>
        </w:tc>
      </w:tr>
      <w:tr>
        <w:trPr>
          <w:trHeight w:val="24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derivative . . . . . . . . . . . . . . . . . . . .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change in fair value of ELOC program . . . . . . . . .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(1,901)</w:t>
            </w:r>
          </w:p>
        </w:tc>
      </w:tr>
      <w:tr>
        <w:trPr>
          <w:trHeight w:val="24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bargain purchase . . . . . . . . . . . . . . . . . . . . . . . . . .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income (expense), net . . . . . . . . . . . . . . . . . . . . . . . .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(371)</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60" w:type="dxa"/>
            <w:vAlign w:val="bottom"/>
          </w:tcPr>
          <w:p>
            <w:pPr>
              <w:spacing w:after="0"/>
              <w:rPr>
                <w:sz w:val="21"/>
                <w:szCs w:val="21"/>
                <w:color w:val="auto"/>
              </w:rPr>
            </w:pPr>
          </w:p>
        </w:tc>
      </w:tr>
      <w:tr>
        <w:trPr>
          <w:trHeight w:val="224"/>
        </w:trPr>
        <w:tc>
          <w:tcPr>
            <w:tcW w:w="5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Total other income, net . . . . . . . . . . . . . . . . . . . . . . . . . . .</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14,668</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9,222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1,155</w:t>
            </w:r>
          </w:p>
        </w:tc>
        <w:tc>
          <w:tcPr>
            <w:tcW w:w="6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NET LOSS PER SHARE</w:t>
      </w:r>
    </w:p>
    <w:p>
      <w:pPr>
        <w:spacing w:after="0" w:line="177"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calculation of basic and diluted net loss per share attributable to common stockholders for the years ended December 31, 2025, 2024 and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7"/>
                <w:szCs w:val="17"/>
                <w:color w:val="auto"/>
              </w:rPr>
            </w:pPr>
          </w:p>
        </w:tc>
      </w:tr>
      <w:tr>
        <w:trPr>
          <w:trHeight w:val="240"/>
        </w:trPr>
        <w:tc>
          <w:tcPr>
            <w:tcW w:w="5020" w:type="dxa"/>
            <w:vAlign w:val="bottom"/>
          </w:tcPr>
          <w:p>
            <w:pPr>
              <w:jc w:val="right"/>
              <w:ind w:right="4000"/>
              <w:spacing w:after="0"/>
              <w:rPr>
                <w:sz w:val="20"/>
                <w:szCs w:val="20"/>
                <w:color w:val="auto"/>
              </w:rPr>
            </w:pPr>
            <w:r>
              <w:rPr>
                <w:rFonts w:ascii="Times New Roman" w:cs="Times New Roman" w:eastAsia="Times New Roman" w:hAnsi="Times New Roman"/>
                <w:sz w:val="20"/>
                <w:szCs w:val="20"/>
                <w:color w:val="auto"/>
                <w:w w:val="97"/>
              </w:rPr>
              <w:t>Numerator:</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loss . . . . . . . . .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(14,006)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(350,681)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(88,937)</w:t>
            </w:r>
          </w:p>
        </w:tc>
      </w:tr>
      <w:tr>
        <w:trPr>
          <w:trHeight w:val="241"/>
        </w:trPr>
        <w:tc>
          <w:tcPr>
            <w:tcW w:w="50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Cumulative dividends attributable to Series A Preferred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4"/>
        </w:trPr>
        <w:tc>
          <w:tcPr>
            <w:tcW w:w="5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Stock . . . . . . . . . . . . . . . . . . . . . . . . . . . . . . . . . . . . . . . .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(416)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(2,774)</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Net loss attributable to common stockholders – basic . . . . . . .</w:t>
            </w:r>
          </w:p>
        </w:tc>
        <w:tc>
          <w:tcPr>
            <w:tcW w:w="3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(14,006)</w:t>
            </w:r>
          </w:p>
        </w:tc>
        <w:tc>
          <w:tcPr>
            <w:tcW w:w="3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(351,097)</w:t>
            </w:r>
          </w:p>
        </w:tc>
        <w:tc>
          <w:tcPr>
            <w:tcW w:w="38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(91,711)</w:t>
            </w:r>
          </w:p>
        </w:tc>
      </w:tr>
      <w:tr>
        <w:trPr>
          <w:trHeight w:val="38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loss . . . . . . . . . . . . . . . . . . . . . . . . . . . . . . . . . . . . . . . . . . .</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(14,006)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(350,681)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(88,937)</w:t>
            </w:r>
          </w:p>
        </w:tc>
      </w:tr>
      <w:tr>
        <w:trPr>
          <w:trHeight w:val="244"/>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Effect of potentially dilutive equivalent shares to net loss .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(99,512)</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50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Cumulative dividends attributable to Series A Preferred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4"/>
        </w:trPr>
        <w:tc>
          <w:tcPr>
            <w:tcW w:w="5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Stock . . . . . . . . . . . . . . . . . . . . . . . . . . . . . . . . . . . . . . . .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(416)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(2,774)</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98"/>
              </w:rPr>
              <w:t>Net loss attributable to common stockholders – diluted . . . . . .</w:t>
            </w:r>
          </w:p>
        </w:tc>
        <w:tc>
          <w:tcPr>
            <w:tcW w:w="3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(113,518)</w:t>
            </w:r>
          </w:p>
        </w:tc>
        <w:tc>
          <w:tcPr>
            <w:tcW w:w="3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(351,097)</w:t>
            </w:r>
          </w:p>
        </w:tc>
        <w:tc>
          <w:tcPr>
            <w:tcW w:w="38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(91,711)</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360"/>
          </w:cols>
          <w:pgMar w:left="1440" w:top="941" w:right="1440" w:bottom="348"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18. NET LOSS PER SHARE </w:t>
      </w:r>
      <w:r>
        <w:rPr>
          <w:rFonts w:ascii="Times New Roman" w:cs="Times New Roman" w:eastAsia="Times New Roman" w:hAnsi="Times New Roman"/>
          <w:sz w:val="20"/>
          <w:szCs w:val="20"/>
          <w:color w:val="auto"/>
        </w:rPr>
        <w:t>(cont.)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7"/>
                <w:szCs w:val="17"/>
                <w:color w:val="auto"/>
              </w:rPr>
            </w:pPr>
          </w:p>
        </w:tc>
      </w:tr>
      <w:tr>
        <w:trPr>
          <w:trHeight w:val="248"/>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Denominator:</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shares outstanding – basic . . . . . . . . . . . . .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405,421,412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338,462,574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229,264,904</w:t>
            </w:r>
          </w:p>
        </w:tc>
        <w:tc>
          <w:tcPr>
            <w:tcW w:w="60" w:type="dxa"/>
            <w:vAlign w:val="bottom"/>
          </w:tcPr>
          <w:p>
            <w:pPr>
              <w:spacing w:after="0"/>
              <w:rPr>
                <w:sz w:val="22"/>
                <w:szCs w:val="22"/>
                <w:color w:val="auto"/>
              </w:rPr>
            </w:pPr>
          </w:p>
        </w:tc>
      </w:tr>
      <w:tr>
        <w:trPr>
          <w:trHeight w:val="261"/>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w w:val="99"/>
              </w:rPr>
              <w:t>Effect of potentially dilutive equivalent shares . . . . . . . . . . . .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4,034,930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shares outstanding – diluted . . . . . . . . . . . .</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409,456,342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338,462,574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229,264,904</w:t>
            </w:r>
          </w:p>
        </w:tc>
        <w:tc>
          <w:tcPr>
            <w:tcW w:w="60" w:type="dxa"/>
            <w:vAlign w:val="bottom"/>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9"/>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Basic net loss per share . . . . . . . . . . . . . . . . . . . . . . . . . . . . . .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(1.04)</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(0.40)</w:t>
            </w:r>
          </w:p>
        </w:tc>
      </w:tr>
      <w:tr>
        <w:trPr>
          <w:trHeight w:val="26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Diluted net loss per share . . . . . . . . . . . . . . . . . . . . . . . . . . . .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(0.28)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(1.04)</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(0.40)</w:t>
            </w:r>
          </w:p>
        </w:tc>
      </w:tr>
    </w:tbl>
    <w:p>
      <w:pPr>
        <w:spacing w:after="0" w:line="157" w:lineRule="exact"/>
        <w:rPr>
          <w:sz w:val="20"/>
          <w:szCs w:val="20"/>
          <w:color w:val="auto"/>
        </w:rPr>
      </w:pPr>
    </w:p>
    <w:p>
      <w:pPr>
        <w:jc w:val="both"/>
        <w:ind w:left="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2024 and 2023, the diluted net loss per share is equal to the basic earnings per share as the effect of potentially dilutive securities would have been antidilutive.</w:t>
      </w:r>
    </w:p>
    <w:p>
      <w:pPr>
        <w:spacing w:after="0" w:line="174"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outstanding shares of potentially dilutive securities that were excluded from the calculation of diluted earnings per share because their inclusion would have been anti-dilutive for the years ended December 31, 2025,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316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08"/>
        </w:trPr>
        <w:tc>
          <w:tcPr>
            <w:tcW w:w="510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Stock-based awards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20,336,025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24,918,197</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33,484,074</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Unvested restricted share awards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551,229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338,859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Common stock warrants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3,654,115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3,663,955</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6,967,532</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Contingently issuable shares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119,096</w:t>
            </w:r>
          </w:p>
        </w:tc>
        <w:tc>
          <w:tcPr>
            <w:tcW w:w="180" w:type="dxa"/>
            <w:vAlign w:val="bottom"/>
          </w:tcPr>
          <w:p>
            <w:pPr>
              <w:spacing w:after="0"/>
              <w:rPr>
                <w:sz w:val="22"/>
                <w:szCs w:val="22"/>
                <w:color w:val="auto"/>
              </w:rPr>
            </w:pP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Series A Preferred Stock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16,226,645</w:t>
            </w: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24,660,465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28,921,011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56,678,251</w:t>
            </w:r>
          </w:p>
        </w:tc>
      </w:tr>
      <w:tr>
        <w:trPr>
          <w:trHeight w:val="20"/>
        </w:trPr>
        <w:tc>
          <w:tcPr>
            <w:tcW w:w="5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64" w:lineRule="auto"/>
        <w:rPr>
          <w:sz w:val="20"/>
          <w:szCs w:val="20"/>
          <w:color w:val="auto"/>
        </w:rPr>
      </w:pPr>
      <w:r>
        <w:rPr>
          <w:rFonts w:ascii="Times New Roman" w:cs="Times New Roman" w:eastAsia="Times New Roman" w:hAnsi="Times New Roman"/>
          <w:sz w:val="19"/>
          <w:szCs w:val="19"/>
          <w:color w:val="auto"/>
        </w:rPr>
        <w:t>The table above does not include: (i) 1,755,078, 4,342,570, and zero shares of unvested stock-based awards and restricted stock awards, respectively, and (ii) 6,085,802, 18,257,365 and zero shares of contingently issuable earnout shares, respectively; outstanding as of December 31, 2025, 2024 and 2023, as these awards are subject to performance conditions that were not met as of those dates. The table also excludes 274,191 and zero shares associated with the Contingent SYNQ3 Holdback Consideration in connection with the SYNQ3 Acquisition, respectively, as these shares are subject to contingencies that were not met as of December 31, 2024 and 2023.</w:t>
      </w:r>
    </w:p>
    <w:p>
      <w:pPr>
        <w:spacing w:after="0" w:line="158"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shares issued and held in escrow for the Amelia Acquisition are participating securities that contractually entitle the holders of such shares to participate in the combined entity’s earnings but do not contractually require the holders of such shares to participate in the combined entity’s losses. The weighted average shares outstanding used to calculate basic net loss per share attributable to common stockholders for the years ended December 31, 2025 and 2024 excludes the 1,918,969 and 2,149,530 shares, respectively, of the Company’s Class A Common Stock held in escrow as they are considered contingently returnable shares until the indemnifications subject to escrow have been resolved.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INCOME TAXES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is a geographical breakdown of income (loss) before income taxes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45"/>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Domestic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(15,244)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(363,347)</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(86,724)</w:t>
            </w:r>
          </w:p>
        </w:tc>
      </w:tr>
      <w:tr>
        <w:trPr>
          <w:trHeight w:val="261"/>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Foreign . . . .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1,701</w:t>
            </w:r>
          </w:p>
        </w:tc>
        <w:tc>
          <w:tcPr>
            <w:tcW w:w="60" w:type="dxa"/>
            <w:vAlign w:val="bottom"/>
          </w:tcPr>
          <w:p>
            <w:pPr>
              <w:spacing w:after="0"/>
              <w:rPr>
                <w:sz w:val="22"/>
                <w:szCs w:val="22"/>
                <w:color w:val="auto"/>
              </w:rPr>
            </w:pPr>
          </w:p>
        </w:tc>
      </w:tr>
      <w:tr>
        <w:trPr>
          <w:trHeight w:val="240"/>
        </w:trPr>
        <w:tc>
          <w:tcPr>
            <w:tcW w:w="510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(9,274)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(359,928)</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(85,023)</w:t>
            </w: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360"/>
          </w:cols>
          <w:pgMar w:left="1440" w:top="941" w:right="1440" w:bottom="348"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19. INCOME TAXES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provision (benefit) for income taxes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10"/>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5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Current provision:</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Federal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State. . . . . . . . . . . . . . . . . . . . . . . . . . . . . . . . . . . . . . . . . . . .</w:t>
            </w:r>
          </w:p>
        </w:tc>
        <w:tc>
          <w:tcPr>
            <w:tcW w:w="280" w:type="dxa"/>
            <w:vAlign w:val="bottom"/>
          </w:tcPr>
          <w:p>
            <w:pPr>
              <w:spacing w:after="0"/>
              <w:rPr>
                <w:sz w:val="22"/>
                <w:szCs w:val="22"/>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Foreign . . . . . . . . . . . . . . . . . . . . . . . . . . . . . . . . . . . . . . . . .</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2,934</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9"/>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current provision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Deferred provision:</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Federal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(10,492)</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State. . . . . . . . . . . . . . . . . . . . . . . . . . . . . . . . . . . . . . . . . . . .</w:t>
            </w:r>
          </w:p>
        </w:tc>
        <w:tc>
          <w:tcPr>
            <w:tcW w:w="280" w:type="dxa"/>
            <w:vAlign w:val="bottom"/>
          </w:tcPr>
          <w:p>
            <w:pPr>
              <w:spacing w:after="0"/>
              <w:rPr>
                <w:sz w:val="22"/>
                <w:szCs w:val="22"/>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(1,701)</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Foreign . . . . . . . . . . . . . . . . . . . . . . . . . . . . . . . . . . . . . . . . .</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deferred provision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(12,183)</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Total provision (benefit) for income taxes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(9,247)</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0"/>
        </w:trPr>
        <w:tc>
          <w:tcPr>
            <w:tcW w:w="5100" w:type="dxa"/>
            <w:vAlign w:val="bottom"/>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w w:val="99"/>
              </w:rPr>
              <w:t>Effective tax rate . . . . . . . . . . . . . . . . . . . . . . . . . . . . . . . . . . . .</w:t>
            </w:r>
          </w:p>
        </w:tc>
        <w:tc>
          <w:tcPr>
            <w:tcW w:w="280" w:type="dxa"/>
            <w:vAlign w:val="bottom"/>
          </w:tcPr>
          <w:p>
            <w:pPr>
              <w:spacing w:after="0"/>
              <w:rPr>
                <w:sz w:val="17"/>
                <w:szCs w:val="17"/>
                <w:color w:val="auto"/>
              </w:rPr>
            </w:pPr>
          </w:p>
        </w:tc>
        <w:tc>
          <w:tcPr>
            <w:tcW w:w="1140" w:type="dxa"/>
            <w:vAlign w:val="bottom"/>
            <w:gridSpan w:val="3"/>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rPr>
              <w:t>(51.0)%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20"/>
                <w:szCs w:val="20"/>
                <w:color w:val="auto"/>
              </w:rPr>
              <w:t>(4.6)%</w:t>
            </w: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Company has incurred net pre-tax losses in the United States only for all periods presented. The Company recorded an income tax expense (benefit) of $4.7 million, $(9.2) million, and $3.9 million for the years ended December 31, 2025, 2024, and 2023, respectively. The 2024 tax benefit relates to tax benefits from acquisitions, partially offset by withholding tax paid for sales to customers in foreign jurisdictions and income tax related to foreign subsidiaries. The 2023 and 2025 tax expense relates to withholding tax paid for sales to customers in foreign jurisdictions and income tax related to foreign subsidiaries.</w:t>
      </w:r>
    </w:p>
    <w:p>
      <w:pPr>
        <w:spacing w:after="0" w:line="168"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The following table is a reconciliation of the U.S. federal statutory tax rate of 21% to the Company’s effective tax rate and the provision for (benefit from) income taxes for the years ended December 31, 2025, 2024, and 2023 after adoption of ASU 2023-09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3540" w:type="dxa"/>
            <w:vAlign w:val="bottom"/>
          </w:tcPr>
          <w:p>
            <w:pPr>
              <w:spacing w:after="0"/>
              <w:rPr>
                <w:sz w:val="18"/>
                <w:szCs w:val="18"/>
                <w:color w:val="auto"/>
              </w:rPr>
            </w:pPr>
          </w:p>
        </w:tc>
        <w:tc>
          <w:tcPr>
            <w:tcW w:w="1120" w:type="dxa"/>
            <w:vAlign w:val="bottom"/>
            <w:tcBorders>
              <w:bottom w:val="single" w:sz="8" w:color="auto"/>
            </w:tcBorders>
            <w:gridSpan w:val="3"/>
          </w:tcPr>
          <w:p>
            <w:pPr>
              <w:jc w:val="right"/>
              <w:ind w:right="40"/>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auto"/>
            </w:tcBorders>
            <w:gridSpan w:val="3"/>
          </w:tcPr>
          <w:p>
            <w:pPr>
              <w:jc w:val="right"/>
              <w:ind w:right="8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auto"/>
            </w:tcBorders>
            <w:gridSpan w:val="3"/>
          </w:tcPr>
          <w:p>
            <w:pPr>
              <w:jc w:val="right"/>
              <w:ind w:right="8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3540" w:type="dxa"/>
            <w:vAlign w:val="bottom"/>
          </w:tcPr>
          <w:p>
            <w:pPr>
              <w:spacing w:after="0"/>
              <w:rPr>
                <w:sz w:val="17"/>
                <w:szCs w:val="17"/>
                <w:color w:val="auto"/>
              </w:rPr>
            </w:pPr>
          </w:p>
        </w:tc>
        <w:tc>
          <w:tcPr>
            <w:tcW w:w="800" w:type="dxa"/>
            <w:vAlign w:val="bottom"/>
            <w:tcBorders>
              <w:bottom w:val="single" w:sz="8" w:color="auto"/>
            </w:tcBorders>
          </w:tcPr>
          <w:p>
            <w:pPr>
              <w:jc w:val="right"/>
              <w:ind w:right="10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1"/>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800" w:type="dxa"/>
            <w:vAlign w:val="bottom"/>
            <w:tcBorders>
              <w:bottom w:val="single" w:sz="8" w:color="auto"/>
            </w:tcBorders>
          </w:tcPr>
          <w:p>
            <w:pPr>
              <w:jc w:val="right"/>
              <w:ind w:right="10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1"/>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800" w:type="dxa"/>
            <w:vAlign w:val="bottom"/>
            <w:tcBorders>
              <w:bottom w:val="single" w:sz="8" w:color="auto"/>
            </w:tcBorders>
          </w:tcPr>
          <w:p>
            <w:pPr>
              <w:jc w:val="right"/>
              <w:ind w:right="10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1"/>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r>
      <w:tr>
        <w:trPr>
          <w:trHeight w:val="245"/>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Tax at the U.S. federal statutory rate . . . .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(1,948)</w:t>
            </w:r>
          </w:p>
        </w:tc>
        <w:tc>
          <w:tcPr>
            <w:tcW w:w="140" w:type="dxa"/>
            <w:vAlign w:val="bottom"/>
          </w:tcPr>
          <w:p>
            <w:pPr>
              <w:spacing w:after="0"/>
              <w:rPr>
                <w:sz w:val="21"/>
                <w:szCs w:val="21"/>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21.0%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(75,585)</w:t>
            </w:r>
          </w:p>
        </w:tc>
        <w:tc>
          <w:tcPr>
            <w:tcW w:w="1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21.0%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(17,855)</w:t>
            </w:r>
          </w:p>
        </w:tc>
        <w:tc>
          <w:tcPr>
            <w:tcW w:w="1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21.0%</w:t>
            </w:r>
          </w:p>
        </w:tc>
      </w:tr>
      <w:tr>
        <w:trPr>
          <w:trHeight w:val="257"/>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income taxes, net of</w:t>
            </w: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3"/>
        </w:trPr>
        <w:tc>
          <w:tcPr>
            <w:tcW w:w="35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federal income tax effects . . . . . . . . . . .</w:t>
            </w:r>
          </w:p>
        </w:tc>
        <w:tc>
          <w:tcPr>
            <w:tcW w:w="1120" w:type="dxa"/>
            <w:vAlign w:val="bottom"/>
            <w:gridSpan w:val="3"/>
          </w:tcPr>
          <w:p>
            <w:pPr>
              <w:jc w:val="right"/>
              <w:ind w:right="3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ind w:right="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6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South Korea</w:t>
            </w: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Withholding tax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1,851</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(0.5)%</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 . . . . . . . . . . . . . . . . . . . . . . .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w:t>
            </w:r>
          </w:p>
        </w:tc>
        <w:tc>
          <w:tcPr>
            <w:tcW w:w="140" w:type="dxa"/>
            <w:vAlign w:val="bottom"/>
          </w:tcPr>
          <w:p>
            <w:pPr>
              <w:spacing w:after="0"/>
              <w:rPr>
                <w:sz w:val="22"/>
                <w:szCs w:val="22"/>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w:t>
            </w:r>
          </w:p>
        </w:tc>
        <w:tc>
          <w:tcPr>
            <w:tcW w:w="18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w:t>
            </w:r>
          </w:p>
        </w:tc>
        <w:tc>
          <w:tcPr>
            <w:tcW w:w="18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China</w:t>
            </w: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(84)</w:t>
            </w:r>
          </w:p>
        </w:tc>
        <w:tc>
          <w:tcPr>
            <w:tcW w:w="18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Peru</w:t>
            </w: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Withholding tax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w:t>
            </w: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 . . . . . . . . . . . . . . . . . . . . . . .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(62)</w:t>
            </w:r>
          </w:p>
        </w:tc>
        <w:tc>
          <w:tcPr>
            <w:tcW w:w="140" w:type="dxa"/>
            <w:vAlign w:val="bottom"/>
          </w:tcPr>
          <w:p>
            <w:pPr>
              <w:spacing w:after="0"/>
              <w:rPr>
                <w:sz w:val="22"/>
                <w:szCs w:val="22"/>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0.7%</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w:t>
            </w:r>
          </w:p>
        </w:tc>
        <w:tc>
          <w:tcPr>
            <w:tcW w:w="18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Netherlands</w:t>
            </w: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Unrealized FX gain/loss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 . . . . . . . . . . . . . . . . . . . . . . .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(308)</w:t>
            </w:r>
          </w:p>
        </w:tc>
        <w:tc>
          <w:tcPr>
            <w:tcW w:w="140" w:type="dxa"/>
            <w:vAlign w:val="bottom"/>
          </w:tcPr>
          <w:p>
            <w:pPr>
              <w:spacing w:after="0"/>
              <w:rPr>
                <w:sz w:val="22"/>
                <w:szCs w:val="22"/>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3.3%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(24)</w:t>
            </w:r>
          </w:p>
        </w:tc>
        <w:tc>
          <w:tcPr>
            <w:tcW w:w="18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foreign jurisdictions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w:t>
            </w:r>
          </w:p>
        </w:tc>
        <w:tc>
          <w:tcPr>
            <w:tcW w:w="18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(108)</w:t>
            </w:r>
          </w:p>
        </w:tc>
        <w:tc>
          <w:tcPr>
            <w:tcW w:w="18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0.1%</w:t>
            </w:r>
          </w:p>
        </w:tc>
      </w:tr>
      <w:tr>
        <w:trPr>
          <w:trHeight w:val="26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Tax credits:</w:t>
            </w: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Research &amp; development tax credits . .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(4,061)</w:t>
            </w:r>
          </w:p>
        </w:tc>
        <w:tc>
          <w:tcPr>
            <w:tcW w:w="140" w:type="dxa"/>
            <w:vAlign w:val="bottom"/>
          </w:tcPr>
          <w:p>
            <w:pPr>
              <w:spacing w:after="0"/>
              <w:rPr>
                <w:sz w:val="22"/>
                <w:szCs w:val="22"/>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43.8%</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(4,881)</w:t>
            </w:r>
          </w:p>
        </w:tc>
        <w:tc>
          <w:tcPr>
            <w:tcW w:w="18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(2,302)</w:t>
            </w:r>
          </w:p>
        </w:tc>
        <w:tc>
          <w:tcPr>
            <w:tcW w:w="18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2.7%</w:t>
            </w: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Changes in valuation allowance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43,550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(469.6)%</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39,083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(10.9)%</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18,604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(21.9)%</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360"/>
          </w:cols>
          <w:pgMar w:left="1440" w:top="941" w:right="1440" w:bottom="348"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19. INCOME TAXES </w:t>
      </w:r>
      <w:r>
        <w:rPr>
          <w:rFonts w:ascii="Times New Roman" w:cs="Times New Roman" w:eastAsia="Times New Roman" w:hAnsi="Times New Roman"/>
          <w:sz w:val="20"/>
          <w:szCs w:val="20"/>
          <w:color w:val="auto"/>
        </w:rPr>
        <w:t>(cont.)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3540" w:type="dxa"/>
            <w:vAlign w:val="bottom"/>
          </w:tcPr>
          <w:p>
            <w:pPr>
              <w:spacing w:after="0"/>
              <w:rPr>
                <w:sz w:val="18"/>
                <w:szCs w:val="18"/>
                <w:color w:val="auto"/>
              </w:rPr>
            </w:pPr>
          </w:p>
        </w:tc>
        <w:tc>
          <w:tcPr>
            <w:tcW w:w="1140" w:type="dxa"/>
            <w:vAlign w:val="bottom"/>
            <w:tcBorders>
              <w:bottom w:val="single" w:sz="8" w:color="auto"/>
            </w:tcBorders>
            <w:gridSpan w:val="3"/>
          </w:tcPr>
          <w:p>
            <w:pPr>
              <w:jc w:val="right"/>
              <w:ind w:right="60"/>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ind w:left="56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ind w:right="600"/>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03"/>
        </w:trPr>
        <w:tc>
          <w:tcPr>
            <w:tcW w:w="3540" w:type="dxa"/>
            <w:vAlign w:val="bottom"/>
          </w:tcPr>
          <w:p>
            <w:pPr>
              <w:spacing w:after="0"/>
              <w:rPr>
                <w:sz w:val="17"/>
                <w:szCs w:val="17"/>
                <w:color w:val="auto"/>
              </w:rPr>
            </w:pPr>
          </w:p>
        </w:tc>
        <w:tc>
          <w:tcPr>
            <w:tcW w:w="1140" w:type="dxa"/>
            <w:vAlign w:val="bottom"/>
            <w:gridSpan w:val="3"/>
          </w:tcPr>
          <w:p>
            <w:pPr>
              <w:jc w:val="right"/>
              <w:ind w:right="540"/>
              <w:spacing w:after="0" w:line="199" w:lineRule="exact"/>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Pr>
          <w:p>
            <w:pPr>
              <w:jc w:val="right"/>
              <w:ind w:right="200"/>
              <w:spacing w:after="0" w:line="199"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4"/>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Pr>
          <w:p>
            <w:pPr>
              <w:jc w:val="right"/>
              <w:ind w:right="201"/>
              <w:spacing w:after="0" w:line="199"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right"/>
              <w:ind w:right="320"/>
              <w:spacing w:after="0" w:line="199" w:lineRule="exact"/>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gridSpan w:val="2"/>
          </w:tcPr>
          <w:p>
            <w:pPr>
              <w:jc w:val="right"/>
              <w:ind w:right="200"/>
              <w:spacing w:after="0" w:line="199"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r>
      <w:tr>
        <w:trPr>
          <w:trHeight w:val="248"/>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8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based compensation . . . . . . . . .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(12,233)</w:t>
            </w:r>
          </w:p>
        </w:tc>
        <w:tc>
          <w:tcPr>
            <w:tcW w:w="160" w:type="dxa"/>
            <w:vAlign w:val="bottom"/>
          </w:tcPr>
          <w:p>
            <w:pPr>
              <w:spacing w:after="0"/>
              <w:rPr>
                <w:sz w:val="22"/>
                <w:szCs w:val="22"/>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131.9%</w:t>
            </w:r>
          </w:p>
        </w:tc>
        <w:tc>
          <w:tcPr>
            <w:tcW w:w="16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(15,224)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2,289</w:t>
            </w:r>
          </w:p>
        </w:tc>
        <w:tc>
          <w:tcPr>
            <w:tcW w:w="12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Sec. 162(m) disallowance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8,461</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(91.2)%</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9,457</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34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12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57"/>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fair value of contingent</w:t>
            </w: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3"/>
        </w:trPr>
        <w:tc>
          <w:tcPr>
            <w:tcW w:w="3540" w:type="dxa"/>
            <w:vAlign w:val="bottom"/>
          </w:tcPr>
          <w:p>
            <w:pPr>
              <w:ind w:left="400"/>
              <w:spacing w:after="0" w:line="223" w:lineRule="exact"/>
              <w:rPr>
                <w:sz w:val="20"/>
                <w:szCs w:val="20"/>
                <w:color w:val="auto"/>
              </w:rPr>
            </w:pPr>
            <w:r>
              <w:rPr>
                <w:rFonts w:ascii="Times New Roman" w:cs="Times New Roman" w:eastAsia="Times New Roman" w:hAnsi="Times New Roman"/>
                <w:sz w:val="20"/>
                <w:szCs w:val="20"/>
                <w:color w:val="auto"/>
              </w:rPr>
              <w:t>acquisition liabilities . . . . . . . . . . . . .</w:t>
            </w:r>
          </w:p>
        </w:tc>
        <w:tc>
          <w:tcPr>
            <w:tcW w:w="9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(34,257)</w:t>
            </w:r>
          </w:p>
        </w:tc>
        <w:tc>
          <w:tcPr>
            <w:tcW w:w="160" w:type="dxa"/>
            <w:vAlign w:val="bottom"/>
          </w:tcPr>
          <w:p>
            <w:pPr>
              <w:spacing w:after="0"/>
              <w:rPr>
                <w:sz w:val="19"/>
                <w:szCs w:val="19"/>
                <w:color w:val="auto"/>
              </w:rPr>
            </w:pPr>
          </w:p>
        </w:tc>
        <w:tc>
          <w:tcPr>
            <w:tcW w:w="820" w:type="dxa"/>
            <w:vAlign w:val="bottom"/>
            <w:gridSpan w:val="2"/>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369.4%</w:t>
            </w:r>
          </w:p>
        </w:tc>
        <w:tc>
          <w:tcPr>
            <w:tcW w:w="160" w:type="dxa"/>
            <w:vAlign w:val="bottom"/>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46,761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(13.0)%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Withholding tax deduction . . . . . . . . .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(348)</w:t>
            </w:r>
          </w:p>
        </w:tc>
        <w:tc>
          <w:tcPr>
            <w:tcW w:w="160" w:type="dxa"/>
            <w:vAlign w:val="bottom"/>
          </w:tcPr>
          <w:p>
            <w:pPr>
              <w:spacing w:after="0"/>
              <w:rPr>
                <w:sz w:val="22"/>
                <w:szCs w:val="22"/>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3.8%</w:t>
            </w:r>
          </w:p>
        </w:tc>
        <w:tc>
          <w:tcPr>
            <w:tcW w:w="16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(441)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(775)</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0.9%</w:t>
            </w: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Transaction costs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1,451</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340" w:type="dxa"/>
            <w:vAlign w:val="bottom"/>
          </w:tcPr>
          <w:p>
            <w:pPr>
              <w:spacing w:after="0"/>
              <w:rPr>
                <w:sz w:val="22"/>
                <w:szCs w:val="22"/>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(733)</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0.9%</w:t>
            </w: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Remeasurement gain/loss . . . . . . . . . .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(968)</w:t>
            </w:r>
          </w:p>
        </w:tc>
        <w:tc>
          <w:tcPr>
            <w:tcW w:w="160" w:type="dxa"/>
            <w:vAlign w:val="bottom"/>
          </w:tcPr>
          <w:p>
            <w:pPr>
              <w:spacing w:after="0"/>
              <w:rPr>
                <w:sz w:val="22"/>
                <w:szCs w:val="22"/>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10.4%</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799</w:t>
            </w:r>
          </w:p>
        </w:tc>
        <w:tc>
          <w:tcPr>
            <w:tcW w:w="12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(0.9)%</w:t>
            </w:r>
          </w:p>
        </w:tc>
      </w:tr>
      <w:tr>
        <w:trPr>
          <w:trHeight w:val="26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Changes in unrecognized tax benefits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16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12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6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Acquisition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2,158</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6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(12,189)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3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deferred adjustments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6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(136)</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0.2%</w:t>
            </w:r>
          </w:p>
        </w:tc>
      </w:tr>
      <w:tr>
        <w:trPr>
          <w:trHeight w:val="20"/>
        </w:trPr>
        <w:tc>
          <w:tcPr>
            <w:tcW w:w="3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4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Effective tax rate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4,732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(51.0)% $</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(9,247)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w:t>
            </w:r>
          </w:p>
        </w:tc>
        <w:tc>
          <w:tcPr>
            <w:tcW w:w="460" w:type="dxa"/>
            <w:vAlign w:val="bottom"/>
            <w:gridSpan w:val="2"/>
          </w:tcPr>
          <w:p>
            <w:pPr>
              <w:jc w:val="right"/>
              <w:ind w:right="145"/>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3,914</w:t>
            </w:r>
          </w:p>
        </w:tc>
        <w:tc>
          <w:tcPr>
            <w:tcW w:w="1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0"/>
        </w:trPr>
        <w:tc>
          <w:tcPr>
            <w:tcW w:w="3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9"/>
        </w:trPr>
        <w:tc>
          <w:tcPr>
            <w:tcW w:w="7800" w:type="dxa"/>
            <w:vAlign w:val="bottom"/>
            <w:gridSpan w:val="15"/>
          </w:tcPr>
          <w:p>
            <w:pPr>
              <w:ind w:left="480"/>
              <w:spacing w:after="0"/>
              <w:rPr>
                <w:sz w:val="20"/>
                <w:szCs w:val="20"/>
                <w:color w:val="auto"/>
              </w:rPr>
            </w:pPr>
            <w:r>
              <w:rPr>
                <w:rFonts w:ascii="Times New Roman" w:cs="Times New Roman" w:eastAsia="Times New Roman" w:hAnsi="Times New Roman"/>
                <w:sz w:val="20"/>
                <w:szCs w:val="20"/>
                <w:color w:val="auto"/>
              </w:rPr>
              <w:t>The components of our deferred tax assets and liabilities were as follows (in thousands):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9"/>
        </w:trPr>
        <w:tc>
          <w:tcPr>
            <w:tcW w:w="3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10"/>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5"/>
        </w:trPr>
        <w:tc>
          <w:tcPr>
            <w:tcW w:w="3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r>
      <w:tr>
        <w:trPr>
          <w:trHeight w:val="248"/>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0"/>
        </w:trPr>
        <w:tc>
          <w:tcPr>
            <w:tcW w:w="4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 . . . . . .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210,500</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127,680</w:t>
            </w:r>
          </w:p>
        </w:tc>
        <w:tc>
          <w:tcPr>
            <w:tcW w:w="120" w:type="dxa"/>
            <w:vAlign w:val="bottom"/>
          </w:tcPr>
          <w:p>
            <w:pPr>
              <w:spacing w:after="0"/>
              <w:rPr>
                <w:sz w:val="22"/>
                <w:szCs w:val="22"/>
                <w:color w:val="auto"/>
              </w:rPr>
            </w:pPr>
          </w:p>
        </w:tc>
      </w:tr>
      <w:tr>
        <w:trPr>
          <w:trHeight w:val="260"/>
        </w:trPr>
        <w:tc>
          <w:tcPr>
            <w:tcW w:w="4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Research and development credits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29,476</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23,934</w:t>
            </w:r>
          </w:p>
        </w:tc>
        <w:tc>
          <w:tcPr>
            <w:tcW w:w="120" w:type="dxa"/>
            <w:vAlign w:val="bottom"/>
          </w:tcPr>
          <w:p>
            <w:pPr>
              <w:spacing w:after="0"/>
              <w:rPr>
                <w:sz w:val="22"/>
                <w:szCs w:val="22"/>
                <w:color w:val="auto"/>
              </w:rPr>
            </w:pPr>
          </w:p>
        </w:tc>
      </w:tr>
      <w:tr>
        <w:trPr>
          <w:trHeight w:val="260"/>
        </w:trPr>
        <w:tc>
          <w:tcPr>
            <w:tcW w:w="4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Property and equipment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1,955</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1,936</w:t>
            </w:r>
          </w:p>
        </w:tc>
        <w:tc>
          <w:tcPr>
            <w:tcW w:w="120" w:type="dxa"/>
            <w:vAlign w:val="bottom"/>
          </w:tcPr>
          <w:p>
            <w:pPr>
              <w:spacing w:after="0"/>
              <w:rPr>
                <w:sz w:val="22"/>
                <w:szCs w:val="22"/>
                <w:color w:val="auto"/>
              </w:rPr>
            </w:pPr>
          </w:p>
        </w:tc>
      </w:tr>
      <w:tr>
        <w:trPr>
          <w:trHeight w:val="260"/>
        </w:trPr>
        <w:tc>
          <w:tcPr>
            <w:tcW w:w="4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w w:val="99"/>
              </w:rPr>
              <w:t>Deferred revenue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4,873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5,260</w:t>
            </w:r>
          </w:p>
        </w:tc>
        <w:tc>
          <w:tcPr>
            <w:tcW w:w="120" w:type="dxa"/>
            <w:vAlign w:val="bottom"/>
          </w:tcPr>
          <w:p>
            <w:pPr>
              <w:spacing w:after="0"/>
              <w:rPr>
                <w:sz w:val="22"/>
                <w:szCs w:val="22"/>
                <w:color w:val="auto"/>
              </w:rPr>
            </w:pPr>
          </w:p>
        </w:tc>
      </w:tr>
      <w:tr>
        <w:trPr>
          <w:trHeight w:val="260"/>
        </w:trPr>
        <w:tc>
          <w:tcPr>
            <w:tcW w:w="4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w w:val="99"/>
              </w:rPr>
              <w:t>Interest expense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3,485</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5,484</w:t>
            </w:r>
          </w:p>
        </w:tc>
        <w:tc>
          <w:tcPr>
            <w:tcW w:w="120" w:type="dxa"/>
            <w:vAlign w:val="bottom"/>
          </w:tcPr>
          <w:p>
            <w:pPr>
              <w:spacing w:after="0"/>
              <w:rPr>
                <w:sz w:val="22"/>
                <w:szCs w:val="22"/>
                <w:color w:val="auto"/>
              </w:rPr>
            </w:pPr>
          </w:p>
        </w:tc>
      </w:tr>
      <w:tr>
        <w:trPr>
          <w:trHeight w:val="260"/>
        </w:trPr>
        <w:tc>
          <w:tcPr>
            <w:tcW w:w="4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Stock-based compensation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3,497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2,704</w:t>
            </w:r>
          </w:p>
        </w:tc>
        <w:tc>
          <w:tcPr>
            <w:tcW w:w="120" w:type="dxa"/>
            <w:vAlign w:val="bottom"/>
          </w:tcPr>
          <w:p>
            <w:pPr>
              <w:spacing w:after="0"/>
              <w:rPr>
                <w:sz w:val="22"/>
                <w:szCs w:val="22"/>
                <w:color w:val="auto"/>
              </w:rPr>
            </w:pPr>
          </w:p>
        </w:tc>
      </w:tr>
      <w:tr>
        <w:trPr>
          <w:trHeight w:val="260"/>
        </w:trPr>
        <w:tc>
          <w:tcPr>
            <w:tcW w:w="4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1,014</w:t>
            </w:r>
          </w:p>
        </w:tc>
        <w:tc>
          <w:tcPr>
            <w:tcW w:w="120" w:type="dxa"/>
            <w:vAlign w:val="bottom"/>
          </w:tcPr>
          <w:p>
            <w:pPr>
              <w:spacing w:after="0"/>
              <w:rPr>
                <w:sz w:val="22"/>
                <w:szCs w:val="22"/>
                <w:color w:val="auto"/>
              </w:rPr>
            </w:pPr>
          </w:p>
        </w:tc>
      </w:tr>
      <w:tr>
        <w:trPr>
          <w:trHeight w:val="260"/>
        </w:trPr>
        <w:tc>
          <w:tcPr>
            <w:tcW w:w="532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9"/>
              </w:rPr>
              <w:t>Section 174 research and development capitalization . . .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41,922</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40,648</w:t>
            </w:r>
          </w:p>
        </w:tc>
        <w:tc>
          <w:tcPr>
            <w:tcW w:w="120" w:type="dxa"/>
            <w:vAlign w:val="bottom"/>
          </w:tcPr>
          <w:p>
            <w:pPr>
              <w:spacing w:after="0"/>
              <w:rPr>
                <w:sz w:val="22"/>
                <w:szCs w:val="22"/>
                <w:color w:val="auto"/>
              </w:rPr>
            </w:pPr>
          </w:p>
        </w:tc>
      </w:tr>
      <w:tr>
        <w:trPr>
          <w:trHeight w:val="260"/>
        </w:trPr>
        <w:tc>
          <w:tcPr>
            <w:tcW w:w="4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Accruals and reserves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2,530</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2,780</w:t>
            </w:r>
          </w:p>
        </w:tc>
        <w:tc>
          <w:tcPr>
            <w:tcW w:w="120" w:type="dxa"/>
            <w:vAlign w:val="bottom"/>
          </w:tcPr>
          <w:p>
            <w:pPr>
              <w:spacing w:after="0"/>
              <w:rPr>
                <w:sz w:val="22"/>
                <w:szCs w:val="22"/>
                <w:color w:val="auto"/>
              </w:rPr>
            </w:pPr>
          </w:p>
        </w:tc>
      </w:tr>
      <w:tr>
        <w:trPr>
          <w:trHeight w:val="261"/>
        </w:trPr>
        <w:tc>
          <w:tcPr>
            <w:tcW w:w="4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Other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22"/>
                <w:szCs w:val="22"/>
                <w:color w:val="auto"/>
              </w:rPr>
            </w:pPr>
          </w:p>
        </w:tc>
      </w:tr>
      <w:tr>
        <w:trPr>
          <w:trHeight w:val="240"/>
        </w:trPr>
        <w:tc>
          <w:tcPr>
            <w:tcW w:w="46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Total deferred tax assets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299,196</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211,442</w:t>
            </w:r>
          </w:p>
        </w:tc>
        <w:tc>
          <w:tcPr>
            <w:tcW w:w="120" w:type="dxa"/>
            <w:vAlign w:val="bottom"/>
          </w:tcPr>
          <w:p>
            <w:pPr>
              <w:spacing w:after="0"/>
              <w:rPr>
                <w:sz w:val="20"/>
                <w:szCs w:val="20"/>
                <w:color w:val="auto"/>
              </w:rPr>
            </w:pPr>
          </w:p>
        </w:tc>
      </w:tr>
      <w:tr>
        <w:trPr>
          <w:trHeight w:val="240"/>
        </w:trPr>
        <w:tc>
          <w:tcPr>
            <w:tcW w:w="4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Valuation allowance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5"/>
          </w:tcPr>
          <w:p>
            <w:pPr>
              <w:jc w:val="right"/>
              <w:ind w:right="21"/>
              <w:spacing w:after="0"/>
              <w:rPr>
                <w:sz w:val="20"/>
                <w:szCs w:val="20"/>
                <w:color w:val="auto"/>
              </w:rPr>
            </w:pPr>
            <w:r>
              <w:rPr>
                <w:rFonts w:ascii="Times New Roman" w:cs="Times New Roman" w:eastAsia="Times New Roman" w:hAnsi="Times New Roman"/>
                <w:sz w:val="20"/>
                <w:szCs w:val="20"/>
                <w:color w:val="auto"/>
              </w:rPr>
              <w:t>(260,164)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(170,219)</w:t>
            </w:r>
          </w:p>
        </w:tc>
      </w:tr>
      <w:tr>
        <w:trPr>
          <w:trHeight w:val="239"/>
        </w:trPr>
        <w:tc>
          <w:tcPr>
            <w:tcW w:w="46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w w:val="99"/>
              </w:rPr>
              <w:t>Total deferred tax assets, net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39,032</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41,223</w:t>
            </w:r>
          </w:p>
        </w:tc>
        <w:tc>
          <w:tcPr>
            <w:tcW w:w="120" w:type="dxa"/>
            <w:vAlign w:val="bottom"/>
          </w:tcPr>
          <w:p>
            <w:pPr>
              <w:spacing w:after="0"/>
              <w:rPr>
                <w:sz w:val="20"/>
                <w:szCs w:val="20"/>
                <w:color w:val="auto"/>
              </w:rPr>
            </w:pPr>
          </w:p>
        </w:tc>
      </w:tr>
      <w:tr>
        <w:trPr>
          <w:trHeight w:val="24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0"/>
        </w:trPr>
        <w:tc>
          <w:tcPr>
            <w:tcW w:w="4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Right-of-use assets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(936)</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(1,017)</w:t>
            </w:r>
          </w:p>
        </w:tc>
      </w:tr>
      <w:tr>
        <w:trPr>
          <w:trHeight w:val="261"/>
        </w:trPr>
        <w:tc>
          <w:tcPr>
            <w:tcW w:w="468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Intangible assets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5"/>
          </w:tcPr>
          <w:p>
            <w:pPr>
              <w:jc w:val="right"/>
              <w:ind w:right="21"/>
              <w:spacing w:after="0"/>
              <w:rPr>
                <w:sz w:val="20"/>
                <w:szCs w:val="20"/>
                <w:color w:val="auto"/>
              </w:rPr>
            </w:pPr>
            <w:r>
              <w:rPr>
                <w:rFonts w:ascii="Times New Roman" w:cs="Times New Roman" w:eastAsia="Times New Roman" w:hAnsi="Times New Roman"/>
                <w:sz w:val="20"/>
                <w:szCs w:val="20"/>
                <w:color w:val="auto"/>
              </w:rPr>
              <w:t>(39,430)</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(40,202)</w:t>
            </w:r>
          </w:p>
        </w:tc>
      </w:tr>
      <w:tr>
        <w:trPr>
          <w:trHeight w:val="20"/>
        </w:trPr>
        <w:tc>
          <w:tcPr>
            <w:tcW w:w="3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0"/>
        </w:trPr>
        <w:tc>
          <w:tcPr>
            <w:tcW w:w="46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Total deferred tax liabilities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5"/>
          </w:tcPr>
          <w:p>
            <w:pPr>
              <w:jc w:val="right"/>
              <w:ind w:right="21"/>
              <w:spacing w:after="0"/>
              <w:rPr>
                <w:sz w:val="20"/>
                <w:szCs w:val="20"/>
                <w:color w:val="auto"/>
              </w:rPr>
            </w:pPr>
            <w:r>
              <w:rPr>
                <w:rFonts w:ascii="Times New Roman" w:cs="Times New Roman" w:eastAsia="Times New Roman" w:hAnsi="Times New Roman"/>
                <w:sz w:val="20"/>
                <w:szCs w:val="20"/>
                <w:color w:val="auto"/>
              </w:rPr>
              <w:t>(40,366)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(41,219)</w:t>
            </w:r>
          </w:p>
        </w:tc>
      </w:tr>
      <w:tr>
        <w:trPr>
          <w:trHeight w:val="20"/>
        </w:trPr>
        <w:tc>
          <w:tcPr>
            <w:tcW w:w="3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0"/>
        </w:trPr>
        <w:tc>
          <w:tcPr>
            <w:tcW w:w="46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Net deferred tax assets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5"/>
              </w:rPr>
              <w:t>. . .</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 . . . . . .  $</w:t>
            </w:r>
          </w:p>
        </w:tc>
        <w:tc>
          <w:tcPr>
            <w:tcW w:w="156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(1,334) $</w:t>
            </w: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0"/>
                <w:szCs w:val="20"/>
                <w:color w:val="auto"/>
              </w:rPr>
            </w:pPr>
          </w:p>
        </w:tc>
      </w:tr>
      <w:tr>
        <w:trPr>
          <w:trHeight w:val="20"/>
        </w:trPr>
        <w:tc>
          <w:tcPr>
            <w:tcW w:w="3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Based on available objective evidence, management believes it is more-likely-than-not that the domestic federal and state deferred tax assets; and excess Canadian SR&amp;ED tax credits will not be fully realized due to the Company’s cumulative losses arising in the United States, and its inability to utilize excess tax credits in Canada. Accordingly, the Company has recorded a valuation allowance on deferred tax assets in excess of deferred tax liabilities against its federal and state deferred tax assets and excess Canadian SR&amp;ED tax credits as of December 31, 2025 and 2024. The valuation allowance increased by $90.0 million from the year ended December 31, 2024 to December 31, 2025.</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360"/>
          </w:cols>
          <w:pgMar w:left="1440" w:top="941" w:right="1440" w:bottom="348"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19. INCOME TAXES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has not provided U.S. income or foreign withholding taxes on the undistributed earnings of its foreign subsidiaries as of December 31, 2025 because it intends to indefinitely reinvest such earnings outside of the U.S. If these foreign earnings were to be repatriated in the future, the related U.S. tax liability will not be material.</w:t>
      </w:r>
    </w:p>
    <w:p>
      <w:pPr>
        <w:spacing w:after="0" w:line="169"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As of December 31, 2025, the Company had net operating loss carryforwards of $892.9 million of U.S. federal and $379.7 million of state net operating loss carryforwards available to reduce future taxable income. The federal and state net operating loss carryforwards will start to expire in 2026 with the exception of $691.0 million federal net operating loss carryforwards and $18.5 million state net operating loss carryforwards, which can be carried forward indefinitely.</w:t>
      </w:r>
    </w:p>
    <w:p>
      <w:pPr>
        <w:spacing w:after="0" w:line="172"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had federal and state research and development credit carryforwards of $27.2 million and $15.4 million, respectively, as of December 31, 2025. The federal credits will expire starting in 2029 if not utilized. The state credits can be carried forward indefinitely. The Company also had Canadian SR&amp;ED tax credits of $1.9 million, which will expire starting in 2039 if not utilized.</w:t>
      </w:r>
    </w:p>
    <w:p>
      <w:pPr>
        <w:spacing w:after="0" w:line="169"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spacing w:after="0" w:line="169"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files U.S. federal income tax returns as well as income tax returns in many U.S. states and foreign jurisdictions. As of December 31, 2025, the tax years 2005 through the current period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Changes in gross unrecognized tax benefits during the periods presented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2022 . . . . . . . . . . . . . . . . . . . . . . . . . . . . . . . . . . . . . . . . . . . . . . . . . . . .</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6,130</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Increase for tax positions of prior years . . . . . . . . . . . . . . . . . . . . . . . . . . . . . . . . . . . . . . . . . . . . .</w:t>
            </w:r>
          </w:p>
        </w:tc>
        <w:tc>
          <w:tcPr>
            <w:tcW w:w="4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370</w:t>
            </w: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Increase for tax positions of current year . . . . . . . . . . . . . . . . . . . . . . . . . . . . . . . . . . . . . . . . . . . .</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1,095</w:t>
            </w:r>
          </w:p>
        </w:tc>
        <w:tc>
          <w:tcPr>
            <w:tcW w:w="60" w:type="dxa"/>
            <w:vAlign w:val="bottom"/>
          </w:tcPr>
          <w:p>
            <w:pPr>
              <w:spacing w:after="0"/>
              <w:rPr>
                <w:sz w:val="22"/>
                <w:szCs w:val="22"/>
                <w:color w:val="auto"/>
              </w:rPr>
            </w:pPr>
          </w:p>
        </w:tc>
      </w:tr>
      <w:tr>
        <w:trPr>
          <w:trHeight w:val="23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2023 . . . . . . . . . . . . . . . . . . . . . . . . . . . . . . . . . . . . . . . . . . . . . . . . . . . .</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7,595</w:t>
            </w:r>
          </w:p>
        </w:tc>
        <w:tc>
          <w:tcPr>
            <w:tcW w:w="60" w:type="dxa"/>
            <w:vAlign w:val="bottom"/>
          </w:tcPr>
          <w:p>
            <w:pPr>
              <w:spacing w:after="0"/>
              <w:rPr>
                <w:sz w:val="20"/>
                <w:szCs w:val="20"/>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Increase for tax positions of prior years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w:t>
            </w:r>
          </w:p>
        </w:tc>
        <w:tc>
          <w:tcPr>
            <w:tcW w:w="60" w:type="dxa"/>
            <w:vAlign w:val="bottom"/>
          </w:tcPr>
          <w:p>
            <w:pPr>
              <w:spacing w:after="0"/>
              <w:rPr>
                <w:sz w:val="22"/>
                <w:szCs w:val="22"/>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Decrease for tax positions of prior years . . . . . . . . . . . . . . . . . . . . . . . . . . . . . . . . . . . . . . . . . . . .</w:t>
            </w:r>
          </w:p>
        </w:tc>
        <w:tc>
          <w:tcPr>
            <w:tcW w:w="4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Increase for tax positions of current year . . . . . . . . . . . . . . . . . . . . . . . . . . . . . . . . . . . . . . . . . . . .</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2,784</w:t>
            </w:r>
          </w:p>
        </w:tc>
        <w:tc>
          <w:tcPr>
            <w:tcW w:w="60" w:type="dxa"/>
            <w:vAlign w:val="bottom"/>
          </w:tcPr>
          <w:p>
            <w:pPr>
              <w:spacing w:after="0"/>
              <w:rPr>
                <w:sz w:val="22"/>
                <w:szCs w:val="22"/>
                <w:color w:val="auto"/>
              </w:rPr>
            </w:pPr>
          </w:p>
        </w:tc>
      </w:tr>
      <w:tr>
        <w:trPr>
          <w:trHeight w:val="23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2024 . . . . . . . . . . . . . . . . . . . . . . . . . . . . . . . . . . . . . . . . . . . . . . . . . . . .</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11,252</w:t>
            </w:r>
          </w:p>
        </w:tc>
        <w:tc>
          <w:tcPr>
            <w:tcW w:w="60" w:type="dxa"/>
            <w:vAlign w:val="bottom"/>
          </w:tcPr>
          <w:p>
            <w:pPr>
              <w:spacing w:after="0"/>
              <w:rPr>
                <w:sz w:val="20"/>
                <w:szCs w:val="20"/>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Increase for tax positions of prior years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60" w:type="dxa"/>
            <w:vAlign w:val="bottom"/>
          </w:tcPr>
          <w:p>
            <w:pPr>
              <w:spacing w:after="0"/>
              <w:rPr>
                <w:sz w:val="22"/>
                <w:szCs w:val="22"/>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Decrease for tax positions of prior years . . . . . . . . . . . . . . . . . . . . . . . . . . . . . . . . . . . . . . . . . . . .</w:t>
            </w:r>
          </w:p>
        </w:tc>
        <w:tc>
          <w:tcPr>
            <w:tcW w:w="4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(708)</w:t>
            </w: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Increase for tax positions of current year . . . . . . . . . . . . . . . . . . . . . . . . . . . . . . . . . . . . . . . . . . . .</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2,402</w:t>
            </w:r>
          </w:p>
        </w:tc>
        <w:tc>
          <w:tcPr>
            <w:tcW w:w="60" w:type="dxa"/>
            <w:vAlign w:val="bottom"/>
          </w:tcPr>
          <w:p>
            <w:pPr>
              <w:spacing w:after="0"/>
              <w:rPr>
                <w:sz w:val="22"/>
                <w:szCs w:val="22"/>
                <w:color w:val="auto"/>
              </w:rPr>
            </w:pP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as of December 31, 2025 . . . . . . . . . . . . . . . . . . . . . . . . . . . . . . . . . . . . . . . . . . . . . . . . . . . .</w:t>
            </w:r>
          </w:p>
        </w:tc>
        <w:tc>
          <w:tcPr>
            <w:tcW w:w="4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13,354</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$0.6 million of the unrecognized tax benefits, if recognized, would affect the effective tax rate. $12.8 million of the unrecognized tax benefits, if recognized, would not affect the effective tax rate and would be offset by the reversal of related deferred tax assets which are subject to a full valuation allowance. As of December 31, 2025, the Company has accrued $0.1 million interest and penalties related to unrecognized tax benefits.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360"/>
          </w:cols>
          <w:pgMar w:left="1440" w:top="941" w:right="1440" w:bottom="348"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19. INCOME TAXES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 the United States. Included in this legislation are provisions that allow for the immediate expensing of domestic United States research and development expenses and acceleration of tax deductions for qualified capital expenditures acquired and placed into service after January 19, 2025, and other changes to the U.S. taxation of profits derived from foreign operations. The legislation has multiple effective dates, with various effective dates between 2025 and 2027. The Company evaluated the OBBBA and included its impact within our consolidated financial statements. The Company will continue to assess the full impact of these legislative changes as additional guidance becomes available.</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amount of cash paid for income taxes, net of refunds, is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5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U.S. federal . . . . . . . . . . . . . . . . . . . . . . . . . . . . . . . . . . . . . . . .</w:t>
            </w:r>
          </w:p>
        </w:tc>
        <w:tc>
          <w:tcPr>
            <w:tcW w:w="900" w:type="dxa"/>
            <w:vAlign w:val="bottom"/>
            <w:gridSpan w:val="3"/>
          </w:tcPr>
          <w:p>
            <w:pPr>
              <w:jc w:val="right"/>
              <w:ind w:right="6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5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State and local . . . . . . . . . . . . . . . . . . . . . . . . . . . . . . . . . . . . .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39"/>
        </w:trPr>
        <w:tc>
          <w:tcPr>
            <w:tcW w:w="5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Total U.S. . . . . . . . . . . . . . . . . . . . . . . . . . . . . . . . . . . . . . .</w:t>
            </w:r>
          </w:p>
        </w:tc>
        <w:tc>
          <w:tcPr>
            <w:tcW w:w="900" w:type="dxa"/>
            <w:vAlign w:val="bottom"/>
            <w:gridSpan w:val="3"/>
          </w:tcPr>
          <w:p>
            <w:pPr>
              <w:jc w:val="right"/>
              <w:ind w:right="6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400"/>
        </w:trPr>
        <w:tc>
          <w:tcPr>
            <w:tcW w:w="5020" w:type="dxa"/>
            <w:vAlign w:val="bottom"/>
            <w:gridSpan w:val="2"/>
          </w:tcPr>
          <w:p>
            <w:pPr>
              <w:jc w:val="right"/>
              <w:ind w:right="4400"/>
              <w:spacing w:after="0"/>
              <w:rPr>
                <w:sz w:val="20"/>
                <w:szCs w:val="20"/>
                <w:color w:val="auto"/>
              </w:rPr>
            </w:pPr>
            <w:r>
              <w:rPr>
                <w:rFonts w:ascii="Times New Roman" w:cs="Times New Roman" w:eastAsia="Times New Roman" w:hAnsi="Times New Roman"/>
                <w:sz w:val="20"/>
                <w:szCs w:val="20"/>
                <w:color w:val="auto"/>
                <w:w w:val="96"/>
              </w:rPr>
              <w:t>Foreign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5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South Korea . . . . . . . . . . . . . . . . . . . . . . . . . . . . . . . . . . . . . .</w:t>
            </w:r>
          </w:p>
        </w:tc>
        <w:tc>
          <w:tcPr>
            <w:tcW w:w="900" w:type="dxa"/>
            <w:vAlign w:val="bottom"/>
            <w:gridSpan w:val="3"/>
          </w:tcPr>
          <w:p>
            <w:pPr>
              <w:jc w:val="right"/>
              <w:ind w:right="6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2,262</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1,628</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1,694</w:t>
            </w:r>
          </w:p>
        </w:tc>
      </w:tr>
      <w:tr>
        <w:trPr>
          <w:trHeight w:val="260"/>
        </w:trPr>
        <w:tc>
          <w:tcPr>
            <w:tcW w:w="5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Peru . . . . . . . . . . . . . . . . . . . . . . . . . . . . . . . . . . . . . . . . . . .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Netherlands . . . . . . . . . . . . . . . . . . . . . . . . . . . . . . . . . . . . .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Germany . . . . . . . . . . . . . . . . . . . . . . . . . . . . . . . . . . . . . . .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w:t>
            </w:r>
          </w:p>
        </w:tc>
      </w:tr>
      <w:tr>
        <w:trPr>
          <w:trHeight w:val="260"/>
        </w:trPr>
        <w:tc>
          <w:tcPr>
            <w:tcW w:w="5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India . . . . . . . . . . . . . . . . . . . . . . . . . . . . . . . . . . . . . . . . . .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France . . . . . . . . . . . . . . . . . . . . . . . . . . . . . . . . . . . . . . . . .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r>
      <w:tr>
        <w:trPr>
          <w:trHeight w:val="260"/>
        </w:trPr>
        <w:tc>
          <w:tcPr>
            <w:tcW w:w="5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Japan . . . . . . . . . . . . . . . . . . . . . . . . . . . . . . . . . . . . . . . . . .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Other . . . . . . . . . . . . . . . . . . . . . . . . . . . . . . . . . . . . . . . . . .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709</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41"/>
        </w:trPr>
        <w:tc>
          <w:tcPr>
            <w:tcW w:w="5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 . . . . . . . . . . . . . . . . . . . . . . . . . . . . . . . . .Totalforeign</w:t>
            </w:r>
          </w:p>
        </w:tc>
        <w:tc>
          <w:tcPr>
            <w:tcW w:w="8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4,370</w:t>
            </w:r>
          </w:p>
        </w:tc>
        <w:tc>
          <w:tcPr>
            <w:tcW w:w="18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2,702</w:t>
            </w:r>
          </w:p>
        </w:tc>
        <w:tc>
          <w:tcPr>
            <w:tcW w:w="180" w:type="dxa"/>
            <w:vAlign w:val="bottom"/>
          </w:tcPr>
          <w:p>
            <w:pPr>
              <w:spacing w:after="0"/>
              <w:rPr>
                <w:sz w:val="20"/>
                <w:szCs w:val="20"/>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2,353</w:t>
            </w:r>
          </w:p>
        </w:tc>
      </w:tr>
      <w:tr>
        <w:trPr>
          <w:trHeight w:val="20"/>
        </w:trPr>
        <w:tc>
          <w:tcPr>
            <w:tcW w:w="8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0"/>
        </w:trPr>
        <w:tc>
          <w:tcPr>
            <w:tcW w:w="502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rPr>
              <w:t>Total income taxes paid, net of refunds . . . . . . . . . . . . . . .</w:t>
            </w:r>
          </w:p>
        </w:tc>
        <w:tc>
          <w:tcPr>
            <w:tcW w:w="900" w:type="dxa"/>
            <w:vAlign w:val="bottom"/>
            <w:gridSpan w:val="3"/>
          </w:tcPr>
          <w:p>
            <w:pPr>
              <w:jc w:val="right"/>
              <w:ind w:right="630"/>
              <w:spacing w:after="0" w:line="200"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93"/>
              </w:rPr>
              <w:t>4,370</w:t>
            </w:r>
          </w:p>
        </w:tc>
        <w:tc>
          <w:tcPr>
            <w:tcW w:w="460" w:type="dxa"/>
            <w:vAlign w:val="bottom"/>
            <w:gridSpan w:val="2"/>
          </w:tcPr>
          <w:p>
            <w:pPr>
              <w:jc w:val="right"/>
              <w:ind w:right="80"/>
              <w:spacing w:after="0" w:line="20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2,717</w:t>
            </w:r>
          </w:p>
        </w:tc>
        <w:tc>
          <w:tcPr>
            <w:tcW w:w="500" w:type="dxa"/>
            <w:vAlign w:val="bottom"/>
            <w:gridSpan w:val="2"/>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2,356</w:t>
            </w:r>
          </w:p>
        </w:tc>
      </w:tr>
      <w:tr>
        <w:trPr>
          <w:trHeight w:val="20"/>
        </w:trPr>
        <w:tc>
          <w:tcPr>
            <w:tcW w:w="8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net of refunds do not meet the disaggregation threshold in years 2025, 2024 and 2023. Such amounts are not presented as comparative disclosures because such disclosures are not required.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20. RELATED PARTY TRANSACTIONS</w:t>
      </w:r>
    </w:p>
    <w:p>
      <w:pPr>
        <w:spacing w:after="0" w:line="177" w:lineRule="exact"/>
        <w:rPr>
          <w:sz w:val="20"/>
          <w:szCs w:val="20"/>
          <w:color w:val="auto"/>
        </w:rPr>
      </w:pPr>
    </w:p>
    <w:p>
      <w:pPr>
        <w:jc w:val="both"/>
        <w:ind w:left="480"/>
        <w:spacing w:after="0" w:line="265" w:lineRule="auto"/>
        <w:rPr>
          <w:sz w:val="20"/>
          <w:szCs w:val="20"/>
          <w:color w:val="auto"/>
        </w:rPr>
      </w:pPr>
      <w:r>
        <w:rPr>
          <w:rFonts w:ascii="Times New Roman" w:cs="Times New Roman" w:eastAsia="Times New Roman" w:hAnsi="Times New Roman"/>
          <w:sz w:val="19"/>
          <w:szCs w:val="19"/>
          <w:color w:val="auto"/>
        </w:rPr>
        <w:t>On January 24, 2025, the Company entered into an Equity Distribution Agreement with Guggenheim Securities, LLC and other Sales Managers with respect to an at-the-market equity program. Under this program, the Company may offer and sell up to $250.0 million of shares of its Class A Common Stock from time to time through the Sales Managers. Refer to Note 14 to the consolidated financial statements for more information.</w:t>
      </w:r>
    </w:p>
    <w:p>
      <w:pPr>
        <w:spacing w:after="0" w:line="155"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color w:val="auto"/>
        </w:rPr>
        <w:t>The brother of one of our Board of Directors is a Senior Advisor to Guggenheim Securities, LLC and a member of the Guggenheim Securities investment banking team. Our board member did not participate in the Company’s decision to engage Guggenheim Securities, LLC to sell the Company’s Class A Common Stock under at-the-market equity program and disclosed the fact that his brother would be involved in the services to be provided by Guggenheim Securities, LLC to the Company in advance of the determination by the Company to engage Guggenheim Securities, LLC. During the year ended December 31, 2025, the Company paid commissions of $0.4 million to Guggenheim Securities, LLC for the Class A Common Stock sold through it as a Sales Manager.</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360"/>
          </w:cols>
          <w:pgMar w:left="1440" w:top="941" w:right="1440" w:bottom="348"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21. SEGMENT INFORMATION</w:t>
      </w:r>
    </w:p>
    <w:p>
      <w:pPr>
        <w:spacing w:after="0" w:line="177"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Company organized its operations into a single reportable segment, managed on a consolidated basis. The Company has determined that the Chief Executive Officer is its chief operating decision maker (“CODM”). The CODM assesses performance for the segment and decides how to allocate resources based on net loss that also is reported on the income statement as consolidated net loss. The CODM compares net loss from budget to actual result to assess segment performance and adjust resource allocations as necessary.</w:t>
      </w:r>
    </w:p>
    <w:p>
      <w:pPr>
        <w:spacing w:after="0" w:line="172"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20"/>
          <w:szCs w:val="20"/>
          <w:color w:val="auto"/>
        </w:rPr>
        <w:t>The personnel-related costs are the significant segment expenses included in the net loss that are regularly provided to the CODM. Personnel-related costs were $204.4 million, $114.1 million and $73.1 million, respectively, and represented 63.4%, 60.5% and 66.5%, respectively, of total operating expenses during the years ended December 31, 2025, 2024, and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22. SUBSEQUENT EVENTS</w:t>
      </w:r>
    </w:p>
    <w:p>
      <w:pPr>
        <w:spacing w:after="0" w:line="17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0"/>
          <w:szCs w:val="20"/>
          <w:color w:val="auto"/>
        </w:rPr>
        <w:t>On January 23, 2026, the Company paid $4.7 million to the selling shareholders under Interaction Acquisition to settle a portion of the Contingent Interactions Earnout Consideration due to the achievement of the target through the renewal of an existing contract with a specific customer.</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360"/>
          </w:cols>
          <w:pgMar w:left="1440" w:top="941" w:right="1440" w:bottom="348" w:gutter="0" w:footer="0" w:header="0"/>
          <w:type w:val="continuous"/>
        </w:sectPr>
      </w:pPr>
    </w:p>
    <w:bookmarkStart w:id="128" w:name="page129"/>
    <w:bookmarkEnd w:id="128"/>
    <w:p>
      <w:pPr>
        <w:ind w:left="480" w:right="740" w:hanging="479"/>
        <w:spacing w:after="0" w:line="411" w:lineRule="auto"/>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 xml:space="preserve"> </w:t>
      </w:r>
      <w:r>
        <w:rPr>
          <w:rFonts w:ascii="Times New Roman" w:cs="Times New Roman" w:eastAsia="Times New Roman" w:hAnsi="Times New Roman"/>
          <w:sz w:val="20"/>
          <w:szCs w:val="20"/>
          <w:b w:val="1"/>
          <w:bCs w:val="1"/>
          <w:color w:val="auto"/>
        </w:rPr>
        <w:t xml:space="preserve">Changes in and Disagreements with Accountants on Accounting and Financial Disclosures </w:t>
      </w:r>
      <w:r>
        <w:rPr>
          <w:rFonts w:ascii="Times New Roman" w:cs="Times New Roman" w:eastAsia="Times New Roman" w:hAnsi="Times New Roman"/>
          <w:sz w:val="20"/>
          <w:szCs w:val="20"/>
          <w:color w:val="auto"/>
        </w:rPr>
        <w:t>None.</w:t>
      </w:r>
    </w:p>
    <w:p>
      <w:pPr>
        <w:spacing w:after="0" w:line="8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Chief Executive Officer and Chief Financial Officer, we conducted an evaluation of the effectiveness of our disclosure controls and procedures (as such term is defined in Rules 13a-15(e) and 15d-15(e) under the Exchange Act) as of the end of the period covered by this Annual Report. Based on this evaluation, our Chief Executive Officer and Chief Financial Officer have concluded that our disclosure controls and procedures were not effective as of December 31, 2025 due to the material weaknesses in the Company’s internal control over financial reporting described below. However, after giving full consideration to the material weaknesses described below, and the additional analyses and other procedures management performed to ensure that its consolidated financial statements included in this Annual Report were prepared in accordance with U.S. GAAP, the Company’s management has concluded that its consolidated financial statements present fairly, in all material respects, its financial position, results of operations and cash flows for the periods disclosed in conformity with U.S. GAAP.</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Our management is responsible for establishing and maintaining adequate internal control over financial reporting (as defined in Rules 13a-15(f) and 15d-15(f) under the Securities Exchange Act of 1934, as amended). Our management assessed the effectiveness of our internal control over financial reporting as of December 31, 2025. In making this assessment, our management used the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(2013) </w:t>
      </w:r>
      <w:r>
        <w:rPr>
          <w:rFonts w:ascii="Times New Roman" w:cs="Times New Roman" w:eastAsia="Times New Roman" w:hAnsi="Times New Roman"/>
          <w:sz w:val="20"/>
          <w:szCs w:val="20"/>
          <w:color w:val="auto"/>
        </w:rPr>
        <w:t>issued by the Committee of Sponsoring Organizations of the Treadway Commission. A material weakness is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deficiency, or combination of deficiencies, in internal control over financial reporting such that there is a reasonable possibility that a material misstatement of a company’s annual or interim financial statements may not be prevented or detected on a timely basis.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did not maintain an effective control environment as it lacked sufficient oversight of activities related to its internal control over financial reporting due to a lack of an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not designing and maintaining effective controls related to substantially all accounts and disclosures. These material weaknesses contributed to the following additional material weaknesses as of December 31, 2025:</w:t>
      </w:r>
    </w:p>
    <w:p>
      <w:pPr>
        <w:spacing w:after="0" w:line="170" w:lineRule="exact"/>
        <w:rPr>
          <w:sz w:val="20"/>
          <w:szCs w:val="20"/>
          <w:color w:val="auto"/>
        </w:rPr>
      </w:pPr>
    </w:p>
    <w:p>
      <w:pPr>
        <w:jc w:val="both"/>
        <w:ind w:left="960" w:hanging="480"/>
        <w:spacing w:after="0" w:line="246" w:lineRule="auto"/>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controls related to the identification of and accounting for certain non-routine, unusual or complex transactions, including the accounting for complex financing transactions.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material weaknesses related to the control environment, risk assessment and the accounting for certain non-routine, unusual or complex transactions resulted in the revision of the consolidated financial statements as of and for the periods ended September 30, 2022, December 31, 2022, March 31, 2023, June 30, 2023, and immaterial errors in various accounts during the interim and annual periods during 2023, 2024 and 2025. The material weakness related to segregation of duties did not result in a misstatement to our annual or interim consolidated financial statements.</w:t>
      </w:r>
    </w:p>
    <w:p>
      <w:pPr>
        <w:sectPr>
          <w:pgSz w:w="12240" w:h="15840" w:orient="portrait"/>
          <w:cols w:equalWidth="0" w:num="1">
            <w:col w:w="9360"/>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360"/>
          </w:cols>
          <w:pgMar w:left="1440" w:top="947" w:right="1440" w:bottom="348" w:gutter="0" w:footer="0" w:header="0"/>
          <w:type w:val="continuous"/>
        </w:sectPr>
      </w:pPr>
    </w:p>
    <w:bookmarkStart w:id="129" w:name="page130"/>
    <w:bookmarkEnd w:id="129"/>
    <w:p>
      <w:pPr>
        <w:jc w:val="both"/>
        <w:spacing w:after="0" w:line="246" w:lineRule="auto"/>
        <w:rPr>
          <w:sz w:val="20"/>
          <w:szCs w:val="20"/>
          <w:color w:val="auto"/>
        </w:rPr>
      </w:pPr>
      <w:r>
        <w:rPr>
          <w:rFonts w:ascii="Times New Roman" w:cs="Times New Roman" w:eastAsia="Times New Roman" w:hAnsi="Times New Roman"/>
          <w:sz w:val="20"/>
          <w:szCs w:val="20"/>
          <w:color w:val="auto"/>
        </w:rPr>
        <w:t>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Because of these material weaknesses, management concluded that the Company did not maintain effective internal control over financial reporting as of December 31, 2025.</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excluded Interactions Corporation from our assessment of internal control over financial reporting as of December 31, 2025, because it was acquired by the Company in a purchase business combination during the third quarter of 2025. The total assets and total revenues of Interactions Corporation, which is a wholly-owned subsidiary, excluded from management’s assessment represent approximately 5% and 14%, respectively, of the related consolidated financial statement amounts as of and for the year ended December 31, 2025.</w:t>
      </w:r>
    </w:p>
    <w:p>
      <w:pPr>
        <w:spacing w:after="0" w:line="17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2025, has been audited by PricewaterhouseCoopers LLP, an independent registered public accounting firm, as stated in their report which appears under Item 8.</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Plan to Remediate the Material Weaknesses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remediation actions are currently being implemented and are in process:</w:t>
      </w:r>
    </w:p>
    <w:p>
      <w:pPr>
        <w:spacing w:after="0" w:line="177" w:lineRule="exact"/>
        <w:rPr>
          <w:sz w:val="20"/>
          <w:szCs w:val="20"/>
          <w:color w:val="auto"/>
        </w:rPr>
      </w:pPr>
    </w:p>
    <w:p>
      <w:pPr>
        <w:ind w:left="960" w:hanging="480"/>
        <w:spacing w:after="0" w:line="243" w:lineRule="auto"/>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an updated annual Segregation of Duties assessment identifying key conflicts and mitigating controls.</w:t>
      </w:r>
    </w:p>
    <w:p>
      <w:pPr>
        <w:spacing w:after="0" w:line="174"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Designing and implementing controls related to the review and approval of complex or unusual transactions.</w:t>
      </w:r>
    </w:p>
    <w:p>
      <w:pPr>
        <w:spacing w:after="0" w:line="181" w:lineRule="exact"/>
        <w:rPr>
          <w:rFonts w:ascii="Times New Roman" w:cs="Times New Roman" w:eastAsia="Times New Roman" w:hAnsi="Times New Roman"/>
          <w:sz w:val="19"/>
          <w:szCs w:val="19"/>
          <w:color w:val="auto"/>
        </w:rPr>
      </w:pPr>
    </w:p>
    <w:p>
      <w:pPr>
        <w:ind w:left="960" w:hanging="480"/>
        <w:spacing w:after="0" w:line="243" w:lineRule="auto"/>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Designing and implementing new control activities and enhancing existing control activities across business processes.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remediation actions were completed during the quarter ended December 31, 2025:</w:t>
      </w:r>
    </w:p>
    <w:p>
      <w:pPr>
        <w:spacing w:after="0" w:line="177" w:lineRule="exact"/>
        <w:rPr>
          <w:sz w:val="20"/>
          <w:szCs w:val="20"/>
          <w:color w:val="auto"/>
        </w:rPr>
      </w:pPr>
    </w:p>
    <w:p>
      <w:pPr>
        <w:ind w:left="960" w:hanging="480"/>
        <w:spacing w:after="0"/>
        <w:tabs>
          <w:tab w:leader="none" w:pos="96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Implemented a Segregation of Duties automated tool for our Enterprise Resource Planning (ERP) system.</w:t>
      </w:r>
    </w:p>
    <w:p>
      <w:pPr>
        <w:spacing w:after="0" w:line="174"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a risk assessment that includes the identification and walkthrough of key business processes.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and implemented new control activities and enhanced the design of existing control activities related to the revenue and financial reporting processes.</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material weaknesses will not be considered remediated until management completes the design and implementation of the necessary controls, the controls operate for a sufficient period of time, and management has concluded, through testing, that the enhanced controls are operating effectively.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Remediation of Previously Identified Material Weaknesses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previously disclosed in our Annual Report on Form 10-K for the year ended December 31, 2024, and in the subsequent quarterly reports on Form 10-Q for 2025, management concluded the following material weaknesses existed in the Company’s internal control over financial reporting:</w:t>
      </w:r>
    </w:p>
    <w:p>
      <w:pPr>
        <w:spacing w:after="0" w:line="173" w:lineRule="exact"/>
        <w:rPr>
          <w:sz w:val="20"/>
          <w:szCs w:val="20"/>
          <w:color w:val="auto"/>
        </w:rPr>
      </w:pPr>
    </w:p>
    <w:p>
      <w:pPr>
        <w:jc w:val="both"/>
        <w:ind w:left="960" w:hanging="480"/>
        <w:spacing w:after="0" w:line="249" w:lineRule="auto"/>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spacing w:after="0" w:line="163"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controls related to the accounting for acquisitions.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360"/>
          </w:cols>
          <w:pgMar w:left="1440" w:top="948" w:right="1440" w:bottom="348" w:gutter="0" w:footer="0" w:header="0"/>
          <w:type w:val="continuous"/>
        </w:sectPr>
      </w:pPr>
    </w:p>
    <w:bookmarkStart w:id="130" w:name="page131"/>
    <w:bookmarkEnd w:id="130"/>
    <w:p>
      <w:pPr>
        <w:ind w:firstLine="480"/>
        <w:spacing w:after="0" w:line="243" w:lineRule="auto"/>
        <w:rPr>
          <w:sz w:val="20"/>
          <w:szCs w:val="20"/>
          <w:color w:val="auto"/>
        </w:rPr>
      </w:pPr>
      <w:r>
        <w:rPr>
          <w:rFonts w:ascii="Times New Roman" w:cs="Times New Roman" w:eastAsia="Times New Roman" w:hAnsi="Times New Roman"/>
          <w:sz w:val="20"/>
          <w:szCs w:val="20"/>
          <w:color w:val="auto"/>
        </w:rPr>
        <w:t>The Company’s actions and measures designed to remediate the control deficiencies that led to the material weaknesses included:</w:t>
      </w:r>
    </w:p>
    <w:p>
      <w:pPr>
        <w:spacing w:after="0" w:line="168" w:lineRule="exact"/>
        <w:rPr>
          <w:sz w:val="20"/>
          <w:szCs w:val="20"/>
          <w:color w:val="auto"/>
        </w:rPr>
      </w:pPr>
    </w:p>
    <w:p>
      <w:pPr>
        <w:ind w:left="960" w:hanging="480"/>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Redesigned and enhanced existing controls related to IT general controls.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Redesigned and enhanced existing controls related to the accounting for acquisitions.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Management has completed its evaluation of the design and operating effectiveness of the redesigned and enhanced control activities and determined that, as of December 31, 2025, these control activities have been appropriately designed and implemented, and have operated effectively for a sufficient period of time to conclude that these previously identified material weaknesses have been remediated.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noted above under Management’s Plan to Remediate the Material Weaknesses, there were changes in the Company’s internal control over financial reporting (as defined in Rules 13a-15(f) and 15d-15(f) of the Exchange Act) during the quarterly period ended December 31, 2025 that materially affected, or are reasonably likely to materially affect, the Company’s internal control over financial reporting.</w:t>
      </w:r>
    </w:p>
    <w:p>
      <w:pPr>
        <w:spacing w:after="0" w:line="24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Arrangements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the fiscal quarter ended December 31, 2025, the following Section 16 officers and directors adopted, modified or terminated a “Rule 10b5-1 trading arrangement” (as defined in Item 408 of Regulation S-K of the Exchange Act):</w:t>
      </w:r>
    </w:p>
    <w:p>
      <w:pPr>
        <w:spacing w:after="0" w:line="173" w:lineRule="exact"/>
        <w:rPr>
          <w:sz w:val="20"/>
          <w:szCs w:val="20"/>
          <w:color w:val="auto"/>
        </w:rPr>
      </w:pPr>
    </w:p>
    <w:p>
      <w:pPr>
        <w:jc w:val="both"/>
        <w:ind w:left="960" w:hanging="480"/>
        <w:spacing w:after="0" w:line="264" w:lineRule="auto"/>
        <w:tabs>
          <w:tab w:leader="none" w:pos="96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Dr. Keyvan Mohajer, Chief Executive Officer and Director, adopted a new trading plan on November 24, 2025 (with the first trade under the new plan not to be made prior to March 2, 2026). The trading plan will be effective until June 15, 2026 and provides for the sale of up to 2,400,000 shares of Dr. Mohajer’s 14,139,064 shares of Class B Common Stock and up to 931,899 shares of Class A Common Stock issuable upon vesting and settlement of certain RSUs and PSUs, provided that certain conditions are met.</w:t>
      </w:r>
    </w:p>
    <w:p>
      <w:pPr>
        <w:spacing w:after="0" w:line="158" w:lineRule="exact"/>
        <w:rPr>
          <w:rFonts w:ascii="Times New Roman" w:cs="Times New Roman" w:eastAsia="Times New Roman" w:hAnsi="Times New Roman"/>
          <w:sz w:val="19"/>
          <w:szCs w:val="19"/>
          <w:color w:val="auto"/>
        </w:rPr>
      </w:pPr>
    </w:p>
    <w:p>
      <w:pPr>
        <w:jc w:val="both"/>
        <w:ind w:left="960" w:hanging="480"/>
        <w:spacing w:after="0" w:line="248" w:lineRule="auto"/>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Nitesh Sharan, Chief Financial Officer, adopted a new trading plan on November 20, 2025 (with the first trade under the new plan not to be made prior to March 2, 2026). The trading plan will be effective until December 31, 2026 and provides for the sale of up to 120,000 shares of Class A Common Stock issuable upon exercise of outstanding options and up to 140,754 shares of Class A Common Stock, provided that certain conditions are met.</w:t>
      </w:r>
    </w:p>
    <w:p>
      <w:pPr>
        <w:spacing w:after="0" w:line="171"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James M. Hom, Chief Product Officer and Director, adopted a new trading plan on November 19, 2025 (with the first trade under the new plan not to be made prior to April 1, 2026). The trading plan will be effective until June 30, 2026 and provides for the sale of up to 750,000 shares of Mr. Hom’s 1,812,588 shares of Class B Common Stock, up to 239,932 shares of Class A Common Stock issuable upon vesting and settlement of certain RSUs, provided that certain conditions are met.</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There were no “non-Rule 10b5-1 trading arrangements” (as defined in Item 408 of Regulation S-K of the Exchange Act) adopted, modified or terminated during the fiscal quarter ended December 31, 2025 by our directors and Section 16 officers. Each of the Rule 10b5-1 trading arrangements are in accordance with our Insider Trading Policy and actual sale transactions made pursuant to such trading arrangements will be disclosed publicly in Section 16 filings with the SEC in accordance with applicable securities laws, rules and regulations.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Company’s 2026 Annual Meeting of Stockholders will be held on May 22, 2026.</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360"/>
          </w:cols>
          <w:pgMar w:left="1440" w:top="948" w:right="1440" w:bottom="348"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Current Directors and Executive Officers</w:t>
      </w:r>
    </w:p>
    <w:p>
      <w:pPr>
        <w:spacing w:after="0" w:line="177"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Listed below are the names of the current directors and executive officers of the Company, the names, ages, and certain other information as of December 31, 2025 for each director and each executive officer are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Age</w:t>
            </w:r>
          </w:p>
        </w:tc>
        <w:tc>
          <w:tcPr>
            <w:tcW w:w="180" w:type="dxa"/>
            <w:vAlign w:val="bottom"/>
          </w:tcPr>
          <w:p>
            <w:pPr>
              <w:spacing w:after="0"/>
              <w:rPr>
                <w:sz w:val="18"/>
                <w:szCs w:val="18"/>
                <w:color w:val="auto"/>
              </w:rPr>
            </w:pPr>
          </w:p>
        </w:tc>
        <w:tc>
          <w:tcPr>
            <w:tcW w:w="53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Position with the Company</w:t>
            </w:r>
          </w:p>
        </w:tc>
      </w:tr>
      <w:tr>
        <w:trPr>
          <w:trHeight w:val="247"/>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Dr. Keyvan Mohajer</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48</w:t>
            </w:r>
          </w:p>
        </w:tc>
        <w:tc>
          <w:tcPr>
            <w:tcW w:w="18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Director, Chief Executive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James Hom</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Director, Chief Product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Larry Marcus</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60</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Diana Sroka</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53</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Dr. Eric Ball</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62</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Dr. Majid Emami</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49</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Science Officer and Senior Vice President of Engineering</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Nitesh Sharan</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51</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Michael Zagorsek</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51</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Operating Officer</w:t>
            </w:r>
          </w:p>
        </w:tc>
      </w:tr>
    </w:tbl>
    <w:p>
      <w:pPr>
        <w:spacing w:after="0" w:line="15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To the best of the Company’s knowledge, there are no other arrangements or understandings currently existing between any director or executive officer and any other person pursuant to which any person was selected as a director or executive officer. There are no family relationships between any of the Company’s directors or executive officers.</w:t>
      </w:r>
    </w:p>
    <w:p>
      <w:pPr>
        <w:spacing w:after="0" w:line="15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To the Company’s knowledge there have been no material legal proceedings as described in instruction 4 to Item 103 of Regulation S-K or Item 401(f) of Regulation S-K during the last ten years that are material to an evaluation of the ability or integrity of any of the Company’s directors or executive officers.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 of Current Directors and Executive Officers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sets forth the biographical background information for all of our current directors and executive officers:</w:t>
      </w:r>
    </w:p>
    <w:p>
      <w:pPr>
        <w:spacing w:after="0" w:line="1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Dr. Keyvan Mohajer. </w:t>
      </w:r>
      <w:r>
        <w:rPr>
          <w:rFonts w:ascii="Times New Roman" w:cs="Times New Roman" w:eastAsia="Times New Roman" w:hAnsi="Times New Roman"/>
          <w:sz w:val="19"/>
          <w:szCs w:val="19"/>
          <w:color w:val="auto"/>
        </w:rPr>
        <w:t>Dr. Keyvan Mohajer has been our Chief Executive Officer and a member of the Board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since the consummation of the Company’s merger with SoundHound, Inc. in April 2022 (the “Business Combination”). Dr. Mohajer has served as the Chief Executive Officer and a member of the Board of Directors of SoundHound, Inc. since 2005, when he cofounded SoundHound. Dr. Mohajer is a technical founder and visionary entrepreneur with over 20 years of experience scaling multiple companies. Dr. Mohajer is a key contributor to SoundHound’s core technologies, with over 90 patents granted or pending.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as a founder of the company, is well qualified to serve as a member of the Board because of his extensive knowledge of the Company’s business and technologies.</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James Hom. </w:t>
      </w:r>
      <w:r>
        <w:rPr>
          <w:rFonts w:ascii="Times New Roman" w:cs="Times New Roman" w:eastAsia="Times New Roman" w:hAnsi="Times New Roman"/>
          <w:sz w:val="20"/>
          <w:szCs w:val="20"/>
          <w:color w:val="auto"/>
        </w:rPr>
        <w:t>James Hom has been a member of the Board and Chief Product Officer since the consummation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Business Combination in April 2022. Mr. Hom, one of SoundHound’s co-founders, has served as Vice President of Products and the Chief Product Officer and a member of the SoundHound, Inc. board since 2006. As Chief Product Officer, Mr. Hom leads product development and advancement of SoundHound’s Voice AI platform and multiple business-to-consumer products. Mr. Hom earned his Bachelor of Science Degree in Computer Science from Stanford University in 2005. We believe that Mr. Hom, as a founder of the company, is well qualified to serve as a member of the Board because of his extensive knowledge of the Company’s business and technologies.</w:t>
      </w:r>
    </w:p>
    <w:p>
      <w:pPr>
        <w:spacing w:after="0" w:line="170"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Larry Marcus. </w:t>
      </w:r>
      <w:r>
        <w:rPr>
          <w:rFonts w:ascii="Times New Roman" w:cs="Times New Roman" w:eastAsia="Times New Roman" w:hAnsi="Times New Roman"/>
          <w:sz w:val="19"/>
          <w:szCs w:val="19"/>
          <w:color w:val="auto"/>
        </w:rPr>
        <w:t>Larry Marcus has been a member of the Board since the consummation of the Business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Combination in April 2022. Prior to that, Mr. Marcus served as a member of the SoundHound, Inc. board since 2009. He was a Co-founder and Managing Director of Marcy Venture Partners from February 2018 until April 2025.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of private companies, some of which have gone on to become public companies. Mr. Marcus received his Bachelor of Arts in Political Economy of Industrial</w:t>
      </w:r>
    </w:p>
    <w:p>
      <w:pPr>
        <w:sectPr>
          <w:pgSz w:w="12240" w:h="15840" w:orient="portrait"/>
          <w:cols w:equalWidth="0" w:num="1">
            <w:col w:w="9360"/>
          </w:cols>
          <w:pgMar w:left="1440" w:top="941" w:right="1440" w:bottom="348"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360"/>
          </w:cols>
          <w:pgMar w:left="1440" w:top="941" w:right="1440" w:bottom="348" w:gutter="0" w:footer="0" w:header="0"/>
          <w:type w:val="continuous"/>
        </w:sectPr>
      </w:pPr>
    </w:p>
    <w:bookmarkStart w:id="132" w:name="page133"/>
    <w:bookmarkEnd w:id="132"/>
    <w:p>
      <w:pPr>
        <w:jc w:val="both"/>
        <w:spacing w:after="0" w:line="246" w:lineRule="auto"/>
        <w:rPr>
          <w:sz w:val="20"/>
          <w:szCs w:val="20"/>
          <w:color w:val="auto"/>
        </w:rPr>
      </w:pPr>
      <w:r>
        <w:rPr>
          <w:rFonts w:ascii="Times New Roman" w:cs="Times New Roman" w:eastAsia="Times New Roman" w:hAnsi="Times New Roman"/>
          <w:sz w:val="20"/>
          <w:szCs w:val="20"/>
          <w:color w:val="auto"/>
        </w:rPr>
        <w:t>Societies in 1987 and his Master of Business Administration in 1993, both from the University of California, Berkeley. We believe that Mr. Marcus is well qualified to serve as a member of the Board because he has extensive knowledge of the Company’s business, and also because of this significant venture capital and finance experience.</w:t>
      </w:r>
    </w:p>
    <w:p>
      <w:pPr>
        <w:spacing w:after="0" w:line="153"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 xml:space="preserve">Diana Sroka. </w:t>
      </w:r>
      <w:r>
        <w:rPr>
          <w:rFonts w:ascii="Times New Roman" w:cs="Times New Roman" w:eastAsia="Times New Roman" w:hAnsi="Times New Roman"/>
          <w:sz w:val="19"/>
          <w:szCs w:val="19"/>
          <w:color w:val="auto"/>
        </w:rPr>
        <w:t>Diana Sroka has been a member of the Board since the consummation of the Business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Combination in April 2022. In 2001, Ms. Sroka joined HP Inc. (“HP”) (f/k/a Hewlett-Packard Company) (NYSE:HPQ), a global technology company based in Palo Alto, California, and has held various leadership roles in finance and business functions within HP. Starting May 2023, Ms. Sroka is serving as the global product leader for HP’s new Consumer Services Business, expanding her prior role leading consumer print services. Prior to these assignments,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was elected to the Board of Professional Business Women of California in November 2022, was elected as the Treasurer of the Executive Committee in July 2023 and elected as President and Chair in September 2024.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49"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 xml:space="preserve">Dr. Eric R. Ball. </w:t>
      </w:r>
      <w:r>
        <w:rPr>
          <w:rFonts w:ascii="Times New Roman" w:cs="Times New Roman" w:eastAsia="Times New Roman" w:hAnsi="Times New Roman"/>
          <w:sz w:val="19"/>
          <w:szCs w:val="19"/>
          <w:color w:val="auto"/>
        </w:rPr>
        <w:t>Dr. Eric R. Ball has been a member of our Board since the Company’s initial public offering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March 2021 and remained on the Board following the Business Combination. He has served as chairman of the board of Archimedes Tech SPAC II (Nasdaq: ATIIU), a special purpose acquisition company, since February 2025.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also served as an advisor to Kyriba, a private treasury management software provider from 2017 until November 2022. Dr. Ball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acquisitions, investing and public company experience in the technology industry.</w:t>
      </w:r>
    </w:p>
    <w:p>
      <w:pPr>
        <w:spacing w:after="0" w:line="14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Dr. Majid Emami. </w:t>
      </w:r>
      <w:r>
        <w:rPr>
          <w:rFonts w:ascii="Times New Roman" w:cs="Times New Roman" w:eastAsia="Times New Roman" w:hAnsi="Times New Roman"/>
          <w:sz w:val="19"/>
          <w:szCs w:val="19"/>
          <w:color w:val="auto"/>
        </w:rPr>
        <w:t>Dr. Majid Emami has been Vice President of Engineering of the Company since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consummation of the Business Combination in April 2022. Dr. Emami is a co-founder of SoundHound and has served as Vice President of Engineering since 2006. Dr. Emami leads SoundHound’s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13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Nitesh Sharan. </w:t>
      </w:r>
      <w:r>
        <w:rPr>
          <w:rFonts w:ascii="Times New Roman" w:cs="Times New Roman" w:eastAsia="Times New Roman" w:hAnsi="Times New Roman"/>
          <w:sz w:val="19"/>
          <w:szCs w:val="19"/>
          <w:color w:val="auto"/>
        </w:rPr>
        <w:t>Nitesh Sharan has been Chief Financial Officer of the Company since the consummation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Business Combination in April 2022. Mr. Sharan has served as the Chief Financial Officer at SoundHound since September 2021. In this capacity, Mr. Sharan oversees SoundHound’s accounting, financial planning, investor relations, treasury and capital planning functions. Prior to joining SoundHound, between May 2016 and September 2021, Mr. Sharan held several executive roles at Nike, Inc. including Treasurer, Head of Investor Relations and Chief Financial Officer of Global Operations. Prior to Nike Inc., Mr. Sharan was in various financial leadership roles 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9"/>
          <w:szCs w:val="19"/>
          <w:color w:val="auto"/>
        </w:rPr>
        <w:t xml:space="preserve"> charterholder.</w:t>
      </w:r>
    </w:p>
    <w:p>
      <w:pPr>
        <w:spacing w:after="0" w:line="99"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Michael Zagorsek. </w:t>
      </w:r>
      <w:r>
        <w:rPr>
          <w:rFonts w:ascii="Times New Roman" w:cs="Times New Roman" w:eastAsia="Times New Roman" w:hAnsi="Times New Roman"/>
          <w:sz w:val="19"/>
          <w:szCs w:val="19"/>
          <w:color w:val="auto"/>
        </w:rPr>
        <w:t>Michael Zagorsek has been Chief Operating Officer of the Company since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consummation of the Business Combination in April 2022. Mr. Zagorsek has served as SoundHound’s Chief Operating Officer since November 2020, where Mr. Zagorsek is principally responsible for company operations, oversight of</w:t>
      </w:r>
    </w:p>
    <w:p>
      <w:pPr>
        <w:sectPr>
          <w:pgSz w:w="12240" w:h="15840" w:orient="portrait"/>
          <w:cols w:equalWidth="0" w:num="1">
            <w:col w:w="9360"/>
          </w:cols>
          <w:pgMar w:left="1440" w:top="948" w:right="1440" w:bottom="348"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360"/>
          </w:cols>
          <w:pgMar w:left="1440" w:top="948" w:right="1440" w:bottom="348" w:gutter="0" w:footer="0" w:header="0"/>
          <w:type w:val="continuous"/>
        </w:sectPr>
      </w:pPr>
    </w:p>
    <w:bookmarkStart w:id="133" w:name="page134"/>
    <w:bookmarkEnd w:id="133"/>
    <w:p>
      <w:pPr>
        <w:jc w:val="both"/>
        <w:spacing w:after="0" w:line="249" w:lineRule="auto"/>
        <w:rPr>
          <w:sz w:val="20"/>
          <w:szCs w:val="20"/>
          <w:color w:val="auto"/>
        </w:rPr>
      </w:pPr>
      <w:r>
        <w:rPr>
          <w:rFonts w:ascii="Times New Roman" w:cs="Times New Roman" w:eastAsia="Times New Roman" w:hAnsi="Times New Roman"/>
          <w:sz w:val="20"/>
          <w:szCs w:val="20"/>
          <w:color w:val="auto"/>
        </w:rPr>
        <w:t>business workflow, company planning, reporting, goal-setting, and strategy. Prior to assuming that role, Mr. Zagorsek was SoundHound’s Vice President of Product Marketing, from July 2016 to November 2020, in which capacity he was responsible for SoundHound’s marketing activities, including demand generation, product marketing, content marketing, public relations and design. Prior to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 and Corporate Governance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Board oversees the activities of our management in the handling of the business and affairs of our company. Our Class A Common Stock trades on the Nasdaq Global Market and we are subject to listing requirements which include the requirement that our Board be comprised of a majority of “independent” directors. Mr. Marcus, Ms. Sroka and Dr. Ball currently meet the definition of “independent” as defined by the SEC. The Board has separately designated audit, compensation and nominating and governance committees.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Role of Board in Risk Oversight Process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face a number of risks, including those described under the section titled “Risk Factors” in this Annual Report.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Committees of the Board</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standing committees of our Board consist of an Audit Committee, a Compensation Committee, and a Nominating and Corporate Governance Committee. The composition of each committee is set forth below. Committee charters are available on our investor relations website.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Audit Committee</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Board has established an Audit Committee, composed of Dr. Ball, Mr. Marcus and Ms. Sroka, each of whom are independent directors as defined in accordance with section Rule 10A-3 of the Exchange Act and the rules of Nasdaq. Dr. Ball is the chair of the Audit Committee. Our Board has determined that Dr. Ball qualifies as an “audit committee financial expert,” as defined under the rules and regulations of the SEC. Our Audit Committee oversees our corporate accounting, financial reporting practices and the audits of financial statements. For this purpose, the Audit Committee has a charter (which is reviewed annually) and performs several functions. The Audit Committee:</w:t>
      </w:r>
    </w:p>
    <w:p>
      <w:pPr>
        <w:spacing w:after="0" w:line="158" w:lineRule="exact"/>
        <w:rPr>
          <w:sz w:val="20"/>
          <w:szCs w:val="20"/>
          <w:color w:val="auto"/>
        </w:rPr>
      </w:pPr>
    </w:p>
    <w:p>
      <w:pPr>
        <w:ind w:left="960" w:hanging="480"/>
        <w:spacing w:after="0" w:line="243" w:lineRule="auto"/>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evaluates the independence and performance of, and assesses the qualifications of, our independent auditor and engages such independent auditor;</w:t>
      </w:r>
    </w:p>
    <w:p>
      <w:pPr>
        <w:spacing w:after="0" w:line="174" w:lineRule="exact"/>
        <w:rPr>
          <w:rFonts w:ascii="Times New Roman" w:cs="Times New Roman" w:eastAsia="Times New Roman" w:hAnsi="Times New Roman"/>
          <w:sz w:val="20"/>
          <w:szCs w:val="20"/>
          <w:color w:val="auto"/>
        </w:rPr>
      </w:pPr>
    </w:p>
    <w:p>
      <w:pPr>
        <w:ind w:left="960" w:hanging="480"/>
        <w:spacing w:after="0" w:line="268" w:lineRule="auto"/>
        <w:tabs>
          <w:tab w:leader="none" w:pos="96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approves the plan and fees for the annual audit, quarterly reviews, tax and other audit-related services and approves in advance any non-audit service and fees therefor to be provided by the independent auditor;</w:t>
      </w:r>
    </w:p>
    <w:p>
      <w:pPr>
        <w:spacing w:after="0" w:line="152" w:lineRule="exact"/>
        <w:rPr>
          <w:rFonts w:ascii="Times New Roman" w:cs="Times New Roman" w:eastAsia="Times New Roman" w:hAnsi="Times New Roman"/>
          <w:sz w:val="19"/>
          <w:szCs w:val="19"/>
          <w:color w:val="auto"/>
        </w:rPr>
      </w:pPr>
    </w:p>
    <w:p>
      <w:pPr>
        <w:ind w:left="960" w:hanging="480"/>
        <w:spacing w:after="0" w:line="243" w:lineRule="auto"/>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monitors the independence of the independent auditor and the rotation of partners of the independent auditor on our engagement team as required by law;</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the financial statements to be included in our annual reports on Form 10-K and quarterly reports on Form 10-Q and reviews with management and the independent auditors the results of the annual audit and reviews of our quarterly financial statements;</w:t>
      </w:r>
    </w:p>
    <w:p>
      <w:pPr>
        <w:sectPr>
          <w:pgSz w:w="12240" w:h="15840" w:orient="portrait"/>
          <w:cols w:equalWidth="0" w:num="1">
            <w:col w:w="9360"/>
          </w:cols>
          <w:pgMar w:left="1440" w:top="948" w:right="1440" w:bottom="348"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360"/>
          </w:cols>
          <w:pgMar w:left="1440" w:top="948" w:right="1440" w:bottom="348" w:gutter="0" w:footer="0" w:header="0"/>
          <w:type w:val="continuous"/>
        </w:sectPr>
      </w:pPr>
    </w:p>
    <w:bookmarkStart w:id="134" w:name="page135"/>
    <w:bookmarkEnd w:id="134"/>
    <w:p>
      <w:pPr>
        <w:ind w:left="960" w:hanging="480"/>
        <w:spacing w:after="0" w:line="243" w:lineRule="auto"/>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oversees all aspects of our systems of internal accounting and financial reporting control and corporate governance functions on behalf of the board; and</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66" w:lineRule="auto"/>
        <w:tabs>
          <w:tab w:leader="none" w:pos="96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provides oversight assistance in connection with legal, ethical and risk management compliance programs established by management and the board, including compliance with requirements of Sarbanes-Oxley and makes recommendations to the Board regarding corporate governance issues and policy decisions.</w:t>
      </w:r>
    </w:p>
    <w:p>
      <w:pPr>
        <w:spacing w:after="0" w:line="15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Audit Committee also oversees risks from cybersecurity threats as part of its broader risk oversight responsibilities. The Board recognizes the importance of cybersecurity in safeguarding the Company’s assets and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Nominating and Corporate Governance Committee</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Board has established a Nominating and Corporate Governance Committee composed of Mr. Marcus and Dr. Ball, each of whom is independent in accordance with rules of Nasdaq. Mr. Marcus is the chair of the Nominating and Corporate Governance Committee. The Nominating and Corporate Governance Committee is responsible for overseeing the selection of persons to be nominated to serve on the Board and to serve on the standing committees of the Board. The Nominating and Corporate Governance Committee considers persons identified by its members, management, stockholders, investment bankers and others. The Nominating and Corporate Governance Committee considers several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between nominees recommended by stockholders and other persons.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Committee Interlocks and Insider Participation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None of the members of our Compensation Committee is or has been an officer or employee of our Company. None of our executive officers currently serves, or in the past year has served, as a member of the Compensation Committee (or other Board committee performing equivalent functions) of any entity that has one or more of its executive officers serving on our Board or Compensation Committee. See the section titled “Certain Relationships and Related Transactions, and Director Independence” for information about related party transactions involving members of our Compensation Committee or their affiliates.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Code of Ethics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We have adopted a formal code of ethics that applies to our principal executive officer, principal financial officer, principal accounting officer or controller or persons performing similar functions. We will provide a copy of our code of ethics to any person without charge, upon request. For a copy of our code of ethics write to Compliance Officer, SoundHound AI, Inc., 5400 Betsy Ross Drive, Santa Clara, CA 95054. A current copy of our code of ethics is also available on the SEC’s website at </w:t>
      </w:r>
      <w:r>
        <w:rPr>
          <w:rFonts w:ascii="Times New Roman" w:cs="Times New Roman" w:eastAsia="Times New Roman" w:hAnsi="Times New Roman"/>
          <w:sz w:val="20"/>
          <w:szCs w:val="20"/>
          <w:i w:val="1"/>
          <w:iCs w:val="1"/>
          <w:color w:val="auto"/>
        </w:rPr>
        <w:t>http://www.sec.gov</w:t>
      </w:r>
      <w:r>
        <w:rPr>
          <w:rFonts w:ascii="Times New Roman" w:cs="Times New Roman" w:eastAsia="Times New Roman" w:hAnsi="Times New Roman"/>
          <w:sz w:val="20"/>
          <w:szCs w:val="20"/>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Insider Trading Policy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have adopted a formal policy against insider trading which provides guidelines to all of our directors, officers, employees, and consultants with respect to trading in our securities, as well as the securities of publicly traded companies with whom we have a business relationship. This policy has been designed to prevent insider trading or even allegations of insider trading.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Section 16(a) Beneficial Ownership Reporting Compliance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Section 16(a) of the Exchange Act requires our directors, executive officers and ten percent stockholders to file initial reports of ownership and reports of changes in ownership of our Common Stock with the SEC. Directors, executive officers and ten percent stockholders are also required to furnish us with copies of all Section 16(a) forms that they file. Based upon a review of these filings, the Company believes that all required Section 16(a) filings were made on a timely basis during fiscal year 2025.</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360"/>
          </w:cols>
          <w:pgMar w:left="1440" w:top="948" w:right="1440" w:bottom="348" w:gutter="0" w:footer="0" w:header="0"/>
          <w:type w:val="continuous"/>
        </w:sectPr>
      </w:pPr>
    </w:p>
    <w:bookmarkStart w:id="135" w:name="page136"/>
    <w:bookmarkEnd w:id="135"/>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Discussion and Analysis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compensation discussion and analysis (“CD&amp;A”) describes our executive-compensation philosophy and program as reported in the executive compensation tables that follow, which provide information relating primarily to compensation decisions for the following 2025 named executive officers (“NEOs”) of the Company: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51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Position with the Company</w:t>
            </w:r>
          </w:p>
        </w:tc>
      </w:tr>
      <w:tr>
        <w:trPr>
          <w:trHeight w:val="24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Dr. Keyvan Mohajer, CEO</w:t>
            </w: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 Chief Executive Officer</w:t>
            </w:r>
          </w:p>
        </w:tc>
      </w:tr>
      <w:tr>
        <w:trPr>
          <w:trHeight w:val="26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Nitesh Sharan, CFO</w:t>
            </w: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Michael Zagorsek, COO</w:t>
            </w: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Operating Officer</w:t>
            </w:r>
          </w:p>
        </w:tc>
      </w:tr>
      <w:tr>
        <w:trPr>
          <w:trHeight w:val="26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Dr. Majid Emami, CSO</w:t>
            </w: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Chief Science Officer and Senior Vice President of Engineering</w:t>
            </w:r>
          </w:p>
        </w:tc>
      </w:tr>
      <w:tr>
        <w:trPr>
          <w:trHeight w:val="26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James Hom, CPO</w:t>
            </w: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 Chief Product Officer</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Philosophy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have designed our executive compensation programs to support the goals below:</w:t>
      </w:r>
    </w:p>
    <w:p>
      <w:pPr>
        <w:spacing w:after="0" w:line="170" w:lineRule="exact"/>
        <w:rPr>
          <w:sz w:val="20"/>
          <w:szCs w:val="20"/>
          <w:color w:val="auto"/>
        </w:rPr>
      </w:pPr>
    </w:p>
    <w:p>
      <w:pPr>
        <w:ind w:left="960" w:hanging="480"/>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and retain talent that can help us scale as a newly public company and beyond;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and substantially link rewards to measurable corporate and individual performance;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Reinforce alignment of executives with the goal of creating long-term shareholder value;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Start low and grow in progressing overall compensation package value to market.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executives’ total compensation packages emphasize long-term incentives. The Company believes that the compensation of its executive officers should align the executive officers’ interests with those of our shareholders and focus executive officer behavior on achieving both near-term corporate goals and long-term business and strategies. The Compensation Committee reviews and approves all components of the Company’s executive officer compensation, and equity incentive compensation being weighted over 50% of their total compensation ensures that its executive officers are motivated over the long term to respond to the Company’s business challenges and opportunities as owners, thereby aligning the executive officers’ interests with those of our shareholders.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Compensation Committee determined that the structure of our executive compensation policies continues to be appropriately aligned to the achievement of Company goals and objectives and the best interests of shareholders. Corporate performance is taken into account in setting compensation policies and making decisions, which include, but are not limited to, revenue, and profitability.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Governance and Best Practices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are committed to including strong governance standards in our compensation programs. Our key compensation practices include the following:</w:t>
      </w:r>
    </w:p>
    <w:p>
      <w:pPr>
        <w:sectPr>
          <w:pgSz w:w="12240" w:h="15840" w:orient="portrait"/>
          <w:cols w:equalWidth="0" w:num="1">
            <w:col w:w="9360"/>
          </w:cols>
          <w:pgMar w:left="1440" w:top="941" w:right="1440" w:bottom="348" w:gutter="0" w:footer="0" w:header="0"/>
        </w:sectPr>
      </w:pPr>
    </w:p>
    <w:p>
      <w:pPr>
        <w:spacing w:after="0" w:line="18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28956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228pt,1.1pt" o:allowincell="f" strokecolor="#000000" strokeweight="0.5pt"/>
            </w:pict>
          </mc:Fallback>
        </mc:AlternateContent>
      </w:r>
    </w:p>
    <w:p>
      <w:pPr>
        <w:spacing w:after="0" w:line="40" w:lineRule="exact"/>
        <w:rPr>
          <w:sz w:val="20"/>
          <w:szCs w:val="20"/>
          <w:color w:val="auto"/>
        </w:rPr>
      </w:pPr>
    </w:p>
    <w:p>
      <w:pPr>
        <w:ind w:left="360" w:hanging="360"/>
        <w:spacing w:after="0"/>
        <w:tabs>
          <w:tab w:leader="none" w:pos="360" w:val="left"/>
        </w:tabs>
        <w:numPr>
          <w:ilvl w:val="0"/>
          <w:numId w:val="60"/>
        </w:numPr>
        <w:rPr>
          <w:rFonts w:ascii="Wingdings" w:cs="Wingdings" w:eastAsia="Wingdings" w:hAnsi="Wingdings"/>
          <w:sz w:val="20"/>
          <w:szCs w:val="20"/>
          <w:color w:val="auto"/>
        </w:rPr>
      </w:pPr>
      <w:r>
        <w:rPr>
          <w:rFonts w:ascii="Times New Roman" w:cs="Times New Roman" w:eastAsia="Times New Roman" w:hAnsi="Times New Roman"/>
          <w:sz w:val="20"/>
          <w:szCs w:val="20"/>
          <w:color w:val="auto"/>
        </w:rPr>
        <w:t>Prioritize performance-based, at-risk compensation</w:t>
      </w:r>
    </w:p>
    <w:p>
      <w:pPr>
        <w:spacing w:after="0" w:line="191" w:lineRule="exact"/>
        <w:rPr>
          <w:rFonts w:ascii="Wingdings" w:cs="Wingdings" w:eastAsia="Wingdings" w:hAnsi="Wingdings"/>
          <w:sz w:val="20"/>
          <w:szCs w:val="20"/>
          <w:color w:val="auto"/>
        </w:rPr>
      </w:pPr>
    </w:p>
    <w:p>
      <w:pPr>
        <w:ind w:left="360" w:right="580" w:hanging="360"/>
        <w:spacing w:after="0" w:line="231" w:lineRule="auto"/>
        <w:tabs>
          <w:tab w:leader="none" w:pos="360" w:val="left"/>
        </w:tabs>
        <w:numPr>
          <w:ilvl w:val="0"/>
          <w:numId w:val="60"/>
        </w:numPr>
        <w:rPr>
          <w:rFonts w:ascii="Wingdings" w:cs="Wingdings" w:eastAsia="Wingdings" w:hAnsi="Wingdings"/>
          <w:sz w:val="20"/>
          <w:szCs w:val="20"/>
          <w:color w:val="auto"/>
        </w:rPr>
      </w:pPr>
      <w:r>
        <w:rPr>
          <w:rFonts w:ascii="Times New Roman" w:cs="Times New Roman" w:eastAsia="Times New Roman" w:hAnsi="Times New Roman"/>
          <w:sz w:val="20"/>
          <w:szCs w:val="20"/>
          <w:color w:val="auto"/>
        </w:rPr>
        <w:t>Emphasize equity compensation to promote executive retention</w:t>
      </w:r>
    </w:p>
    <w:p>
      <w:pPr>
        <w:spacing w:after="0" w:line="184" w:lineRule="exact"/>
        <w:rPr>
          <w:rFonts w:ascii="Wingdings" w:cs="Wingdings" w:eastAsia="Wingdings" w:hAnsi="Wingdings"/>
          <w:sz w:val="20"/>
          <w:szCs w:val="20"/>
          <w:color w:val="auto"/>
        </w:rPr>
      </w:pPr>
    </w:p>
    <w:p>
      <w:pPr>
        <w:ind w:left="360" w:hanging="360"/>
        <w:spacing w:after="0"/>
        <w:tabs>
          <w:tab w:leader="none" w:pos="360" w:val="left"/>
        </w:tabs>
        <w:numPr>
          <w:ilvl w:val="0"/>
          <w:numId w:val="60"/>
        </w:numPr>
        <w:rPr>
          <w:rFonts w:ascii="Wingdings" w:cs="Wingdings" w:eastAsia="Wingdings" w:hAnsi="Wingdings"/>
          <w:sz w:val="20"/>
          <w:szCs w:val="20"/>
          <w:color w:val="auto"/>
        </w:rPr>
      </w:pPr>
      <w:r>
        <w:rPr>
          <w:rFonts w:ascii="Times New Roman" w:cs="Times New Roman" w:eastAsia="Times New Roman" w:hAnsi="Times New Roman"/>
          <w:sz w:val="20"/>
          <w:szCs w:val="20"/>
          <w:color w:val="auto"/>
        </w:rPr>
        <w:t>Engage an independent compensation consultant</w:t>
      </w:r>
    </w:p>
    <w:p>
      <w:pPr>
        <w:spacing w:after="0" w:line="200" w:lineRule="exact"/>
        <w:rPr>
          <w:rFonts w:ascii="Wingdings" w:cs="Wingdings" w:eastAsia="Wingdings" w:hAnsi="Wingdings"/>
          <w:sz w:val="20"/>
          <w:szCs w:val="20"/>
          <w:color w:val="auto"/>
        </w:rPr>
      </w:pPr>
    </w:p>
    <w:p>
      <w:pPr>
        <w:spacing w:after="0" w:line="211" w:lineRule="exact"/>
        <w:rPr>
          <w:rFonts w:ascii="Wingdings" w:cs="Wingdings" w:eastAsia="Wingdings" w:hAnsi="Wingdings"/>
          <w:sz w:val="20"/>
          <w:szCs w:val="20"/>
          <w:color w:val="auto"/>
        </w:rPr>
      </w:pPr>
    </w:p>
    <w:p>
      <w:pPr>
        <w:ind w:left="360" w:hanging="360"/>
        <w:spacing w:after="0" w:line="231" w:lineRule="auto"/>
        <w:tabs>
          <w:tab w:leader="none" w:pos="360" w:val="left"/>
        </w:tabs>
        <w:numPr>
          <w:ilvl w:val="0"/>
          <w:numId w:val="60"/>
        </w:numPr>
        <w:rPr>
          <w:rFonts w:ascii="Wingdings" w:cs="Wingdings" w:eastAsia="Wingdings" w:hAnsi="Wingdings"/>
          <w:sz w:val="20"/>
          <w:szCs w:val="20"/>
          <w:color w:val="auto"/>
        </w:rPr>
      </w:pPr>
      <w:r>
        <w:rPr>
          <w:rFonts w:ascii="Times New Roman" w:cs="Times New Roman" w:eastAsia="Times New Roman" w:hAnsi="Times New Roman"/>
          <w:sz w:val="20"/>
          <w:szCs w:val="20"/>
          <w:color w:val="auto"/>
        </w:rPr>
        <w:t>Grant compensation that aligns executives with our goal of creating long-term shareholder value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What We Do Not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28575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225pt,1.1pt" o:allowincell="f" strokecolor="#000000" strokeweight="0.5pt"/>
            </w:pict>
          </mc:Fallback>
        </mc:AlternateContent>
      </w:r>
    </w:p>
    <w:p>
      <w:pPr>
        <w:spacing w:after="0" w:line="40" w:lineRule="exact"/>
        <w:rPr>
          <w:sz w:val="20"/>
          <w:szCs w:val="20"/>
          <w:color w:val="auto"/>
        </w:rPr>
      </w:pPr>
    </w:p>
    <w:p>
      <w:pPr>
        <w:ind w:left="360" w:hanging="360"/>
        <w:spacing w:after="0"/>
        <w:tabs>
          <w:tab w:leader="none" w:pos="360" w:val="left"/>
        </w:tabs>
        <w:numPr>
          <w:ilvl w:val="0"/>
          <w:numId w:val="61"/>
        </w:numPr>
        <w:rPr>
          <w:rFonts w:ascii="Wingdings 2" w:cs="Wingdings 2" w:eastAsia="Wingdings 2" w:hAnsi="Wingdings 2"/>
          <w:sz w:val="20"/>
          <w:szCs w:val="20"/>
          <w:color w:val="auto"/>
        </w:rPr>
      </w:pPr>
      <w:r>
        <w:rPr>
          <w:rFonts w:ascii="Times New Roman" w:cs="Times New Roman" w:eastAsia="Times New Roman" w:hAnsi="Times New Roman"/>
          <w:sz w:val="20"/>
          <w:szCs w:val="20"/>
          <w:color w:val="auto"/>
        </w:rPr>
        <w:t>Provide significant perquisites</w:t>
      </w:r>
    </w:p>
    <w:p>
      <w:pPr>
        <w:spacing w:after="0" w:line="184" w:lineRule="exact"/>
        <w:rPr>
          <w:rFonts w:ascii="Wingdings 2" w:cs="Wingdings 2" w:eastAsia="Wingdings 2" w:hAnsi="Wingdings 2"/>
          <w:sz w:val="20"/>
          <w:szCs w:val="20"/>
          <w:color w:val="auto"/>
        </w:rPr>
      </w:pPr>
    </w:p>
    <w:p>
      <w:pPr>
        <w:ind w:left="360" w:hanging="360"/>
        <w:spacing w:after="0"/>
        <w:tabs>
          <w:tab w:leader="none" w:pos="360" w:val="left"/>
        </w:tabs>
        <w:numPr>
          <w:ilvl w:val="0"/>
          <w:numId w:val="61"/>
        </w:numPr>
        <w:rPr>
          <w:rFonts w:ascii="Wingdings 2" w:cs="Wingdings 2" w:eastAsia="Wingdings 2" w:hAnsi="Wingdings 2"/>
          <w:sz w:val="20"/>
          <w:szCs w:val="20"/>
          <w:color w:val="auto"/>
        </w:rPr>
      </w:pPr>
      <w:r>
        <w:rPr>
          <w:rFonts w:ascii="Times New Roman" w:cs="Times New Roman" w:eastAsia="Times New Roman" w:hAnsi="Times New Roman"/>
          <w:sz w:val="20"/>
          <w:szCs w:val="20"/>
          <w:color w:val="auto"/>
        </w:rPr>
        <w:t>Permit hedging or pledging of our stock</w:t>
      </w:r>
    </w:p>
    <w:p>
      <w:pPr>
        <w:spacing w:after="0" w:line="200" w:lineRule="exact"/>
        <w:rPr>
          <w:rFonts w:ascii="Wingdings 2" w:cs="Wingdings 2" w:eastAsia="Wingdings 2" w:hAnsi="Wingdings 2"/>
          <w:sz w:val="20"/>
          <w:szCs w:val="20"/>
          <w:color w:val="auto"/>
        </w:rPr>
      </w:pPr>
    </w:p>
    <w:p>
      <w:pPr>
        <w:spacing w:after="0" w:line="210" w:lineRule="exact"/>
        <w:rPr>
          <w:rFonts w:ascii="Wingdings 2" w:cs="Wingdings 2" w:eastAsia="Wingdings 2" w:hAnsi="Wingdings 2"/>
          <w:sz w:val="20"/>
          <w:szCs w:val="20"/>
          <w:color w:val="auto"/>
        </w:rPr>
      </w:pPr>
    </w:p>
    <w:p>
      <w:pPr>
        <w:ind w:left="360" w:right="60" w:hanging="360"/>
        <w:spacing w:after="0" w:line="231" w:lineRule="auto"/>
        <w:tabs>
          <w:tab w:leader="none" w:pos="360" w:val="left"/>
        </w:tabs>
        <w:numPr>
          <w:ilvl w:val="0"/>
          <w:numId w:val="61"/>
        </w:numPr>
        <w:rPr>
          <w:rFonts w:ascii="Wingdings 2" w:cs="Wingdings 2" w:eastAsia="Wingdings 2" w:hAnsi="Wingdings 2"/>
          <w:sz w:val="20"/>
          <w:szCs w:val="20"/>
          <w:color w:val="auto"/>
        </w:rPr>
      </w:pPr>
      <w:r>
        <w:rPr>
          <w:rFonts w:ascii="Times New Roman" w:cs="Times New Roman" w:eastAsia="Times New Roman" w:hAnsi="Times New Roman"/>
          <w:sz w:val="20"/>
          <w:szCs w:val="20"/>
          <w:color w:val="auto"/>
        </w:rPr>
        <w:t>Provide single-trigger cash payments upon a change in control</w:t>
      </w:r>
    </w:p>
    <w:p>
      <w:pPr>
        <w:spacing w:after="0" w:line="184" w:lineRule="exact"/>
        <w:rPr>
          <w:rFonts w:ascii="Wingdings 2" w:cs="Wingdings 2" w:eastAsia="Wingdings 2" w:hAnsi="Wingdings 2"/>
          <w:sz w:val="20"/>
          <w:szCs w:val="20"/>
          <w:color w:val="auto"/>
        </w:rPr>
      </w:pPr>
    </w:p>
    <w:p>
      <w:pPr>
        <w:ind w:left="360" w:hanging="360"/>
        <w:spacing w:after="0"/>
        <w:tabs>
          <w:tab w:leader="none" w:pos="360" w:val="left"/>
        </w:tabs>
        <w:numPr>
          <w:ilvl w:val="0"/>
          <w:numId w:val="61"/>
        </w:numPr>
        <w:rPr>
          <w:rFonts w:ascii="Wingdings 2" w:cs="Wingdings 2" w:eastAsia="Wingdings 2" w:hAnsi="Wingdings 2"/>
          <w:sz w:val="20"/>
          <w:szCs w:val="20"/>
          <w:color w:val="auto"/>
        </w:rPr>
      </w:pPr>
      <w:r>
        <w:rPr>
          <w:rFonts w:ascii="Times New Roman" w:cs="Times New Roman" w:eastAsia="Times New Roman" w:hAnsi="Times New Roman"/>
          <w:sz w:val="20"/>
          <w:szCs w:val="20"/>
          <w:color w:val="auto"/>
        </w:rPr>
        <w:t>Provide tax-gross ups</w:t>
      </w:r>
    </w:p>
    <w:p>
      <w:pPr>
        <w:spacing w:after="0" w:line="419" w:lineRule="exact"/>
        <w:rPr>
          <w:sz w:val="20"/>
          <w:szCs w:val="20"/>
          <w:color w:val="auto"/>
        </w:rPr>
      </w:pPr>
    </w:p>
    <w:p>
      <w:pPr>
        <w:sectPr>
          <w:pgSz w:w="12240" w:h="15840" w:orient="portrait"/>
          <w:cols w:equalWidth="0" w:num="2">
            <w:col w:w="4460" w:space="280"/>
            <w:col w:w="4620"/>
          </w:cols>
          <w:pgMar w:left="1440" w:top="941" w:right="1440" w:bottom="34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360"/>
          </w:cols>
          <w:pgMar w:left="1440" w:top="941" w:right="1440" w:bottom="348"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Advisory Vote on Executive Compensation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Compensation Committee reviewed the results of our most recent Say-on-Pay vote in 2025 and determined that the strong support the proposal received was reflective of shareholders’ approval of our compensation program for our NEOs. As such, we have maintained our compensation program in substantially the same form as approved by our shareholders.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Determination of Executive Compensation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Role of the Compensation Committee</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Our Compensation Committee is responsible for establishing and overseeing our executive compensation programs, and annually reviewing and determining the compensation to be provided to our NEOs.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setting executive compensation, the Compensation Committee considers a number of factors, including the recommendations of our Chief Executive Officer (other than with respect to his own compensation), current and past total compensation, market compensation data provided by an independent compensation consultant, our financial and operational performance in the most recent fiscal year, and each executive’s impact on our performance. Our Chief Executive Officer makes recommendations based on his evaluation of each executive’s performance, of which he has direct knowledge.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Role of Management</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Our executives consulted with the Compensation Committee in 2025 and provided valuable insights into the Company’s operations and future expectations. The Compensation Committee also sought and received feedback from executives regarding how compensation plans should be structured to provide the maximum benefit to the Company. The Compensation Committee met in executive session to discuss, deliberate, and decide executive compensation.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Role of Compensation Consultant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Compensation Committee has engaged Compensia (“Compensia” or the “Compensation Consultant”), most recently in July 2025, to provide executive compensation consulting services. At this time, Compensia provided services related to the review of our compensation levels, our equity awards, the structure of our incentive compensation plans, equity ownership, regulatory developments, and our compensation peer group. Compensia did not provide any services to the Company other than its engagement by the Compensation Committee. The Compensation Committee reviewed Compensia’s independence under NASDAQ and SEC rules and concluded that its work has not raised any conflict of interest.</w:t>
      </w:r>
    </w:p>
    <w:p>
      <w:pPr>
        <w:spacing w:after="0" w:line="170"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Compensia previously developed the below peer group prior to July 2025, which was used to inform our executive compensation programs at the beginning of the year, except for our equity compensation program. Specifically, we use peer group data to obtain compensation benchmarks for our named executive officers, specifically with technology companies, with a focus on software companies, with revenue below $500M and market cap between $500M to $3B.</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Agilysys</w:t>
            </w:r>
          </w:p>
        </w:tc>
        <w:tc>
          <w:tcPr>
            <w:tcW w:w="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Fastly</w:t>
            </w:r>
          </w:p>
        </w:tc>
        <w:tc>
          <w:tcPr>
            <w:tcW w:w="5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Olo</w:t>
            </w:r>
          </w:p>
        </w:tc>
        <w:tc>
          <w:tcPr>
            <w:tcW w:w="4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7"/>
              </w:rPr>
              <w:t>Sprout Social</w:t>
            </w:r>
          </w:p>
        </w:tc>
      </w:tr>
      <w:tr>
        <w:trPr>
          <w:trHeight w:val="40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Amplitude</w:t>
            </w:r>
          </w:p>
        </w:tc>
        <w:tc>
          <w:tcPr>
            <w:tcW w:w="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iLearningEngines</w:t>
            </w:r>
          </w:p>
        </w:tc>
        <w:tc>
          <w:tcPr>
            <w:tcW w:w="5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PagerDuty</w:t>
            </w:r>
          </w:p>
        </w:tc>
        <w:tc>
          <w:tcPr>
            <w:tcW w:w="4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Yext</w:t>
            </w:r>
          </w:p>
        </w:tc>
      </w:tr>
      <w:tr>
        <w:trPr>
          <w:trHeight w:val="40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Appian</w:t>
            </w:r>
          </w:p>
        </w:tc>
        <w:tc>
          <w:tcPr>
            <w:tcW w:w="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Intapp</w:t>
            </w:r>
          </w:p>
        </w:tc>
        <w:tc>
          <w:tcPr>
            <w:tcW w:w="5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PROS Holdings</w:t>
            </w:r>
          </w:p>
        </w:tc>
        <w:tc>
          <w:tcPr>
            <w:tcW w:w="4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Zuora</w:t>
            </w:r>
          </w:p>
        </w:tc>
      </w:tr>
      <w:tr>
        <w:trPr>
          <w:trHeight w:val="40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Braze</w:t>
            </w:r>
          </w:p>
        </w:tc>
        <w:tc>
          <w:tcPr>
            <w:tcW w:w="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JFrog</w:t>
            </w:r>
          </w:p>
        </w:tc>
        <w:tc>
          <w:tcPr>
            <w:tcW w:w="5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Riot Platforms</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C3.ai</w:t>
            </w:r>
          </w:p>
        </w:tc>
        <w:tc>
          <w:tcPr>
            <w:tcW w:w="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nCino</w:t>
            </w:r>
          </w:p>
        </w:tc>
        <w:tc>
          <w:tcPr>
            <w:tcW w:w="5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Semrush Holdings</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current executive compensation packages are benchmarked conservatively to be reflective of a newly public company, but also competitive enough to attract and retain the right talent. Our executive compensation decisions are informed by competitive market data in addition to the reviews of individual roles and performance.</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9360"/>
          </w:cols>
          <w:pgMar w:left="1440" w:top="942" w:right="1440" w:bottom="348" w:gutter="0" w:footer="0" w:header="0"/>
          <w:type w:val="continuous"/>
        </w:sectPr>
      </w:pPr>
    </w:p>
    <w:bookmarkStart w:id="137" w:name="page138"/>
    <w:bookmarkEnd w:id="137"/>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review our compensation levels annually against our peer group and assess executives based on their individual performance and overall company performance. Compensia developed the new peer group below in July 2025, which was utilized by our Compensation Committee in the compensation review in August 2025 and used to inform our 2025 equity grants to our NEOs. The new peer group data was used to obtain compensation benchmarks for our named executive officers. The new peer group is comprised of technology companies, with a focus on software companies, with revenue below $1B and market cap between $1B to $8B.</w:t>
      </w:r>
    </w:p>
    <w:p>
      <w:pPr>
        <w:spacing w:after="0" w:line="202"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Agilysys</w:t>
            </w:r>
          </w:p>
        </w:tc>
        <w:tc>
          <w:tcPr>
            <w:tcW w:w="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Braze</w:t>
            </w:r>
          </w:p>
        </w:tc>
        <w:tc>
          <w:tcPr>
            <w:tcW w:w="7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JFrog</w:t>
            </w:r>
          </w:p>
        </w:tc>
        <w:tc>
          <w:tcPr>
            <w:tcW w:w="7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Riot Platforms</w:t>
            </w:r>
          </w:p>
        </w:tc>
      </w:tr>
      <w:tr>
        <w:trPr>
          <w:trHeight w:val="40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Amplitude</w:t>
            </w:r>
          </w:p>
        </w:tc>
        <w:tc>
          <w:tcPr>
            <w:tcW w:w="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C3.ai</w:t>
            </w:r>
          </w:p>
        </w:tc>
        <w:tc>
          <w:tcPr>
            <w:tcW w:w="7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nCino</w:t>
            </w:r>
          </w:p>
        </w:tc>
        <w:tc>
          <w:tcPr>
            <w:tcW w:w="7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8"/>
              </w:rPr>
              <w:t>Semrush Holdings</w:t>
            </w:r>
          </w:p>
        </w:tc>
      </w:tr>
      <w:tr>
        <w:trPr>
          <w:trHeight w:val="40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AppFolio</w:t>
            </w:r>
          </w:p>
        </w:tc>
        <w:tc>
          <w:tcPr>
            <w:tcW w:w="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Freshworks</w:t>
            </w:r>
          </w:p>
        </w:tc>
        <w:tc>
          <w:tcPr>
            <w:tcW w:w="7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Olo</w:t>
            </w:r>
          </w:p>
        </w:tc>
        <w:tc>
          <w:tcPr>
            <w:tcW w:w="7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Sprinklr</w:t>
            </w:r>
          </w:p>
        </w:tc>
      </w:tr>
      <w:tr>
        <w:trPr>
          <w:trHeight w:val="40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Appian</w:t>
            </w:r>
          </w:p>
        </w:tc>
        <w:tc>
          <w:tcPr>
            <w:tcW w:w="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Intapp</w:t>
            </w:r>
          </w:p>
        </w:tc>
        <w:tc>
          <w:tcPr>
            <w:tcW w:w="7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One Stream</w:t>
            </w:r>
          </w:p>
        </w:tc>
        <w:tc>
          <w:tcPr>
            <w:tcW w:w="7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Sprout Social</w:t>
            </w:r>
          </w:p>
        </w:tc>
      </w:tr>
      <w:tr>
        <w:trPr>
          <w:trHeight w:val="40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Asna</w:t>
            </w:r>
          </w:p>
        </w:tc>
        <w:tc>
          <w:tcPr>
            <w:tcW w:w="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InterDigital</w:t>
            </w:r>
          </w:p>
        </w:tc>
        <w:tc>
          <w:tcPr>
            <w:tcW w:w="7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PagerDuty</w:t>
            </w: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Compensation Committee, comprised entirely of independent directors, receives and reviews the recommendations from Compensia, considers any relevant guidance from Compensia, and makes the final decision on compensation for our named executive officers.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Elements of Compensation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NEO compensation consists primarily of a base salary, an annual incentive award, and equity incentive compensation. Base salaries are intended to provide our NEOs with certain, regular payments that align with the market and consider the scope of their role. Annual incentives are intended to align our NEOs with our short-term financial and operational performance goals, and equity compensation is intended to retain NEOs over the long term and align the interests of our NEOs with those of our shareholders. Both annual incentives and equity compensation is considered at-risk, and as such, may not be earned if the NEOs’ and/or the Company’s performance does not attain the desired outcomes. Our Compensation Committee annually reviews each element of the NEOs’ compensation on a holistic basis, and awards compensation to our NEOs, allocating between long-term and short-term compensation and cash and non-cash compensation based on market competitive practices and the advice of our Compensation Consultant. Additionally, our NEOs’ compensation may be subject to clawback, as discussed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Base Salary</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Base salary represents the fixed portion of an executive officer’s compensation and is intended to provide compensation for day-to-day performance. Effective August 1, 2025, the NEOs’ base salaries were adjusted to align with market standards based on a market study conducted by our Compensation Consultant. The amount of the adjustments for each NEO is reflected in the table below. As of December 31, 2025, our NEOs’ annualized base salaries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45"/>
              <w:spacing w:after="0"/>
              <w:rPr>
                <w:sz w:val="20"/>
                <w:szCs w:val="20"/>
                <w:color w:val="auto"/>
              </w:rPr>
            </w:pPr>
            <w:r>
              <w:rPr>
                <w:rFonts w:ascii="Times New Roman" w:cs="Times New Roman" w:eastAsia="Times New Roman" w:hAnsi="Times New Roman"/>
                <w:sz w:val="18"/>
                <w:szCs w:val="18"/>
                <w:b w:val="1"/>
                <w:bCs w:val="1"/>
                <w:color w:val="auto"/>
                <w:w w:val="97"/>
              </w:rPr>
              <w:t>Annualized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5"/>
              <w:spacing w:after="0"/>
              <w:rPr>
                <w:sz w:val="20"/>
                <w:szCs w:val="20"/>
                <w:color w:val="auto"/>
              </w:rPr>
            </w:pPr>
            <w:r>
              <w:rPr>
                <w:rFonts w:ascii="Times New Roman" w:cs="Times New Roman" w:eastAsia="Times New Roman" w:hAnsi="Times New Roman"/>
                <w:sz w:val="18"/>
                <w:szCs w:val="18"/>
                <w:b w:val="1"/>
                <w:bCs w:val="1"/>
                <w:color w:val="auto"/>
                <w:w w:val="97"/>
              </w:rPr>
              <w:t>Annualized</w:t>
            </w: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45"/>
              <w:spacing w:after="0" w:line="200" w:lineRule="exact"/>
              <w:rPr>
                <w:sz w:val="20"/>
                <w:szCs w:val="20"/>
                <w:color w:val="auto"/>
              </w:rPr>
            </w:pPr>
            <w:r>
              <w:rPr>
                <w:rFonts w:ascii="Times New Roman" w:cs="Times New Roman" w:eastAsia="Times New Roman" w:hAnsi="Times New Roman"/>
                <w:sz w:val="18"/>
                <w:szCs w:val="18"/>
                <w:b w:val="1"/>
                <w:bCs w:val="1"/>
                <w:color w:val="auto"/>
                <w:w w:val="99"/>
              </w:rPr>
              <w:t>Base Salary</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
              <w:spacing w:after="0" w:line="200" w:lineRule="exact"/>
              <w:rPr>
                <w:sz w:val="20"/>
                <w:szCs w:val="20"/>
                <w:color w:val="auto"/>
              </w:rPr>
            </w:pPr>
            <w:r>
              <w:rPr>
                <w:rFonts w:ascii="Times New Roman" w:cs="Times New Roman" w:eastAsia="Times New Roman" w:hAnsi="Times New Roman"/>
                <w:sz w:val="18"/>
                <w:szCs w:val="18"/>
                <w:b w:val="1"/>
                <w:bCs w:val="1"/>
                <w:color w:val="auto"/>
                <w:w w:val="99"/>
              </w:rPr>
              <w:t>Base Salary</w:t>
            </w: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45"/>
              <w:spacing w:after="0" w:line="200" w:lineRule="exact"/>
              <w:rPr>
                <w:sz w:val="20"/>
                <w:szCs w:val="20"/>
                <w:color w:val="auto"/>
              </w:rPr>
            </w:pPr>
            <w:r>
              <w:rPr>
                <w:rFonts w:ascii="Times New Roman" w:cs="Times New Roman" w:eastAsia="Times New Roman" w:hAnsi="Times New Roman"/>
                <w:sz w:val="18"/>
                <w:szCs w:val="18"/>
                <w:b w:val="1"/>
                <w:bCs w:val="1"/>
                <w:color w:val="auto"/>
                <w:w w:val="97"/>
              </w:rPr>
              <w:t>prior to</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
              <w:spacing w:after="0" w:line="200" w:lineRule="exact"/>
              <w:rPr>
                <w:sz w:val="20"/>
                <w:szCs w:val="20"/>
                <w:color w:val="auto"/>
              </w:rPr>
            </w:pPr>
            <w:r>
              <w:rPr>
                <w:rFonts w:ascii="Times New Roman" w:cs="Times New Roman" w:eastAsia="Times New Roman" w:hAnsi="Times New Roman"/>
                <w:sz w:val="18"/>
                <w:szCs w:val="18"/>
                <w:b w:val="1"/>
                <w:bCs w:val="1"/>
                <w:color w:val="auto"/>
                <w:w w:val="95"/>
              </w:rPr>
              <w:t>as of</w:t>
            </w: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45"/>
              <w:spacing w:after="0" w:line="200" w:lineRule="exact"/>
              <w:rPr>
                <w:sz w:val="20"/>
                <w:szCs w:val="20"/>
                <w:color w:val="auto"/>
              </w:rPr>
            </w:pPr>
            <w:r>
              <w:rPr>
                <w:rFonts w:ascii="Times New Roman" w:cs="Times New Roman" w:eastAsia="Times New Roman" w:hAnsi="Times New Roman"/>
                <w:sz w:val="18"/>
                <w:szCs w:val="18"/>
                <w:b w:val="1"/>
                <w:bCs w:val="1"/>
                <w:color w:val="auto"/>
                <w:w w:val="99"/>
              </w:rPr>
              <w:t>Aug 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3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5"/>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5"/>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47"/>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Dr. Keyvan Mohajer, CEO . . . . . . . . . . . . . . . . . . . . . . . . . . . . . . . . . . . . . . . . .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565,000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Nitesh Sharan, CFO . . . . . . . . . . . . . . . . . . . . . . . . . . . . . . . . . . . . . . . . . . . . . .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465,000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Michael Zagorsek, COO . . . . . . . . . . . . . . . . . . . . . . . . . . . . . . . . . . . . . . . . . . .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465,000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8"/>
              </w:rPr>
              <w:t>Dr. Majid Emami, CSO . . . . . . . . . . . . . . . . . . . . . . . . . . . . . . . . . . . . . . . . . . . .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385,000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James Hom, CPO . . . . . . . . . . . . . . . . . . . . . . . . . . . . . . . . . . . . . . . . . . . . . . . .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385,000</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Annual incentive compensation plan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2025, as part of their employment agreements, executives were eligible for annual incentives, as approved by the Compensation Committee and the Board, with pre-established goals and weightings, which were designed to reward achievements based upon quantitative &amp; qualitative Company performance (the “Company Objectives”), and to incentivize and reward NEOs for achieving performance goals that drive Company performance, align pay and performance, and support the long-term growth of the Company.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9360"/>
          </w:cols>
          <w:pgMar w:left="1440" w:top="948" w:right="1440" w:bottom="348" w:gutter="0" w:footer="0" w:header="0"/>
          <w:type w:val="continuous"/>
        </w:sectPr>
      </w:pPr>
    </w:p>
    <w:bookmarkStart w:id="138" w:name="page139"/>
    <w:bookmarkEnd w:id="138"/>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All incentive payouts are calculated based solely on Company Objectives to closely align compensation with the Company’s performance. The Compensation Committee set thresholds, target, and maximum performance goals, and related payout levels, considering annual cash incentive compensation levels for comparable positions within our peer group. An NEO could earn between 0% and 150% of the NEOs’ Target Award for achievement of Company Objectives, dependent upon the level of achieved performance. Additionally, our Compensation Committee retains the discretion to increase or reduce the amount of any payout. Our 2025 annual bonus compensation plan included the following goals and weightings: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7"/>
                <w:szCs w:val="17"/>
                <w:color w:val="auto"/>
              </w:rPr>
            </w:pP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120"/>
              <w:spacing w:after="0" w:line="200" w:lineRule="exact"/>
              <w:rPr>
                <w:sz w:val="20"/>
                <w:szCs w:val="20"/>
                <w:color w:val="auto"/>
              </w:rPr>
            </w:pPr>
            <w:r>
              <w:rPr>
                <w:rFonts w:ascii="Times New Roman" w:cs="Times New Roman" w:eastAsia="Times New Roman" w:hAnsi="Times New Roman"/>
                <w:sz w:val="18"/>
                <w:szCs w:val="18"/>
                <w:b w:val="1"/>
                <w:bCs w:val="1"/>
                <w:color w:val="auto"/>
                <w:w w:val="97"/>
              </w:rPr>
              <w:t>Performance</w:t>
            </w: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120"/>
              <w:spacing w:after="0" w:line="200" w:lineRule="exact"/>
              <w:rPr>
                <w:sz w:val="20"/>
                <w:szCs w:val="20"/>
                <w:color w:val="auto"/>
              </w:rPr>
            </w:pPr>
            <w:r>
              <w:rPr>
                <w:rFonts w:ascii="Times New Roman" w:cs="Times New Roman" w:eastAsia="Times New Roman" w:hAnsi="Times New Roman"/>
                <w:sz w:val="18"/>
                <w:szCs w:val="18"/>
                <w:b w:val="1"/>
                <w:bCs w:val="1"/>
                <w:color w:val="auto"/>
                <w:w w:val="97"/>
              </w:rPr>
              <w:t>Achievement</w:t>
            </w:r>
          </w:p>
        </w:tc>
      </w:tr>
      <w:tr>
        <w:trPr>
          <w:trHeight w:val="219"/>
        </w:trPr>
        <w:tc>
          <w:tcPr>
            <w:tcW w:w="6360" w:type="dxa"/>
            <w:vAlign w:val="bottom"/>
            <w:tcBorders>
              <w:bottom w:val="single" w:sz="8" w:color="auto"/>
            </w:tcBorders>
          </w:tcPr>
          <w:p>
            <w:pPr>
              <w:spacing w:after="0" w:line="219" w:lineRule="exact"/>
              <w:rPr>
                <w:sz w:val="20"/>
                <w:szCs w:val="20"/>
                <w:color w:val="auto"/>
              </w:rPr>
            </w:pPr>
            <w:r>
              <w:rPr>
                <w:rFonts w:ascii="Times New Roman" w:cs="Times New Roman" w:eastAsia="Times New Roman" w:hAnsi="Times New Roman"/>
                <w:sz w:val="18"/>
                <w:szCs w:val="18"/>
                <w:b w:val="1"/>
                <w:bCs w:val="1"/>
                <w:color w:val="auto"/>
              </w:rPr>
              <w:t>Metric</w:t>
            </w:r>
            <w:r>
              <w:rPr>
                <w:rFonts w:ascii="Times New Roman" w:cs="Times New Roman" w:eastAsia="Times New Roman" w:hAnsi="Times New Roman"/>
                <w:sz w:val="20"/>
                <w:szCs w:val="20"/>
                <w:b w:val="1"/>
                <w:bCs w:val="1"/>
                <w:color w:val="auto"/>
                <w:vertAlign w:val="superscript"/>
              </w:rPr>
              <w:t>(1)</w:t>
            </w:r>
          </w:p>
        </w:tc>
        <w:tc>
          <w:tcPr>
            <w:tcW w:w="180" w:type="dxa"/>
            <w:vAlign w:val="bottom"/>
          </w:tcPr>
          <w:p>
            <w:pPr>
              <w:spacing w:after="0"/>
              <w:rPr>
                <w:sz w:val="19"/>
                <w:szCs w:val="19"/>
                <w:color w:val="auto"/>
              </w:rPr>
            </w:pPr>
          </w:p>
        </w:tc>
        <w:tc>
          <w:tcPr>
            <w:tcW w:w="1260" w:type="dxa"/>
            <w:vAlign w:val="bottom"/>
            <w:tcBorders>
              <w:bottom w:val="single" w:sz="8" w:color="auto"/>
            </w:tcBorders>
          </w:tcPr>
          <w:p>
            <w:pPr>
              <w:ind w:left="360"/>
              <w:spacing w:after="0" w:line="201" w:lineRule="exact"/>
              <w:rPr>
                <w:sz w:val="20"/>
                <w:szCs w:val="20"/>
                <w:color w:val="auto"/>
              </w:rPr>
            </w:pPr>
            <w:r>
              <w:rPr>
                <w:rFonts w:ascii="Times New Roman" w:cs="Times New Roman" w:eastAsia="Times New Roman" w:hAnsi="Times New Roman"/>
                <w:sz w:val="18"/>
                <w:szCs w:val="18"/>
                <w:b w:val="1"/>
                <w:bCs w:val="1"/>
                <w:color w:val="auto"/>
              </w:rPr>
              <w:t>Weight</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(earned %)</w:t>
            </w:r>
          </w:p>
        </w:tc>
        <w:tc>
          <w:tcPr>
            <w:tcW w:w="120" w:type="dxa"/>
            <w:vAlign w:val="bottom"/>
          </w:tcPr>
          <w:p>
            <w:pPr>
              <w:spacing w:after="0"/>
              <w:rPr>
                <w:sz w:val="19"/>
                <w:szCs w:val="19"/>
                <w:color w:val="auto"/>
              </w:rPr>
            </w:pPr>
          </w:p>
        </w:tc>
      </w:t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Revenue . . . . . . . . . . . . . . . . . . . . . . . . . . . . . . . . . . . . . . . . . . . . . . . . . . . . . . . . .</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8"/>
              </w:rPr>
              <w:t>Adjusted EBITDA . . . . . . . . . . . . . . . . . . . . . . . . . . . . . . . . . . . . . . . . . . . . . . . . .</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8"/>
              </w:rPr>
              <w:t>Individual Performance</w:t>
            </w:r>
            <w:r>
              <w:rPr>
                <w:rFonts w:ascii="Times New Roman" w:cs="Times New Roman" w:eastAsia="Times New Roman" w:hAnsi="Times New Roman"/>
                <w:sz w:val="23"/>
                <w:szCs w:val="23"/>
                <w:color w:val="auto"/>
                <w:w w:val="98"/>
                <w:vertAlign w:val="superscript"/>
              </w:rPr>
              <w:t>(2)</w:t>
            </w:r>
            <w:r>
              <w:rPr>
                <w:rFonts w:ascii="Times New Roman" w:cs="Times New Roman" w:eastAsia="Times New Roman" w:hAnsi="Times New Roman"/>
                <w:sz w:val="20"/>
                <w:szCs w:val="20"/>
                <w:color w:val="auto"/>
                <w:w w:val="98"/>
              </w:rPr>
              <w:t xml:space="preserve">  . . . . . . . . . . . . . . . . . . . . . . . . . . . . . . . . . . . . . . . . . . .</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ind w:left="480" w:hanging="480"/>
        <w:spacing w:after="0" w:line="245" w:lineRule="auto"/>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disclosed our Revenue or profitability goals because such disclosure could cause us competitive harm. The Compensation Committee set these goals at levels that we believe to be achievable in connection with strong performance.</w:t>
      </w:r>
    </w:p>
    <w:p>
      <w:pPr>
        <w:spacing w:after="0" w:line="17"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is evaluated based on the NEO’s role-specific initiatives and goals established at the beginning of the performance period, and are reviewed as a holistic assessment of individual contributions towards strategic goals.</w:t>
      </w:r>
    </w:p>
    <w:p>
      <w:pPr>
        <w:spacing w:after="0" w:line="17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Based on the Company’s 2025 performance, the following amounts were earned under our annual bonus compensation plan: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44"/>
              <w:spacing w:after="0"/>
              <w:rPr>
                <w:sz w:val="20"/>
                <w:szCs w:val="20"/>
                <w:color w:val="auto"/>
              </w:rPr>
            </w:pPr>
            <w:r>
              <w:rPr>
                <w:rFonts w:ascii="Times New Roman" w:cs="Times New Roman" w:eastAsia="Times New Roman" w:hAnsi="Times New Roman"/>
                <w:sz w:val="18"/>
                <w:szCs w:val="18"/>
                <w:b w:val="1"/>
                <w:bCs w:val="1"/>
                <w:color w:val="auto"/>
              </w:rPr>
              <w:t>2025 Bonus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w w:val="97"/>
              </w:rPr>
              <w:t>Formulaic</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ind w:left="40"/>
              <w:spacing w:after="0" w:line="200" w:lineRule="exact"/>
              <w:rPr>
                <w:sz w:val="20"/>
                <w:szCs w:val="20"/>
                <w:color w:val="auto"/>
              </w:rPr>
            </w:pPr>
            <w:r>
              <w:rPr>
                <w:rFonts w:ascii="Times New Roman" w:cs="Times New Roman" w:eastAsia="Times New Roman" w:hAnsi="Times New Roman"/>
                <w:sz w:val="18"/>
                <w:szCs w:val="18"/>
                <w:b w:val="1"/>
                <w:bCs w:val="1"/>
                <w:color w:val="auto"/>
              </w:rPr>
              <w:t>2025 Bonus</w:t>
            </w: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2"/>
              <w:spacing w:after="0" w:line="201" w:lineRule="exact"/>
              <w:rPr>
                <w:sz w:val="20"/>
                <w:szCs w:val="20"/>
                <w:color w:val="auto"/>
              </w:rPr>
            </w:pPr>
            <w:r>
              <w:rPr>
                <w:rFonts w:ascii="Times New Roman" w:cs="Times New Roman" w:eastAsia="Times New Roman" w:hAnsi="Times New Roman"/>
                <w:sz w:val="18"/>
                <w:szCs w:val="18"/>
                <w:b w:val="1"/>
                <w:bCs w:val="1"/>
                <w:color w:val="auto"/>
                <w:w w:val="95"/>
              </w:rPr>
              <w:t>Target Bonus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4"/>
              <w:spacing w:after="0" w:line="201"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Earned</w:t>
            </w: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Dr. Keyvan Mohajer, CEO . . . . . . . . . . . . . . . . . . . . . . . . . . . .</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546,333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409,750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20"/>
                <w:szCs w:val="20"/>
                <w:color w:val="auto"/>
                <w:w w:val="89"/>
              </w:rPr>
              <w:t>—</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9"/>
              </w:rPr>
              <w:t>Nitesh Sharan, CFO . . . . . . . . . . . . . . . . . . . . . . . . . . . . . . . . .</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293,529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220,147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20"/>
                <w:szCs w:val="20"/>
                <w:color w:val="auto"/>
                <w:w w:val="89"/>
              </w:rPr>
              <w:t>—</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Michael Zagorsek, COO . . . . . . . . . . . . . . . . . . . . . . . . . . . . . .</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290,496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217,872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20"/>
                <w:szCs w:val="20"/>
                <w:color w:val="auto"/>
                <w:w w:val="89"/>
              </w:rPr>
              <w:t>—</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7"/>
              </w:rPr>
              <w:t>Dr. Majid Emami, CSO . . . . . . . . . . . . . . . . . . . . . . . . . . . . . . .</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186,667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20"/>
                <w:szCs w:val="20"/>
                <w:color w:val="auto"/>
                <w:w w:val="89"/>
              </w:rPr>
              <w:t>—</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9"/>
              </w:rPr>
              <w:t>James Hom, CPO . . . . . . . . . . . . . . . . . . . . . . . . . . . . . . . . . . .</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186,667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20"/>
                <w:szCs w:val="20"/>
                <w:color w:val="auto"/>
                <w:w w:val="89"/>
              </w:rPr>
              <w:t>—</w:t>
            </w:r>
          </w:p>
        </w:tc>
      </w:tr>
    </w:tbl>
    <w:p>
      <w:pPr>
        <w:spacing w:after="0" w:line="15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Bonuses earned were based on our 2025 fiscal year performance. Even though revenue and individual performance targets were met, based on recommendation from the Company’s CEO and CFO, the Compensation Committee reviewed the overall achievement and considered other performance measures of the Company and determined that 0% pay-out on targets was more aligned with our financial goals. Accordingly, the Compensation Committee exercised its discretion to reduce payouts to 0% of the target amount for each of our NEOs.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Equity Incentive Compensation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Compensation Committee believes that equity incentives in the form of service-based vesting restricted stock awards are effective instruments for long-term compensation. Restricted stock awards align individual and team performance with the achievement of the Company’s strategic and financial goals, long-term value creation, and shareholders’ interests. Restricted stock awards are impacted by all stock price changes, so the value to the executive officers is affected by both increases and decreases in stock price from the market price at the date of grant. In determining the NEOs’ restricted stock awards, the Compensation Committee did not consider any compensation amounts previously granted that may have become realizable by our NEOs.</w:t>
      </w:r>
    </w:p>
    <w:p>
      <w:pPr>
        <w:spacing w:after="0" w:line="170" w:lineRule="exact"/>
        <w:rPr>
          <w:sz w:val="20"/>
          <w:szCs w:val="20"/>
          <w:color w:val="auto"/>
        </w:rPr>
      </w:pPr>
    </w:p>
    <w:p>
      <w:pPr>
        <w:jc w:val="both"/>
        <w:ind w:firstLine="480"/>
        <w:spacing w:after="0" w:line="232" w:lineRule="auto"/>
        <w:rPr>
          <w:sz w:val="20"/>
          <w:szCs w:val="20"/>
          <w:color w:val="auto"/>
        </w:rPr>
      </w:pPr>
      <w:r>
        <w:rPr>
          <w:rFonts w:ascii="Times New Roman" w:cs="Times New Roman" w:eastAsia="Times New Roman" w:hAnsi="Times New Roman"/>
          <w:sz w:val="20"/>
          <w:szCs w:val="20"/>
          <w:color w:val="auto"/>
        </w:rPr>
        <w:t>In benchmarking against companies in the same industry that are similar in size, value, and market cap, equity incentive awards for 2025 in the form of Restricted Stock Awards were determined by targeting between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20"/>
          <w:szCs w:val="20"/>
          <w:color w:val="auto"/>
        </w:rPr>
        <w:t xml:space="preserv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20"/>
          <w:szCs w:val="20"/>
          <w:color w:val="auto"/>
        </w:rPr>
        <w:t xml:space="preserve"> percentile of our peer group. Total Compensation packages are highly leveraged on equity to provide overall packages that are both competitive to the market, while aligning our status as a newly public company on the path to profitability.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9360"/>
          </w:cols>
          <w:pgMar w:left="1440" w:top="948" w:right="1440" w:bottom="348" w:gutter="0" w:footer="0" w:header="0"/>
          <w:type w:val="continuous"/>
        </w:sectPr>
      </w:pPr>
    </w:p>
    <w:bookmarkStart w:id="139" w:name="page140"/>
    <w:bookmarkEnd w:id="139"/>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Following the Compensation Committee’s benchmarking and considering the equity awards granted to our NEOs in 2022 in connection with their entering into new employment agreements, the Compensation Committee determined to grant service-based-vesting restricted stock to our NEOs in 2025 to enhance retention. The details of the grants made to each NEO in 2025 are shown in the table below. The awards vest in 36 monthly increments beginning in September 2025 subject to each NEOs continued employment with the Company through the applicable vesting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Restricted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4"/>
              <w:spacing w:after="0" w:line="200" w:lineRule="exact"/>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4"/>
              </w:rPr>
              <w:t>Stock Awards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4"/>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Restricted</w:t>
            </w: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Received in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4"/>
              <w:spacing w:after="0" w:line="200" w:lineRule="exact"/>
              <w:rPr>
                <w:sz w:val="20"/>
                <w:szCs w:val="20"/>
                <w:color w:val="auto"/>
              </w:rPr>
            </w:pPr>
            <w:r>
              <w:rPr>
                <w:rFonts w:ascii="Times New Roman" w:cs="Times New Roman" w:eastAsia="Times New Roman" w:hAnsi="Times New Roman"/>
                <w:sz w:val="18"/>
                <w:szCs w:val="18"/>
                <w:b w:val="1"/>
                <w:bCs w:val="1"/>
                <w:color w:val="auto"/>
                <w:w w:val="94"/>
              </w:rPr>
              <w:t>Stock Awards</w:t>
            </w:r>
          </w:p>
        </w:tc>
      </w:tr>
      <w:tr>
        <w:trPr>
          <w:trHeight w:val="219"/>
        </w:trPr>
        <w:tc>
          <w:tcPr>
            <w:tcW w:w="63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4"/>
              <w:spacing w:after="0" w:line="219" w:lineRule="exact"/>
              <w:rPr>
                <w:sz w:val="20"/>
                <w:szCs w:val="20"/>
                <w:color w:val="auto"/>
              </w:rPr>
            </w:pPr>
            <w:r>
              <w:rPr>
                <w:rFonts w:ascii="Times New Roman" w:cs="Times New Roman" w:eastAsia="Times New Roman" w:hAnsi="Times New Roman"/>
                <w:sz w:val="18"/>
                <w:szCs w:val="18"/>
                <w:b w:val="1"/>
                <w:bCs w:val="1"/>
                <w:color w:val="auto"/>
                <w:w w:val="96"/>
              </w:rPr>
              <w:t>Received</w:t>
            </w:r>
            <w:r>
              <w:rPr>
                <w:rFonts w:ascii="Times New Roman" w:cs="Times New Roman" w:eastAsia="Times New Roman" w:hAnsi="Times New Roman"/>
                <w:sz w:val="20"/>
                <w:szCs w:val="20"/>
                <w:b w:val="1"/>
                <w:bCs w:val="1"/>
                <w:color w:val="auto"/>
                <w:w w:val="96"/>
                <w:vertAlign w:val="superscript"/>
              </w:rPr>
              <w:t>(1)</w:t>
            </w:r>
          </w:p>
        </w:tc>
      </w:t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Dr. Keyvan Mohajer, CEO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8,780,500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Nitesh Sharan, CFO . . .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4,648,500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Michael Zagorsek, COO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4,648,500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8"/>
              </w:rPr>
              <w:t>Dr. Majid Emami, CSO .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2,582,500</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James Hom, CPO . . . . .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2,582,500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588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4pt,5.3pt" o:allowincell="f" strokecolor="#000000" strokeweight="0.5pt"/>
            </w:pict>
          </mc:Fallback>
        </mc:AlternateContent>
      </w:r>
    </w:p>
    <w:p>
      <w:pPr>
        <w:spacing w:after="0" w:line="175" w:lineRule="exact"/>
        <w:rPr>
          <w:sz w:val="20"/>
          <w:szCs w:val="20"/>
          <w:color w:val="auto"/>
        </w:rPr>
      </w:pPr>
    </w:p>
    <w:p>
      <w:pPr>
        <w:jc w:val="both"/>
        <w:ind w:left="480" w:hanging="480"/>
        <w:spacing w:after="0" w:line="250" w:lineRule="auto"/>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the restricted stock awards granted to our named executive officers during the fiscal year ended December 31, 2025 under our 2022 Incentive Plan, calculated in accordance with Financial Accounting Standards Board ASC Topic 718.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Retirement Savings, Health, and Welfare Benefits</w:t>
      </w:r>
    </w:p>
    <w:p>
      <w:pPr>
        <w:spacing w:after="0" w:line="177"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All full-time employees, including the executive officers, are eligible to participate in the health benefits programs, including medical, dental and vision care coverage, disability and life insurance and the Company’s 401(k)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Employee Benefits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generally do not provide perquisites to our NEOs, and we do not view perquisites or other personal benefits as a significant component of our executive compensation program.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Severance and Change in Control Arrangements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Payments to our NEOs upon a termination of employment are described under the “Potential Payments Upon a Termination or Change in Control” table below. These compensation arrangements are contained in each NEO’s employment agreement and are not a factor in the Compensation Committee’s determination of current-year compensation. These arrangements are the result of arm’s length negotiations.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Compensation Policies and Considerations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Derivatives Trading, Hedging, and Pledging Policies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insider trading policy prohibits our executive officers and directors from (i) using any strategies or products (including derivative securities, such as put or call options, or short-selling techniques) to hedge against potential changes in the value of our stock and (ii) holding our stock in margin accounts or pledging our stock as collateral for a loan.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Tax and Accounting Considerations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Compensation Committee considers the tax and accounting consequences of our compensation programs, including the impact of Section 162(m) of the Internal Revenue Code, which generally limits the tax deductibility of compensation paid by public companies to certain executive officers of public companies to $1,000,000. Our Compensation Committee may exercise business judgment in accordance with its compensation philosophy to award compensation that is not tax deductible if it determines that such award is in the best interests of the Company and our stockholders.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9360"/>
          </w:cols>
          <w:pgMar w:left="1440" w:top="948" w:right="1440" w:bottom="348" w:gutter="0" w:footer="0" w:header="0"/>
          <w:type w:val="continuous"/>
        </w:sectPr>
      </w:pPr>
    </w:p>
    <w:bookmarkStart w:id="140" w:name="page141"/>
    <w:bookmarkEnd w:id="140"/>
    <w:p>
      <w:pPr>
        <w:ind w:left="380"/>
        <w:spacing w:after="0"/>
        <w:rPr>
          <w:sz w:val="20"/>
          <w:szCs w:val="20"/>
          <w:color w:val="auto"/>
        </w:rPr>
      </w:pPr>
      <w:r>
        <w:rPr>
          <w:rFonts w:ascii="Times New Roman" w:cs="Times New Roman" w:eastAsia="Times New Roman" w:hAnsi="Times New Roman"/>
          <w:sz w:val="20"/>
          <w:szCs w:val="20"/>
          <w:u w:val="single" w:color="auto"/>
          <w:color w:val="auto"/>
        </w:rPr>
        <w:t>Award Timing</w:t>
      </w:r>
    </w:p>
    <w:p>
      <w:pPr>
        <w:spacing w:after="0" w:line="177" w:lineRule="exact"/>
        <w:rPr>
          <w:sz w:val="20"/>
          <w:szCs w:val="20"/>
          <w:color w:val="auto"/>
        </w:rPr>
      </w:pPr>
    </w:p>
    <w:p>
      <w:pPr>
        <w:jc w:val="both"/>
        <w:ind w:left="380" w:right="260" w:firstLine="480"/>
        <w:spacing w:after="0" w:line="248" w:lineRule="auto"/>
        <w:rPr>
          <w:sz w:val="20"/>
          <w:szCs w:val="20"/>
          <w:color w:val="auto"/>
        </w:rPr>
      </w:pPr>
      <w:r>
        <w:rPr>
          <w:rFonts w:ascii="Times New Roman" w:cs="Times New Roman" w:eastAsia="Times New Roman" w:hAnsi="Times New Roman"/>
          <w:sz w:val="20"/>
          <w:szCs w:val="20"/>
          <w:color w:val="auto"/>
        </w:rPr>
        <w:t>The Compensation Committee does not grant equity awards in anticipation of the release of material nonpublic information. Similarly, we do not time the release of material nonpublic information based on equity award grant dates. Our 2025 equity awards were made in July following our Compensation Consultant’s market analysis of our peer group.</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u w:val="single" w:color="auto"/>
          <w:color w:val="auto"/>
        </w:rPr>
        <w:t>Accounting for Share-Based Compensation</w:t>
      </w:r>
    </w:p>
    <w:p>
      <w:pPr>
        <w:spacing w:after="0" w:line="177" w:lineRule="exact"/>
        <w:rPr>
          <w:sz w:val="20"/>
          <w:szCs w:val="20"/>
          <w:color w:val="auto"/>
        </w:rPr>
      </w:pPr>
    </w:p>
    <w:p>
      <w:pPr>
        <w:jc w:val="both"/>
        <w:ind w:left="380" w:right="260" w:firstLine="480"/>
        <w:spacing w:after="0" w:line="249" w:lineRule="auto"/>
        <w:rPr>
          <w:sz w:val="20"/>
          <w:szCs w:val="20"/>
          <w:color w:val="auto"/>
        </w:rPr>
      </w:pPr>
      <w:r>
        <w:rPr>
          <w:rFonts w:ascii="Times New Roman" w:cs="Times New Roman" w:eastAsia="Times New Roman" w:hAnsi="Times New Roman"/>
          <w:sz w:val="20"/>
          <w:szCs w:val="20"/>
          <w:color w:val="auto"/>
        </w:rPr>
        <w:t>We follow Financial Accounting Standard Board Accounting Standards Codification Topic 718, (“ASC Topic 718”), for our share-based compensation awards. ASC Topic 718 requires companies to measure the compensation expense for all share-based payment awards made to employees and directors based on the grant date fair value of these awards. ASC Topic 718 also requires companies to recognize the compensation cost of their share-based compensation awards in their income statements over the period that an executive officer is required to render service in exchange for the option or other award.</w:t>
      </w:r>
    </w:p>
    <w:p>
      <w:pPr>
        <w:spacing w:after="0" w:line="2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u w:val="single" w:color="auto"/>
          <w:color w:val="auto"/>
        </w:rPr>
        <w:t>Clawback Policy</w:t>
      </w:r>
    </w:p>
    <w:p>
      <w:pPr>
        <w:spacing w:after="0" w:line="177" w:lineRule="exact"/>
        <w:rPr>
          <w:sz w:val="20"/>
          <w:szCs w:val="20"/>
          <w:color w:val="auto"/>
        </w:rPr>
      </w:pPr>
    </w:p>
    <w:p>
      <w:pPr>
        <w:jc w:val="both"/>
        <w:ind w:left="380" w:right="260" w:firstLine="480"/>
        <w:spacing w:after="0" w:line="243" w:lineRule="auto"/>
        <w:rPr>
          <w:sz w:val="20"/>
          <w:szCs w:val="20"/>
          <w:color w:val="auto"/>
        </w:rPr>
      </w:pPr>
      <w:r>
        <w:rPr>
          <w:rFonts w:ascii="Times New Roman" w:cs="Times New Roman" w:eastAsia="Times New Roman" w:hAnsi="Times New Roman"/>
          <w:sz w:val="20"/>
          <w:szCs w:val="20"/>
          <w:color w:val="auto"/>
        </w:rPr>
        <w:t>For information on our Executive Compensation Clawback Policy, see section below entitled “Compensation Recovery and Clawback Policy.”</w:t>
      </w:r>
    </w:p>
    <w:p>
      <w:pPr>
        <w:spacing w:after="0" w:line="2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177" w:lineRule="exact"/>
        <w:rPr>
          <w:sz w:val="20"/>
          <w:szCs w:val="20"/>
          <w:color w:val="auto"/>
        </w:rPr>
      </w:pPr>
    </w:p>
    <w:p>
      <w:pPr>
        <w:jc w:val="both"/>
        <w:ind w:left="380" w:right="26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sets forth certain information for the fiscal years ended December 31, 2025, 2024 and 2023, with respect to compensation awarded to, earned by or paid to our named executive officers.</w:t>
      </w:r>
    </w:p>
    <w:p>
      <w:pPr>
        <w:spacing w:after="0" w:line="2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Summary of Compensation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0"/>
        </w:trPr>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Fiscal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80"/>
              <w:spacing w:after="0" w:line="180" w:lineRule="exact"/>
              <w:rPr>
                <w:sz w:val="20"/>
                <w:szCs w:val="20"/>
                <w:color w:val="auto"/>
              </w:rPr>
            </w:pPr>
            <w:r>
              <w:rPr>
                <w:rFonts w:ascii="Times New Roman" w:cs="Times New Roman" w:eastAsia="Times New Roman" w:hAnsi="Times New Roman"/>
                <w:sz w:val="16"/>
                <w:szCs w:val="16"/>
                <w:b w:val="1"/>
                <w:bCs w:val="1"/>
                <w:color w:val="auto"/>
              </w:rPr>
              <w:t>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Option</w:t>
            </w:r>
          </w:p>
        </w:tc>
        <w:tc>
          <w:tcPr>
            <w:tcW w:w="180" w:type="dxa"/>
            <w:vAlign w:val="bottom"/>
          </w:tcPr>
          <w:p>
            <w:pPr>
              <w:spacing w:after="0"/>
              <w:rPr>
                <w:sz w:val="15"/>
                <w:szCs w:val="15"/>
                <w:color w:val="auto"/>
              </w:rPr>
            </w:pPr>
          </w:p>
        </w:tc>
        <w:tc>
          <w:tcPr>
            <w:tcW w:w="1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Incentive Plan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All Other</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2"/>
        </w:trPr>
        <w:tc>
          <w:tcPr>
            <w:tcW w:w="168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Name</w:t>
            </w:r>
          </w:p>
        </w:tc>
        <w:tc>
          <w:tcPr>
            <w:tcW w:w="180" w:type="dxa"/>
            <w:vAlign w:val="bottom"/>
          </w:tcPr>
          <w:p>
            <w:pPr>
              <w:spacing w:after="0"/>
              <w:rPr>
                <w:sz w:val="17"/>
                <w:szCs w:val="17"/>
                <w:color w:val="auto"/>
              </w:rPr>
            </w:pPr>
          </w:p>
        </w:tc>
        <w:tc>
          <w:tcPr>
            <w:tcW w:w="540" w:type="dxa"/>
            <w:vAlign w:val="bottom"/>
            <w:tcBorders>
              <w:bottom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88"/>
              </w:rPr>
              <w:t>Year</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1"/>
              <w:spacing w:after="0" w:line="180" w:lineRule="exact"/>
              <w:rPr>
                <w:sz w:val="20"/>
                <w:szCs w:val="20"/>
                <w:color w:val="auto"/>
              </w:rPr>
            </w:pPr>
            <w:r>
              <w:rPr>
                <w:rFonts w:ascii="Times New Roman" w:cs="Times New Roman" w:eastAsia="Times New Roman" w:hAnsi="Times New Roman"/>
                <w:sz w:val="16"/>
                <w:szCs w:val="16"/>
                <w:b w:val="1"/>
                <w:bCs w:val="1"/>
                <w:color w:val="auto"/>
              </w:rPr>
              <w:t>Salary</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Bonus</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1"/>
              <w:spacing w:after="0" w:line="202" w:lineRule="exact"/>
              <w:rPr>
                <w:sz w:val="20"/>
                <w:szCs w:val="20"/>
                <w:color w:val="auto"/>
              </w:rPr>
            </w:pPr>
            <w:r>
              <w:rPr>
                <w:rFonts w:ascii="Times New Roman" w:cs="Times New Roman" w:eastAsia="Times New Roman" w:hAnsi="Times New Roman"/>
                <w:sz w:val="16"/>
                <w:szCs w:val="16"/>
                <w:b w:val="1"/>
                <w:bCs w:val="1"/>
                <w:color w:val="auto"/>
                <w:w w:val="97"/>
              </w:rPr>
              <w:t>Awards</w:t>
            </w:r>
            <w:r>
              <w:rPr>
                <w:rFonts w:ascii="Times New Roman" w:cs="Times New Roman" w:eastAsia="Times New Roman" w:hAnsi="Times New Roman"/>
                <w:sz w:val="18"/>
                <w:szCs w:val="18"/>
                <w:b w:val="1"/>
                <w:bCs w:val="1"/>
                <w:color w:val="auto"/>
                <w:w w:val="97"/>
                <w:vertAlign w:val="superscript"/>
              </w:rPr>
              <w:t>(1)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Awards</w:t>
            </w:r>
          </w:p>
        </w:tc>
        <w:tc>
          <w:tcPr>
            <w:tcW w:w="180" w:type="dxa"/>
            <w:vAlign w:val="bottom"/>
          </w:tcPr>
          <w:p>
            <w:pPr>
              <w:spacing w:after="0"/>
              <w:rPr>
                <w:sz w:val="17"/>
                <w:szCs w:val="17"/>
                <w:color w:val="auto"/>
              </w:rPr>
            </w:pPr>
          </w:p>
        </w:tc>
        <w:tc>
          <w:tcPr>
            <w:tcW w:w="1140" w:type="dxa"/>
            <w:vAlign w:val="bottom"/>
            <w:tcBorders>
              <w:bottom w:val="single" w:sz="8" w:color="auto"/>
            </w:tcBorders>
            <w:gridSpan w:val="2"/>
          </w:tcPr>
          <w:p>
            <w:pPr>
              <w:ind w:left="20"/>
              <w:spacing w:after="0" w:line="202" w:lineRule="exact"/>
              <w:rPr>
                <w:sz w:val="20"/>
                <w:szCs w:val="20"/>
                <w:color w:val="auto"/>
              </w:rPr>
            </w:pPr>
            <w:r>
              <w:rPr>
                <w:rFonts w:ascii="Times New Roman" w:cs="Times New Roman" w:eastAsia="Times New Roman" w:hAnsi="Times New Roman"/>
                <w:sz w:val="16"/>
                <w:szCs w:val="16"/>
                <w:b w:val="1"/>
                <w:bCs w:val="1"/>
                <w:color w:val="auto"/>
                <w:w w:val="97"/>
              </w:rPr>
              <w:t>Compensation</w:t>
            </w:r>
            <w:r>
              <w:rPr>
                <w:rFonts w:ascii="Times New Roman" w:cs="Times New Roman" w:eastAsia="Times New Roman" w:hAnsi="Times New Roman"/>
                <w:sz w:val="18"/>
                <w:szCs w:val="18"/>
                <w:b w:val="1"/>
                <w:bCs w:val="1"/>
                <w:color w:val="auto"/>
                <w:w w:val="97"/>
                <w:vertAlign w:val="superscript"/>
              </w:rPr>
              <w:t>(2)</w:t>
            </w:r>
          </w:p>
        </w:tc>
        <w:tc>
          <w:tcPr>
            <w:tcW w:w="180" w:type="dxa"/>
            <w:vAlign w:val="bottom"/>
          </w:tcPr>
          <w:p>
            <w:pPr>
              <w:spacing w:after="0"/>
              <w:rPr>
                <w:sz w:val="17"/>
                <w:szCs w:val="17"/>
                <w:color w:val="auto"/>
              </w:rPr>
            </w:pPr>
          </w:p>
        </w:tc>
        <w:tc>
          <w:tcPr>
            <w:tcW w:w="1040" w:type="dxa"/>
            <w:vAlign w:val="bottom"/>
            <w:tcBorders>
              <w:bottom w:val="single" w:sz="8" w:color="auto"/>
            </w:tcBorders>
            <w:gridSpan w:val="2"/>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1"/>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546,333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8,780,500</w:t>
            </w:r>
            <w:r>
              <w:rPr>
                <w:rFonts w:ascii="Times New Roman" w:cs="Times New Roman" w:eastAsia="Times New Roman" w:hAnsi="Times New Roman"/>
                <w:sz w:val="20"/>
                <w:szCs w:val="20"/>
                <w:color w:val="auto"/>
                <w:vertAlign w:val="superscript"/>
              </w:rPr>
              <w:t>(3)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9,326,833</w:t>
            </w:r>
          </w:p>
        </w:tc>
      </w:tr>
      <w:tr>
        <w:trPr>
          <w:trHeight w:val="211"/>
        </w:trPr>
        <w:tc>
          <w:tcPr>
            <w:tcW w:w="1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CEO</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484,583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6,990,000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242,292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7,716,875</w:t>
            </w:r>
          </w:p>
        </w:tc>
      </w:tr>
      <w:tr>
        <w:trPr>
          <w:trHeight w:val="246"/>
        </w:trPr>
        <w:tc>
          <w:tcPr>
            <w:tcW w:w="1680" w:type="dxa"/>
            <w:vAlign w:val="bottom"/>
          </w:tcPr>
          <w:p>
            <w:pPr>
              <w:spacing w:after="0"/>
              <w:rPr>
                <w:sz w:val="21"/>
                <w:szCs w:val="21"/>
                <w:color w:val="auto"/>
              </w:rPr>
            </w:pP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421,875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1,326,000</w:t>
            </w:r>
          </w:p>
        </w:tc>
        <w:tc>
          <w:tcPr>
            <w:tcW w:w="1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1,863,978</w:t>
            </w:r>
          </w:p>
        </w:tc>
      </w:tr>
      <w:tr>
        <w:trPr>
          <w:trHeight w:val="40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451,583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4,648,500</w:t>
            </w:r>
            <w:r>
              <w:rPr>
                <w:rFonts w:ascii="Times New Roman" w:cs="Times New Roman" w:eastAsia="Times New Roman" w:hAnsi="Times New Roman"/>
                <w:sz w:val="20"/>
                <w:szCs w:val="20"/>
                <w:color w:val="auto"/>
                <w:vertAlign w:val="superscript"/>
              </w:rPr>
              <w:t>(4)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5,100,083</w:t>
            </w:r>
          </w:p>
        </w:tc>
      </w:tr>
      <w:tr>
        <w:trPr>
          <w:trHeight w:val="211"/>
        </w:trPr>
        <w:tc>
          <w:tcPr>
            <w:tcW w:w="1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CFO</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388,333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3,495,000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4,009,541</w:t>
            </w:r>
          </w:p>
        </w:tc>
      </w:tr>
      <w:tr>
        <w:trPr>
          <w:trHeight w:val="246"/>
        </w:trPr>
        <w:tc>
          <w:tcPr>
            <w:tcW w:w="1680" w:type="dxa"/>
            <w:vAlign w:val="bottom"/>
          </w:tcPr>
          <w:p>
            <w:pPr>
              <w:spacing w:after="0"/>
              <w:rPr>
                <w:sz w:val="21"/>
                <w:szCs w:val="21"/>
                <w:color w:val="auto"/>
              </w:rPr>
            </w:pP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773,500</w:t>
            </w:r>
          </w:p>
        </w:tc>
        <w:tc>
          <w:tcPr>
            <w:tcW w:w="1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1,177,681</w:t>
            </w:r>
          </w:p>
        </w:tc>
      </w:tr>
      <w:tr>
        <w:trPr>
          <w:trHeight w:val="40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Michael Zagorsek,</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446,917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4,648,500</w:t>
            </w:r>
            <w:r>
              <w:rPr>
                <w:rFonts w:ascii="Times New Roman" w:cs="Times New Roman" w:eastAsia="Times New Roman" w:hAnsi="Times New Roman"/>
                <w:sz w:val="20"/>
                <w:szCs w:val="20"/>
                <w:color w:val="auto"/>
                <w:vertAlign w:val="superscript"/>
              </w:rPr>
              <w:t>(5)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5,095,417</w:t>
            </w:r>
          </w:p>
        </w:tc>
      </w:tr>
      <w:tr>
        <w:trPr>
          <w:trHeight w:val="211"/>
        </w:trPr>
        <w:tc>
          <w:tcPr>
            <w:tcW w:w="1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COO</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3,495,000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4,005,125</w:t>
            </w:r>
          </w:p>
        </w:tc>
      </w:tr>
      <w:tr>
        <w:trPr>
          <w:trHeight w:val="246"/>
        </w:trPr>
        <w:tc>
          <w:tcPr>
            <w:tcW w:w="1680" w:type="dxa"/>
            <w:vAlign w:val="bottom"/>
          </w:tcPr>
          <w:p>
            <w:pPr>
              <w:spacing w:after="0"/>
              <w:rPr>
                <w:sz w:val="21"/>
                <w:szCs w:val="21"/>
                <w:color w:val="auto"/>
              </w:rPr>
            </w:pP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773,500</w:t>
            </w:r>
          </w:p>
        </w:tc>
        <w:tc>
          <w:tcPr>
            <w:tcW w:w="1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1,177,681</w:t>
            </w:r>
          </w:p>
        </w:tc>
      </w:tr>
      <w:tr>
        <w:trPr>
          <w:trHeight w:val="40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Dr. Majid Emami,</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373,333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2,582,500</w:t>
            </w:r>
            <w:r>
              <w:rPr>
                <w:rFonts w:ascii="Times New Roman" w:cs="Times New Roman" w:eastAsia="Times New Roman" w:hAnsi="Times New Roman"/>
                <w:sz w:val="20"/>
                <w:szCs w:val="20"/>
                <w:color w:val="auto"/>
                <w:vertAlign w:val="superscript"/>
              </w:rPr>
              <w:t>(6)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2,955,833</w:t>
            </w:r>
          </w:p>
        </w:tc>
      </w:tr>
      <w:tr>
        <w:trPr>
          <w:trHeight w:val="211"/>
        </w:trPr>
        <w:tc>
          <w:tcPr>
            <w:tcW w:w="1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CSO</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1,864,000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2,298,375</w:t>
            </w:r>
          </w:p>
        </w:tc>
      </w:tr>
      <w:tr>
        <w:trPr>
          <w:trHeight w:val="246"/>
        </w:trPr>
        <w:tc>
          <w:tcPr>
            <w:tcW w:w="1680" w:type="dxa"/>
            <w:vAlign w:val="bottom"/>
          </w:tcPr>
          <w:p>
            <w:pPr>
              <w:spacing w:after="0"/>
              <w:rPr>
                <w:sz w:val="21"/>
                <w:szCs w:val="21"/>
                <w:color w:val="auto"/>
              </w:rPr>
            </w:pP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493,141</w:t>
            </w:r>
          </w:p>
        </w:tc>
        <w:tc>
          <w:tcPr>
            <w:tcW w:w="1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871,357</w:t>
            </w:r>
          </w:p>
        </w:tc>
      </w:tr>
      <w:tr>
        <w:trPr>
          <w:trHeight w:val="40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373,333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2,582,500</w:t>
            </w:r>
            <w:r>
              <w:rPr>
                <w:rFonts w:ascii="Times New Roman" w:cs="Times New Roman" w:eastAsia="Times New Roman" w:hAnsi="Times New Roman"/>
                <w:sz w:val="20"/>
                <w:szCs w:val="20"/>
                <w:color w:val="auto"/>
                <w:vertAlign w:val="superscript"/>
              </w:rPr>
              <w:t>(7)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2,955,833</w:t>
            </w:r>
          </w:p>
        </w:tc>
      </w:tr>
      <w:tr>
        <w:trPr>
          <w:trHeight w:val="211"/>
        </w:trPr>
        <w:tc>
          <w:tcPr>
            <w:tcW w:w="1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CPO</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1,864,000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2,298,375</w:t>
            </w:r>
          </w:p>
        </w:tc>
      </w:tr>
      <w:tr>
        <w:trPr>
          <w:trHeight w:val="246"/>
        </w:trPr>
        <w:tc>
          <w:tcPr>
            <w:tcW w:w="1680" w:type="dxa"/>
            <w:vAlign w:val="bottom"/>
          </w:tcPr>
          <w:p>
            <w:pPr>
              <w:spacing w:after="0"/>
              <w:rPr>
                <w:sz w:val="21"/>
                <w:szCs w:val="21"/>
                <w:color w:val="auto"/>
              </w:rPr>
            </w:pP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442,000</w:t>
            </w:r>
          </w:p>
        </w:tc>
        <w:tc>
          <w:tcPr>
            <w:tcW w:w="1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820,216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241300</wp:posOffset>
                </wp:positionH>
                <wp:positionV relativeFrom="paragraph">
                  <wp:posOffset>71120</wp:posOffset>
                </wp:positionV>
                <wp:extent cx="5588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pt,5.6pt" to="63pt,5.6pt" o:allowincell="f" strokecolor="#000000" strokeweight="0.5pt"/>
            </w:pict>
          </mc:Fallback>
        </mc:AlternateContent>
      </w:r>
    </w:p>
    <w:p>
      <w:pPr>
        <w:spacing w:after="0" w:line="181" w:lineRule="exact"/>
        <w:rPr>
          <w:sz w:val="20"/>
          <w:szCs w:val="20"/>
          <w:color w:val="auto"/>
        </w:rPr>
      </w:pPr>
    </w:p>
    <w:p>
      <w:pPr>
        <w:jc w:val="both"/>
        <w:ind w:left="860" w:right="260" w:hanging="480"/>
        <w:spacing w:after="0" w:line="252" w:lineRule="auto"/>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stock awards granted to our named executive officers during the fiscal year ended December 31, 2025 under our 2022 Incentive Plan, calculated in accordance with Financial Accounting Standards Board ASC Topic 718. The assumptions used in calculating the grant date fair value of the stock awards are set forth in the notes to our audited financial statements included elsewhere in this Annual Report. This amount does not reflect the actual economic value that may be realized by the named executive officer.</w:t>
      </w:r>
    </w:p>
    <w:p>
      <w:pPr>
        <w:spacing w:after="0" w:line="13" w:lineRule="exact"/>
        <w:rPr>
          <w:rFonts w:ascii="Times New Roman" w:cs="Times New Roman" w:eastAsia="Times New Roman" w:hAnsi="Times New Roman"/>
          <w:sz w:val="18"/>
          <w:szCs w:val="18"/>
          <w:color w:val="auto"/>
        </w:rPr>
      </w:pPr>
    </w:p>
    <w:p>
      <w:pPr>
        <w:jc w:val="both"/>
        <w:ind w:left="860" w:right="260" w:hanging="480"/>
        <w:spacing w:after="0" w:line="250" w:lineRule="auto"/>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our NEOs demonstrated strong performance in 2025 and attained some of the goals under our annual bonus program, our compensation committee used its discretion to reduce bonus payouts for our NEOs to zero. For further information, please see our CD&amp;A.</w:t>
      </w:r>
    </w:p>
    <w:p>
      <w:pPr>
        <w:sectPr>
          <w:pgSz w:w="12240" w:h="15840" w:orient="portrait"/>
          <w:cols w:equalWidth="0" w:num="1">
            <w:col w:w="10000"/>
          </w:cols>
          <w:pgMar w:left="1060" w:top="942" w:right="118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10000"/>
          </w:cols>
          <w:pgMar w:left="1060" w:top="942" w:right="1180" w:bottom="348" w:gutter="0" w:footer="0" w:header="0"/>
          <w:type w:val="continuous"/>
        </w:sectPr>
      </w:pPr>
    </w:p>
    <w:bookmarkStart w:id="141" w:name="page142"/>
    <w:bookmarkEnd w:id="141"/>
    <w:p>
      <w:pPr>
        <w:ind w:left="480" w:hanging="480"/>
        <w:spacing w:after="0"/>
        <w:tabs>
          <w:tab w:leader="none" w:pos="4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fair value of 850,000 service-based vesting restricted stock granted on July 31, 2025 as part of the company wide</w:t>
      </w:r>
    </w:p>
    <w:p>
      <w:pPr>
        <w:spacing w:after="0" w:line="24" w:lineRule="exact"/>
        <w:rPr>
          <w:rFonts w:ascii="Times New Roman" w:cs="Times New Roman" w:eastAsia="Times New Roman" w:hAnsi="Times New Roman"/>
          <w:sz w:val="17"/>
          <w:szCs w:val="17"/>
          <w:color w:val="auto"/>
        </w:rPr>
      </w:pPr>
    </w:p>
    <w:p>
      <w:pPr>
        <w:ind w:left="480"/>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annual compensation review. The restricted stock award will vest as to 1/36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underlying shares in substantially equal increments on a monthly schedule beginning on September 1, 2025 with the remainder vesting over 3 years.</w:t>
      </w:r>
    </w:p>
    <w:p>
      <w:pPr>
        <w:spacing w:after="0" w:line="21" w:lineRule="exact"/>
        <w:rPr>
          <w:rFonts w:ascii="Times New Roman" w:cs="Times New Roman" w:eastAsia="Times New Roman" w:hAnsi="Times New Roman"/>
          <w:sz w:val="17"/>
          <w:szCs w:val="17"/>
          <w:color w:val="auto"/>
        </w:rPr>
      </w:pPr>
    </w:p>
    <w:p>
      <w:pPr>
        <w:ind w:left="480" w:hanging="480"/>
        <w:spacing w:after="0"/>
        <w:tabs>
          <w:tab w:leader="none" w:pos="4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fair value of 450,000 service-based vesting restricted stock granted on July 31, 2025 as part of the company wide</w:t>
      </w:r>
    </w:p>
    <w:p>
      <w:pPr>
        <w:spacing w:after="0" w:line="24" w:lineRule="exact"/>
        <w:rPr>
          <w:rFonts w:ascii="Times New Roman" w:cs="Times New Roman" w:eastAsia="Times New Roman" w:hAnsi="Times New Roman"/>
          <w:sz w:val="17"/>
          <w:szCs w:val="17"/>
          <w:color w:val="auto"/>
        </w:rPr>
      </w:pPr>
    </w:p>
    <w:p>
      <w:pPr>
        <w:ind w:left="480"/>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annual compensation review. The restricted stock award will vest as to 1/36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underlying shares in substantially equal increments on a monthly schedule beginning on September 1, 2025 with the remainder vesting over 3 years.</w:t>
      </w:r>
    </w:p>
    <w:p>
      <w:pPr>
        <w:spacing w:after="0" w:line="21" w:lineRule="exact"/>
        <w:rPr>
          <w:rFonts w:ascii="Times New Roman" w:cs="Times New Roman" w:eastAsia="Times New Roman" w:hAnsi="Times New Roman"/>
          <w:sz w:val="17"/>
          <w:szCs w:val="17"/>
          <w:color w:val="auto"/>
        </w:rPr>
      </w:pPr>
    </w:p>
    <w:p>
      <w:pPr>
        <w:ind w:left="480" w:hanging="480"/>
        <w:spacing w:after="0"/>
        <w:tabs>
          <w:tab w:leader="none" w:pos="4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fair value of 450,000 service-based vesting restricted stock granted on July 31, 2025 as part of the company wide</w:t>
      </w:r>
    </w:p>
    <w:p>
      <w:pPr>
        <w:spacing w:after="0" w:line="24" w:lineRule="exact"/>
        <w:rPr>
          <w:rFonts w:ascii="Times New Roman" w:cs="Times New Roman" w:eastAsia="Times New Roman" w:hAnsi="Times New Roman"/>
          <w:sz w:val="17"/>
          <w:szCs w:val="17"/>
          <w:color w:val="auto"/>
        </w:rPr>
      </w:pPr>
    </w:p>
    <w:p>
      <w:pPr>
        <w:ind w:left="480"/>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annual compensation review. The restricted stock award will vest as to 1/36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underlying shares in substantially equal increments on a monthly schedule beginning on September 1, 2025 with the remainder vesting over 3 years.</w:t>
      </w:r>
    </w:p>
    <w:p>
      <w:pPr>
        <w:spacing w:after="0" w:line="21" w:lineRule="exact"/>
        <w:rPr>
          <w:rFonts w:ascii="Times New Roman" w:cs="Times New Roman" w:eastAsia="Times New Roman" w:hAnsi="Times New Roman"/>
          <w:sz w:val="17"/>
          <w:szCs w:val="17"/>
          <w:color w:val="auto"/>
        </w:rPr>
      </w:pPr>
    </w:p>
    <w:p>
      <w:pPr>
        <w:ind w:left="480" w:hanging="480"/>
        <w:spacing w:after="0"/>
        <w:tabs>
          <w:tab w:leader="none" w:pos="4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fair value of 250,000 service-based vesting restricted stock granted on July 31, 2025 as part of the company wide</w:t>
      </w:r>
    </w:p>
    <w:p>
      <w:pPr>
        <w:spacing w:after="0" w:line="24" w:lineRule="exact"/>
        <w:rPr>
          <w:rFonts w:ascii="Times New Roman" w:cs="Times New Roman" w:eastAsia="Times New Roman" w:hAnsi="Times New Roman"/>
          <w:sz w:val="17"/>
          <w:szCs w:val="17"/>
          <w:color w:val="auto"/>
        </w:rPr>
      </w:pPr>
    </w:p>
    <w:p>
      <w:pPr>
        <w:ind w:left="480"/>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annual compensation review. The restricted stock award will vest as to 1/36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underlying shares in substantially equal increments on a monthly schedule beginning on September 1, 2025 with the remainder vesting over 3 years.</w:t>
      </w:r>
    </w:p>
    <w:p>
      <w:pPr>
        <w:spacing w:after="0" w:line="21" w:lineRule="exact"/>
        <w:rPr>
          <w:rFonts w:ascii="Times New Roman" w:cs="Times New Roman" w:eastAsia="Times New Roman" w:hAnsi="Times New Roman"/>
          <w:sz w:val="17"/>
          <w:szCs w:val="17"/>
          <w:color w:val="auto"/>
        </w:rPr>
      </w:pPr>
    </w:p>
    <w:p>
      <w:pPr>
        <w:ind w:left="480" w:hanging="480"/>
        <w:spacing w:after="0"/>
        <w:tabs>
          <w:tab w:leader="none" w:pos="4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fair value of 250,000 service-based vesting restricted stock granted on July 31, 2025 as part of the company wide</w:t>
      </w:r>
    </w:p>
    <w:p>
      <w:pPr>
        <w:spacing w:after="0" w:line="24" w:lineRule="exact"/>
        <w:rPr>
          <w:rFonts w:ascii="Times New Roman" w:cs="Times New Roman" w:eastAsia="Times New Roman" w:hAnsi="Times New Roman"/>
          <w:sz w:val="17"/>
          <w:szCs w:val="17"/>
          <w:color w:val="auto"/>
        </w:rPr>
      </w:pPr>
    </w:p>
    <w:p>
      <w:pPr>
        <w:ind w:left="480"/>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annual compensation review. The restricted stock award will vest as to 1/36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underlying shares in substantially equal increments on a monthly schedule beginning on September 1, 2025 with the remainder vesting over 3 years.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Grants of Plan-Based Awards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sets forth certain information regarding each grant of plan-based awards made to a named executive officer in the last completed fiscal year under any plan, including awards that subsequently have been transferred.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stock</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gridSpan w:val="8"/>
            <w:vMerge w:val="restart"/>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Estimated future payouts under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80" w:type="dxa"/>
            <w:vAlign w:val="bottom"/>
          </w:tcPr>
          <w:p>
            <w:pPr>
              <w:spacing w:after="0"/>
              <w:rPr>
                <w:sz w:val="17"/>
                <w:szCs w:val="17"/>
                <w:color w:val="auto"/>
              </w:rPr>
            </w:pPr>
          </w:p>
        </w:tc>
        <w:tc>
          <w:tcPr>
            <w:tcW w:w="9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Grant date</w:t>
            </w: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8"/>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5"/>
                <w:szCs w:val="15"/>
                <w:color w:val="auto"/>
              </w:rPr>
            </w:pPr>
          </w:p>
        </w:tc>
        <w:tc>
          <w:tcPr>
            <w:tcW w:w="9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fair value</w:t>
            </w:r>
          </w:p>
        </w:tc>
        <w:tc>
          <w:tcPr>
            <w:tcW w:w="0" w:type="dxa"/>
            <w:vAlign w:val="bottom"/>
          </w:tcPr>
          <w:p>
            <w:pPr>
              <w:spacing w:after="0"/>
              <w:rPr>
                <w:sz w:val="1"/>
                <w:szCs w:val="1"/>
                <w:color w:val="auto"/>
              </w:rPr>
            </w:pPr>
          </w:p>
        </w:tc>
      </w:tr>
      <w:tr>
        <w:trPr>
          <w:trHeight w:val="219"/>
        </w:trPr>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0" w:type="dxa"/>
            <w:vAlign w:val="bottom"/>
            <w:tcBorders>
              <w:bottom w:val="single" w:sz="8" w:color="auto"/>
            </w:tcBorders>
            <w:gridSpan w:val="8"/>
          </w:tcPr>
          <w:p>
            <w:pPr>
              <w:jc w:val="right"/>
              <w:ind w:right="182"/>
              <w:spacing w:after="0" w:line="219" w:lineRule="exact"/>
              <w:rPr>
                <w:sz w:val="20"/>
                <w:szCs w:val="20"/>
                <w:color w:val="auto"/>
              </w:rPr>
            </w:pPr>
            <w:r>
              <w:rPr>
                <w:rFonts w:ascii="Times New Roman" w:cs="Times New Roman" w:eastAsia="Times New Roman" w:hAnsi="Times New Roman"/>
                <w:sz w:val="18"/>
                <w:szCs w:val="18"/>
                <w:b w:val="1"/>
                <w:bCs w:val="1"/>
                <w:color w:val="auto"/>
              </w:rPr>
              <w:t>non-equity incentive plan awards</w:t>
            </w:r>
            <w:r>
              <w:rPr>
                <w:rFonts w:ascii="Times New Roman" w:cs="Times New Roman" w:eastAsia="Times New Roman" w:hAnsi="Times New Roman"/>
                <w:sz w:val="20"/>
                <w:szCs w:val="20"/>
                <w:b w:val="1"/>
                <w:bCs w:val="1"/>
                <w:color w:val="auto"/>
                <w:vertAlign w:val="superscript"/>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of</w:t>
            </w:r>
          </w:p>
        </w:tc>
        <w:tc>
          <w:tcPr>
            <w:tcW w:w="1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0" w:type="dxa"/>
            <w:vAlign w:val="bottom"/>
          </w:tcPr>
          <w:p>
            <w:pPr>
              <w:spacing w:after="0"/>
              <w:rPr>
                <w:sz w:val="1"/>
                <w:szCs w:val="1"/>
                <w:color w:val="auto"/>
              </w:rPr>
            </w:pPr>
          </w:p>
        </w:tc>
      </w:tr>
      <w:tr>
        <w:trPr>
          <w:trHeight w:val="187"/>
        </w:trPr>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18"/>
                <w:szCs w:val="18"/>
                <w:b w:val="1"/>
                <w:bCs w:val="1"/>
                <w:color w:val="auto"/>
              </w:rPr>
              <w:t>Threshold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63"/>
              <w:spacing w:after="0" w:line="187" w:lineRule="exact"/>
              <w:rPr>
                <w:sz w:val="20"/>
                <w:szCs w:val="20"/>
                <w:color w:val="auto"/>
              </w:rPr>
            </w:pPr>
            <w:r>
              <w:rPr>
                <w:rFonts w:ascii="Times New Roman" w:cs="Times New Roman" w:eastAsia="Times New Roman" w:hAnsi="Times New Roman"/>
                <w:sz w:val="18"/>
                <w:szCs w:val="18"/>
                <w:b w:val="1"/>
                <w:bCs w:val="1"/>
                <w:color w:val="auto"/>
              </w:rPr>
              <w:t>Target</w:t>
            </w:r>
          </w:p>
        </w:tc>
        <w:tc>
          <w:tcPr>
            <w:tcW w:w="180" w:type="dxa"/>
            <w:vAlign w:val="bottom"/>
          </w:tcPr>
          <w:p>
            <w:pPr>
              <w:spacing w:after="0"/>
              <w:rPr>
                <w:sz w:val="16"/>
                <w:szCs w:val="16"/>
                <w:color w:val="auto"/>
              </w:rPr>
            </w:pPr>
          </w:p>
        </w:tc>
        <w:tc>
          <w:tcPr>
            <w:tcW w:w="980" w:type="dxa"/>
            <w:vAlign w:val="bottom"/>
            <w:gridSpan w:val="2"/>
          </w:tcPr>
          <w:p>
            <w:pPr>
              <w:jc w:val="right"/>
              <w:ind w:right="2"/>
              <w:spacing w:after="0" w:line="187" w:lineRule="exact"/>
              <w:rPr>
                <w:sz w:val="20"/>
                <w:szCs w:val="20"/>
                <w:color w:val="auto"/>
              </w:rPr>
            </w:pPr>
            <w:r>
              <w:rPr>
                <w:rFonts w:ascii="Times New Roman" w:cs="Times New Roman" w:eastAsia="Times New Roman" w:hAnsi="Times New Roman"/>
                <w:sz w:val="18"/>
                <w:szCs w:val="18"/>
                <w:b w:val="1"/>
                <w:bCs w:val="1"/>
                <w:color w:val="auto"/>
              </w:rPr>
              <w:t>Maximum</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stock or</w:t>
            </w:r>
          </w:p>
        </w:tc>
        <w:tc>
          <w:tcPr>
            <w:tcW w:w="180" w:type="dxa"/>
            <w:vAlign w:val="bottom"/>
          </w:tcPr>
          <w:p>
            <w:pPr>
              <w:spacing w:after="0"/>
              <w:rPr>
                <w:sz w:val="16"/>
                <w:szCs w:val="16"/>
                <w:color w:val="auto"/>
              </w:rPr>
            </w:pPr>
          </w:p>
        </w:tc>
        <w:tc>
          <w:tcPr>
            <w:tcW w:w="9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rPr>
              <w:t>and option</w:t>
            </w:r>
          </w:p>
        </w:tc>
        <w:tc>
          <w:tcPr>
            <w:tcW w:w="0" w:type="dxa"/>
            <w:vAlign w:val="bottom"/>
          </w:tcPr>
          <w:p>
            <w:pPr>
              <w:spacing w:after="0"/>
              <w:rPr>
                <w:sz w:val="1"/>
                <w:szCs w:val="1"/>
                <w:color w:val="auto"/>
              </w:rPr>
            </w:pPr>
          </w:p>
        </w:tc>
      </w:tr>
      <w:tr>
        <w:trPr>
          <w:trHeight w:val="219"/>
        </w:trPr>
        <w:tc>
          <w:tcPr>
            <w:tcW w:w="23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9"/>
                <w:szCs w:val="19"/>
                <w:color w:val="auto"/>
              </w:rPr>
            </w:pPr>
          </w:p>
        </w:tc>
        <w:tc>
          <w:tcPr>
            <w:tcW w:w="11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2"/>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8"/>
                <w:szCs w:val="18"/>
                <w:b w:val="1"/>
                <w:bCs w:val="1"/>
                <w:color w:val="auto"/>
                <w:w w:val="96"/>
              </w:rPr>
              <w:t>units (#)</w:t>
            </w:r>
            <w:r>
              <w:rPr>
                <w:rFonts w:ascii="Times New Roman" w:cs="Times New Roman" w:eastAsia="Times New Roman" w:hAnsi="Times New Roman"/>
                <w:sz w:val="20"/>
                <w:szCs w:val="20"/>
                <w:b w:val="1"/>
                <w:bCs w:val="1"/>
                <w:color w:val="auto"/>
                <w:w w:val="96"/>
                <w:vertAlign w:val="superscript"/>
              </w:rPr>
              <w:t>(1)</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awards</w:t>
            </w:r>
          </w:p>
        </w:tc>
        <w:tc>
          <w:tcPr>
            <w:tcW w:w="0" w:type="dxa"/>
            <w:vAlign w:val="bottom"/>
          </w:tcPr>
          <w:p>
            <w:pPr>
              <w:spacing w:after="0"/>
              <w:rPr>
                <w:sz w:val="1"/>
                <w:szCs w:val="1"/>
                <w:color w:val="auto"/>
              </w:rPr>
            </w:pPr>
          </w:p>
        </w:tc>
      </w:tr>
      <w:tr>
        <w:trPr>
          <w:trHeight w:val="238"/>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Dr. Keyvan Mohajer, CEO . .</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July 31, 2025</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89"/>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546,333</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819,500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850,000</w:t>
            </w:r>
          </w:p>
        </w:tc>
        <w:tc>
          <w:tcPr>
            <w:tcW w:w="11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$ 8,780,500</w:t>
            </w:r>
          </w:p>
        </w:tc>
        <w:tc>
          <w:tcPr>
            <w:tcW w:w="0" w:type="dxa"/>
            <w:vAlign w:val="bottom"/>
          </w:tcPr>
          <w:p>
            <w:pPr>
              <w:spacing w:after="0"/>
              <w:rPr>
                <w:sz w:val="1"/>
                <w:szCs w:val="1"/>
                <w:color w:val="auto"/>
              </w:rPr>
            </w:pPr>
          </w:p>
        </w:tc>
      </w:tr>
      <w:tr>
        <w:trPr>
          <w:trHeight w:val="260"/>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Nitesh Sharan, CFO . . . . . . .</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July 31, 2025</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89"/>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293,529</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440,294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450,000</w:t>
            </w:r>
          </w:p>
        </w:tc>
        <w:tc>
          <w:tcPr>
            <w:tcW w:w="11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$ 4,648,500</w:t>
            </w:r>
          </w:p>
        </w:tc>
        <w:tc>
          <w:tcPr>
            <w:tcW w:w="0" w:type="dxa"/>
            <w:vAlign w:val="bottom"/>
          </w:tcPr>
          <w:p>
            <w:pPr>
              <w:spacing w:after="0"/>
              <w:rPr>
                <w:sz w:val="1"/>
                <w:szCs w:val="1"/>
                <w:color w:val="auto"/>
              </w:rPr>
            </w:pPr>
          </w:p>
        </w:tc>
      </w:tr>
      <w:tr>
        <w:trPr>
          <w:trHeight w:val="260"/>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Michael Zagorsek, COO . . . .</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July 31, 2025</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89"/>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290,496</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435,744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450,000</w:t>
            </w:r>
          </w:p>
        </w:tc>
        <w:tc>
          <w:tcPr>
            <w:tcW w:w="11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$ 4,648,500</w:t>
            </w:r>
          </w:p>
        </w:tc>
        <w:tc>
          <w:tcPr>
            <w:tcW w:w="0" w:type="dxa"/>
            <w:vAlign w:val="bottom"/>
          </w:tcPr>
          <w:p>
            <w:pPr>
              <w:spacing w:after="0"/>
              <w:rPr>
                <w:sz w:val="1"/>
                <w:szCs w:val="1"/>
                <w:color w:val="auto"/>
              </w:rPr>
            </w:pPr>
          </w:p>
        </w:tc>
      </w:tr>
      <w:tr>
        <w:trPr>
          <w:trHeight w:val="260"/>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Dr. Majid Emami, CSO . . . . .</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July 31, 2025</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89"/>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186,667</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250,000</w:t>
            </w:r>
          </w:p>
        </w:tc>
        <w:tc>
          <w:tcPr>
            <w:tcW w:w="11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$ 2,582,500</w:t>
            </w:r>
          </w:p>
        </w:tc>
        <w:tc>
          <w:tcPr>
            <w:tcW w:w="0" w:type="dxa"/>
            <w:vAlign w:val="bottom"/>
          </w:tcPr>
          <w:p>
            <w:pPr>
              <w:spacing w:after="0"/>
              <w:rPr>
                <w:sz w:val="1"/>
                <w:szCs w:val="1"/>
                <w:color w:val="auto"/>
              </w:rPr>
            </w:pPr>
          </w:p>
        </w:tc>
      </w:tr>
      <w:tr>
        <w:trPr>
          <w:trHeight w:val="260"/>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James Hom, CPO . . . . . . . . .</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July 31, 2025</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89"/>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186,667</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250,000</w:t>
            </w:r>
          </w:p>
        </w:tc>
        <w:tc>
          <w:tcPr>
            <w:tcW w:w="116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$ 2,582,500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75" w:lineRule="exact"/>
        <w:rPr>
          <w:sz w:val="20"/>
          <w:szCs w:val="20"/>
          <w:color w:val="auto"/>
        </w:rPr>
      </w:pPr>
    </w:p>
    <w:p>
      <w:pPr>
        <w:jc w:val="both"/>
        <w:ind w:left="480" w:hanging="480"/>
        <w:spacing w:after="0" w:line="250"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vesting-based restricted stock granted on July 31, 2025 as part of the company wide annual compensation review. The service vesting-based restricted stock award will vest 1/36 on a monthly schedule on September 1, 2025 with the remainder vesting over 3 years.</w:t>
      </w:r>
    </w:p>
    <w:p>
      <w:pPr>
        <w:spacing w:after="0" w:line="13"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refer to target and maximum cash payments available to NEOs under the annual incentive compensation plan. Prorated salary changes effective August 1, 2025 were used for full year targets and maximum payouts.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Narrative Disclosure to Summary Compensation Table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Agreements with the Company’s Named Executive Officers as of December 31, 2025</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Mr. Michael Zagorsek, the Company’s Chief Operating Officer, Mr. Timothy Stonehocker, the Company’s Chief Technology Officer, and Mr. James Hom, the Company’s Chief Product Officer, which employment agreements replaced and superseded all prior employment agreements with such named executive officers.</w:t>
      </w:r>
    </w:p>
    <w:p>
      <w:pPr>
        <w:sectPr>
          <w:pgSz w:w="12240" w:h="15840" w:orient="portrait"/>
          <w:cols w:equalWidth="0" w:num="1">
            <w:col w:w="9360"/>
          </w:cols>
          <w:pgMar w:left="1440" w:top="953"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9360"/>
          </w:cols>
          <w:pgMar w:left="1440" w:top="953" w:right="1440" w:bottom="348"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u w:val="single" w:color="auto"/>
          <w:color w:val="auto"/>
        </w:rPr>
        <w:t>Employment Agreement with Keyvan Mohajer, Chief Executive Officer</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Under Dr. Mohajer’s employment agreement (the “June 2022 CEO Employment Agreement”), Dr. Mohajer is entitled to receive a base salary of $450,000 (currently, $565,000). In addition, Dr. Mohajer is eligible to earn an annual incentive bonus, with a target equal to 100%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June 2022 CEO Employment Agreement provides for the grant to Dr. Mohajer of 720,000 restricted stock units (the “RSUs”) under the SoundHound AI, Inc. 2022 Incentive Award Plan (the “2022 Incentive Award Plan”), which grant became effective upon the filing of the Company’s Registration Statement on Form S-8 (the “Form S-8”) filed with the SEC on July 20, 2022 to register shares under the 2022 Incentive Award Plan. The RSUs have a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Dr. Mohajer was also granted 480,000 RSUs that are subject to performance-based vesting (the “PSUs”) under the Incentive Award Plan, which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addition, Dr. Mohajer is eligible to participate in the standard benefit plans offered to similarly situated employees by the Company from time to time.</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June 2022 CEO Employment Agreement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Dr. Mohajer has also entered into the Company’s standard form of confidential information and inventions assignment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Employment Agreement with Nitesh Sharan, Chief Financial Officer</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Under Mr. Sharan’s employment agreement (the “June 2022 CFO Employment Agreement”), Mr. Sharan is entitled to receive a base salary of $350,000 (currently $465,000). In addition, Mr. Sharan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June 2022 CFO Employment Agreement provides for a grant to Mr. Sharan of 300,000 RSUs under the 2022 Incentive Award Plan, which grant became effective upon the filing of the Form S-8 with the SEC. The RSUs have a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9360"/>
          </w:cols>
          <w:pgMar w:left="1440" w:top="942" w:right="1440" w:bottom="348" w:gutter="0" w:footer="0" w:header="0"/>
          <w:type w:val="continuous"/>
        </w:sectPr>
      </w:pPr>
    </w:p>
    <w:bookmarkStart w:id="143" w:name="page144"/>
    <w:bookmarkEnd w:id="143"/>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w:t>
      </w:r>
    </w:p>
    <w:p>
      <w:pPr>
        <w:spacing w:after="0" w:line="2" w:lineRule="exact"/>
        <w:rPr>
          <w:sz w:val="20"/>
          <w:szCs w:val="20"/>
          <w:color w:val="auto"/>
        </w:rPr>
      </w:pPr>
    </w:p>
    <w:p>
      <w:pPr>
        <w:spacing w:after="0" w:line="243" w:lineRule="auto"/>
        <w:tabs>
          <w:tab w:leader="none" w:pos="29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 if the Company is cash-flow positive in a trailing 12 months; (iii) 25% if the Company’s stock price reaches a 90-day average of $15; and (iv) 25% if the Company’s stock price reaches a 90-day average of $20.</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addition, Mr. Sharan is eligible to participate in the standard benefit plans offered to similarly-situated employees by the Company from time to time.</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June 2022 CFO Employment Agreement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Mr. Sharan has also entered into the Company’s standard form of confidential information and inventions assignment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Employment Agreement with Michael Zagorsek, Chief Operating Officer</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Under Mr. Zagorsek’s employment agreement (the “June 2022 COO Employment Agreement”), Mr. Zagorsek is entitled to receive a base salary of $350,000 (currently, $465,000). In addition, Mr. Zagorsek is eligible to earn an annual incentive bonus, with a target equal to 65%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June 2022 COO Employment Agreement provides for a grant to Mr. Zagorsek of 300,000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Zagorsek was granted an additional 225,000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71"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Mr. Zagorsek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w:t>
      </w:r>
    </w:p>
    <w:p>
      <w:pPr>
        <w:spacing w:after="0" w:line="2" w:lineRule="exact"/>
        <w:rPr>
          <w:sz w:val="20"/>
          <w:szCs w:val="20"/>
          <w:color w:val="auto"/>
        </w:rPr>
      </w:pPr>
    </w:p>
    <w:p>
      <w:pPr>
        <w:spacing w:after="0" w:line="243" w:lineRule="auto"/>
        <w:tabs>
          <w:tab w:leader="none" w:pos="29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 if the Company is cash-flow positive in a trailing 12 months; (iii) 25% if the Company’s stock price reaches a 90-day average of $15; and (iv) 25% if the Company’s stock price reaches a 90-day average of $20.</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addition, Mr. Zagorsek is eligible to participate in the standard benefit plans offered to similarlysituated employees by the Company from time to time.</w:t>
      </w:r>
    </w:p>
    <w:p>
      <w:pPr>
        <w:spacing w:after="0" w:line="1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June 2022 COO Employment Agreement specifies certain compensation following termination of employment, including potential severance payments of three months of Mr. Zagorsek’s then current base salary and payment for three months of any COBRA premiums if Mr. Zagorsek’s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9360"/>
          </w:cols>
          <w:pgMar w:left="1440" w:top="948" w:right="1440" w:bottom="348" w:gutter="0" w:footer="0" w:header="0"/>
          <w:type w:val="continuous"/>
        </w:sectPr>
      </w:pPr>
    </w:p>
    <w:bookmarkStart w:id="144" w:name="page145"/>
    <w:bookmarkEnd w:id="144"/>
    <w:p>
      <w:pPr>
        <w:jc w:val="both"/>
        <w:spacing w:after="0" w:line="246" w:lineRule="auto"/>
        <w:rPr>
          <w:sz w:val="20"/>
          <w:szCs w:val="20"/>
          <w:color w:val="auto"/>
        </w:rPr>
      </w:pPr>
      <w:r>
        <w:rPr>
          <w:rFonts w:ascii="Times New Roman" w:cs="Times New Roman" w:eastAsia="Times New Roman" w:hAnsi="Times New Roman"/>
          <w:sz w:val="20"/>
          <w:szCs w:val="20"/>
          <w:color w:val="auto"/>
        </w:rPr>
        <w:t>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Mr. Zagorsek has also entered into the Company’s standard form of confidential information and inventions assignment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Employment Agreement with Seyed Majid Emami, Chief Science Officer &amp; Senior Vice President Engineering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Under Mr. Emami’s employment agreement (the “May 2022 CSO Employment Agreement”), Mr. Emami is entitled to receive a base salary of $335,000 (currently, $385,000). In addition, Mr. Emami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May 2022 CSO Employment Agreement provides for a grant to Mr. Emami of 240,000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Emami was granted an additional 175,000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70"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Mr. Emami was also granted 160,000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w:t>
      </w:r>
    </w:p>
    <w:p>
      <w:pPr>
        <w:spacing w:after="0" w:line="2" w:lineRule="exact"/>
        <w:rPr>
          <w:sz w:val="20"/>
          <w:szCs w:val="20"/>
          <w:color w:val="auto"/>
        </w:rPr>
      </w:pPr>
    </w:p>
    <w:p>
      <w:pPr>
        <w:spacing w:after="0" w:line="243" w:lineRule="auto"/>
        <w:tabs>
          <w:tab w:leader="none" w:pos="29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 if the Company is cash-flow positive in a trailing 12 months; (iii) 25% if the Company’s stock price reaches a 90-day average of $15; and (iv) 25% if the Company’s stock price reaches a 90-day average of $20.</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addition, Mr. Emami is eligible to participate in the standard benefit plans offered to similarly-situated employees by the Company from time to time.</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May 2022 CSO Employment Agreement specifies certain compensation following termination of employment, including potential severance payments of three months of Mr. Emami’s then current base salary and payment for three months of any COBRA premiums if Mr. Emami’s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Mr. Emami has also entered into the Company’s standard form of confidential information and inventions assignment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Employment Agreement with James Hom, Chief Product Officer</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Under Mr. Hom’s employment agreement (the “June 2022 CPO Employment Agreement”), Mr. Hom is entitled to receive a base salary of $335,000 (currently, $385,000). In addition, Mr. Hom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June 2022 CPO Employment Agreement provides for a grant to Mr. Hom of 240,000 RSUs under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 Incentive Award Plan, which became effective upon the filing of the Form S-8 with the SEC. The RSUs have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4-year vesting period vesting in equal quarterly installments with vesting measured from the vesting commencement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9360"/>
          </w:cols>
          <w:pgMar w:left="1440" w:top="948" w:right="1440" w:bottom="348" w:gutter="0" w:footer="0" w:header="0"/>
          <w:type w:val="continuous"/>
        </w:sectPr>
      </w:pPr>
    </w:p>
    <w:bookmarkStart w:id="145" w:name="page146"/>
    <w:bookmarkEnd w:id="145"/>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date of May 1, 2022, subject to continued employment with the Company through each vesting date. In August 2022, Mr. Hom was granted an additional 175,000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69" w:lineRule="exact"/>
        <w:rPr>
          <w:sz w:val="20"/>
          <w:szCs w:val="20"/>
          <w:color w:val="auto"/>
        </w:rPr>
      </w:pPr>
    </w:p>
    <w:p>
      <w:pPr>
        <w:jc w:val="both"/>
        <w:ind w:right="20" w:firstLine="480"/>
        <w:spacing w:after="0" w:line="263" w:lineRule="auto"/>
        <w:rPr>
          <w:sz w:val="20"/>
          <w:szCs w:val="20"/>
          <w:color w:val="auto"/>
        </w:rPr>
      </w:pPr>
      <w:r>
        <w:rPr>
          <w:rFonts w:ascii="Times New Roman" w:cs="Times New Roman" w:eastAsia="Times New Roman" w:hAnsi="Times New Roman"/>
          <w:sz w:val="19"/>
          <w:szCs w:val="19"/>
          <w:color w:val="auto"/>
        </w:rPr>
        <w:t>Mr. Hom was also granted 160,000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w:t>
      </w:r>
    </w:p>
    <w:p>
      <w:pPr>
        <w:spacing w:after="0" w:line="2" w:lineRule="exact"/>
        <w:rPr>
          <w:sz w:val="20"/>
          <w:szCs w:val="20"/>
          <w:color w:val="auto"/>
        </w:rPr>
      </w:pPr>
    </w:p>
    <w:p>
      <w:pPr>
        <w:ind w:right="20"/>
        <w:spacing w:after="0" w:line="243" w:lineRule="auto"/>
        <w:tabs>
          <w:tab w:leader="none" w:pos="29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 if the Company is cash-flow positive in a trailing 12 months; (iii) 25% if the Company’s stock price reaches a 90-day average of $15; and (iv) 25% if the Company’s stock price reaches a 90-day average of $20.</w:t>
      </w:r>
    </w:p>
    <w:p>
      <w:pPr>
        <w:spacing w:after="0" w:line="174"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In addition, Mr. Hom is eligible to participate in the standard benefit plans offered to similarly-situated employees by the Company from time to time.</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June 2022 CPO Employment Agreement specifies certain compensation following termination of employment, including potential severance payments of three months of Mr. Hom’s then current base salary and payment for three months of any COBRA premiums if Mr. Hom’s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74"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Mr. Hom has also entered into the Company’s standard form of confidential information and inventions assignment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Outstanding Equity Awards at 2025 Fiscal Year End</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information regarding outstanding equity awards held by the Company’s named executive officers as of December 31,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96"/>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80"/>
              <w:spacing w:after="0" w:line="195"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18"/>
                <w:szCs w:val="18"/>
                <w:b w:val="1"/>
                <w:bCs w:val="1"/>
                <w:color w:val="auto"/>
              </w:rPr>
              <w:t>incentive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18"/>
                <w:szCs w:val="18"/>
                <w:b w:val="1"/>
                <w:bCs w:val="1"/>
                <w:color w:val="auto"/>
                <w:w w:val="97"/>
              </w:rPr>
              <w:t>plan awards: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7"/>
                <w:szCs w:val="17"/>
                <w:color w:val="auto"/>
              </w:rPr>
            </w:pPr>
          </w:p>
        </w:tc>
        <w:tc>
          <w:tcPr>
            <w:tcW w:w="116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securities</w:t>
            </w: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securities</w:t>
            </w:r>
          </w:p>
        </w:tc>
        <w:tc>
          <w:tcPr>
            <w:tcW w:w="180" w:type="dxa"/>
            <w:vAlign w:val="bottom"/>
          </w:tcPr>
          <w:p>
            <w:pPr>
              <w:spacing w:after="0"/>
              <w:rPr>
                <w:sz w:val="17"/>
                <w:szCs w:val="17"/>
                <w:color w:val="auto"/>
              </w:rPr>
            </w:pPr>
          </w:p>
        </w:tc>
        <w:tc>
          <w:tcPr>
            <w:tcW w:w="116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securities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underlying</w:t>
            </w: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underlying</w:t>
            </w:r>
          </w:p>
        </w:tc>
        <w:tc>
          <w:tcPr>
            <w:tcW w:w="180" w:type="dxa"/>
            <w:vAlign w:val="bottom"/>
          </w:tcPr>
          <w:p>
            <w:pPr>
              <w:spacing w:after="0"/>
              <w:rPr>
                <w:sz w:val="17"/>
                <w:szCs w:val="17"/>
                <w:color w:val="auto"/>
              </w:rPr>
            </w:pPr>
          </w:p>
        </w:tc>
        <w:tc>
          <w:tcPr>
            <w:tcW w:w="116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18"/>
                <w:szCs w:val="18"/>
                <w:b w:val="1"/>
                <w:bCs w:val="1"/>
                <w:color w:val="auto"/>
                <w:w w:val="97"/>
              </w:rPr>
              <w:t>underlying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unexercised</w:t>
            </w: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unexercised</w:t>
            </w:r>
          </w:p>
        </w:tc>
        <w:tc>
          <w:tcPr>
            <w:tcW w:w="180" w:type="dxa"/>
            <w:vAlign w:val="bottom"/>
          </w:tcPr>
          <w:p>
            <w:pPr>
              <w:spacing w:after="0"/>
              <w:rPr>
                <w:sz w:val="17"/>
                <w:szCs w:val="17"/>
                <w:color w:val="auto"/>
              </w:rPr>
            </w:pPr>
          </w:p>
        </w:tc>
        <w:tc>
          <w:tcPr>
            <w:tcW w:w="116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18"/>
                <w:szCs w:val="18"/>
                <w:b w:val="1"/>
                <w:bCs w:val="1"/>
                <w:color w:val="auto"/>
                <w:w w:val="98"/>
              </w:rPr>
              <w:t>unexercised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64"/>
              <w:spacing w:after="0" w:line="200"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00"/>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options (#)</w:t>
            </w: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options (#)</w:t>
            </w:r>
          </w:p>
        </w:tc>
        <w:tc>
          <w:tcPr>
            <w:tcW w:w="180" w:type="dxa"/>
            <w:vAlign w:val="bottom"/>
          </w:tcPr>
          <w:p>
            <w:pPr>
              <w:spacing w:after="0"/>
              <w:rPr>
                <w:sz w:val="17"/>
                <w:szCs w:val="17"/>
                <w:color w:val="auto"/>
              </w:rPr>
            </w:pPr>
          </w:p>
        </w:tc>
        <w:tc>
          <w:tcPr>
            <w:tcW w:w="116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18"/>
                <w:szCs w:val="18"/>
                <w:b w:val="1"/>
                <w:bCs w:val="1"/>
                <w:color w:val="auto"/>
              </w:rPr>
              <w:t>unearned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64"/>
              <w:spacing w:after="0" w:line="200" w:lineRule="exact"/>
              <w:rPr>
                <w:sz w:val="20"/>
                <w:szCs w:val="20"/>
                <w:color w:val="auto"/>
              </w:rPr>
            </w:pPr>
            <w:r>
              <w:rPr>
                <w:rFonts w:ascii="Times New Roman" w:cs="Times New Roman" w:eastAsia="Times New Roman" w:hAnsi="Times New Roman"/>
                <w:sz w:val="18"/>
                <w:szCs w:val="18"/>
                <w:b w:val="1"/>
                <w:bCs w:val="1"/>
                <w:color w:val="auto"/>
                <w:w w:val="95"/>
              </w:rPr>
              <w:t>exercise</w:t>
            </w: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00"/>
        </w:trPr>
        <w:tc>
          <w:tcPr>
            <w:tcW w:w="322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Name</w:t>
            </w: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3"/>
              </w:rPr>
              <w:t>exercisable</w:t>
            </w:r>
            <w:r>
              <w:rPr>
                <w:rFonts w:ascii="Times New Roman" w:cs="Times New Roman" w:eastAsia="Times New Roman" w:hAnsi="Times New Roman"/>
                <w:sz w:val="20"/>
                <w:szCs w:val="20"/>
                <w:b w:val="1"/>
                <w:bCs w:val="1"/>
                <w:color w:val="auto"/>
                <w:w w:val="93"/>
                <w:vertAlign w:val="superscript"/>
              </w:rPr>
              <w:t>(1)</w:t>
            </w: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unexercisable</w:t>
            </w:r>
          </w:p>
        </w:tc>
        <w:tc>
          <w:tcPr>
            <w:tcW w:w="180" w:type="dxa"/>
            <w:vAlign w:val="bottom"/>
          </w:tcPr>
          <w:p>
            <w:pPr>
              <w:spacing w:after="0"/>
              <w:rPr>
                <w:sz w:val="17"/>
                <w:szCs w:val="17"/>
                <w:color w:val="auto"/>
              </w:rPr>
            </w:pPr>
          </w:p>
        </w:tc>
        <w:tc>
          <w:tcPr>
            <w:tcW w:w="116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18"/>
                <w:szCs w:val="18"/>
                <w:b w:val="1"/>
                <w:bCs w:val="1"/>
                <w:color w:val="auto"/>
              </w:rPr>
              <w:t>options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64"/>
              <w:spacing w:after="0" w:line="200" w:lineRule="exact"/>
              <w:rPr>
                <w:sz w:val="20"/>
                <w:szCs w:val="20"/>
                <w:color w:val="auto"/>
              </w:rPr>
            </w:pPr>
            <w:r>
              <w:rPr>
                <w:rFonts w:ascii="Times New Roman" w:cs="Times New Roman" w:eastAsia="Times New Roman" w:hAnsi="Times New Roman"/>
                <w:sz w:val="18"/>
                <w:szCs w:val="18"/>
                <w:b w:val="1"/>
                <w:bCs w:val="1"/>
                <w:color w:val="auto"/>
              </w:rPr>
              <w:t>price ($)</w:t>
            </w:r>
          </w:p>
        </w:tc>
        <w:tc>
          <w:tcPr>
            <w:tcW w:w="18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date</w:t>
            </w:r>
          </w:p>
        </w:tc>
      </w:tr>
      <w:tr>
        <w:trPr>
          <w:trHeight w:val="211"/>
        </w:trPr>
        <w:tc>
          <w:tcPr>
            <w:tcW w:w="30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(c)</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4"/>
              <w:spacing w:after="0" w:line="201" w:lineRule="exact"/>
              <w:rPr>
                <w:sz w:val="20"/>
                <w:szCs w:val="20"/>
                <w:color w:val="auto"/>
              </w:rPr>
            </w:pPr>
            <w:r>
              <w:rPr>
                <w:rFonts w:ascii="Times New Roman" w:cs="Times New Roman" w:eastAsia="Times New Roman" w:hAnsi="Times New Roman"/>
                <w:sz w:val="18"/>
                <w:szCs w:val="18"/>
                <w:b w:val="1"/>
                <w:bCs w:val="1"/>
                <w:color w:val="auto"/>
                <w:w w:val="89"/>
              </w:rPr>
              <w:t>(e)</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(f)</w:t>
            </w:r>
          </w:p>
        </w:tc>
      </w:tr>
      <w:tr>
        <w:trPr>
          <w:trHeight w:val="247"/>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Dr. Keyvan Mohajer, CEO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1"/>
                <w:szCs w:val="21"/>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Nitesh Sharan, CFO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248,677</w:t>
            </w:r>
          </w:p>
        </w:tc>
        <w:tc>
          <w:tcPr>
            <w:tcW w:w="180" w:type="dxa"/>
            <w:vAlign w:val="bottom"/>
          </w:tcPr>
          <w:p>
            <w:pPr>
              <w:spacing w:after="0"/>
              <w:rPr>
                <w:sz w:val="22"/>
                <w:szCs w:val="22"/>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12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9/26/2031</w:t>
            </w:r>
          </w:p>
        </w:tc>
      </w:tr>
      <w:tr>
        <w:trPr>
          <w:trHeight w:val="26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Michael Zagorsek, COO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115,753</w:t>
            </w:r>
          </w:p>
        </w:tc>
        <w:tc>
          <w:tcPr>
            <w:tcW w:w="180" w:type="dxa"/>
            <w:vAlign w:val="bottom"/>
          </w:tcPr>
          <w:p>
            <w:pPr>
              <w:spacing w:after="0"/>
              <w:rPr>
                <w:sz w:val="22"/>
                <w:szCs w:val="22"/>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12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9/6/2027</w:t>
            </w:r>
          </w:p>
        </w:tc>
      </w:tr>
      <w:tr>
        <w:trPr>
          <w:trHeight w:val="260"/>
        </w:trPr>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64,136</w:t>
            </w:r>
          </w:p>
        </w:tc>
        <w:tc>
          <w:tcPr>
            <w:tcW w:w="180" w:type="dxa"/>
            <w:vAlign w:val="bottom"/>
          </w:tcPr>
          <w:p>
            <w:pPr>
              <w:spacing w:after="0"/>
              <w:rPr>
                <w:sz w:val="22"/>
                <w:szCs w:val="22"/>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12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8/15/2029</w:t>
            </w:r>
          </w:p>
        </w:tc>
      </w:tr>
      <w:tr>
        <w:trPr>
          <w:trHeight w:val="260"/>
        </w:trPr>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408,250</w:t>
            </w:r>
          </w:p>
        </w:tc>
        <w:tc>
          <w:tcPr>
            <w:tcW w:w="180" w:type="dxa"/>
            <w:vAlign w:val="bottom"/>
          </w:tcPr>
          <w:p>
            <w:pPr>
              <w:spacing w:after="0"/>
              <w:rPr>
                <w:sz w:val="22"/>
                <w:szCs w:val="22"/>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12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10/26/2030</w:t>
            </w:r>
          </w:p>
        </w:tc>
      </w:tr>
      <w:tr>
        <w:trPr>
          <w:trHeight w:val="26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Dr. Majid Emami, CSO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James Hom, CPO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588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4pt,5.3pt" o:allowincell="f" strokecolor="#000000" strokeweight="0.5pt"/>
            </w:pict>
          </mc:Fallback>
        </mc:AlternateContent>
      </w:r>
    </w:p>
    <w:p>
      <w:pPr>
        <w:spacing w:after="0" w:line="167" w:lineRule="exact"/>
        <w:rPr>
          <w:sz w:val="20"/>
          <w:szCs w:val="20"/>
          <w:color w:val="auto"/>
        </w:rPr>
      </w:pPr>
    </w:p>
    <w:p>
      <w:pPr>
        <w:ind w:left="480" w:hanging="480"/>
        <w:spacing w:after="0"/>
        <w:tabs>
          <w:tab w:leader="none" w:pos="4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fully vested.</w:t>
      </w:r>
    </w:p>
    <w:p>
      <w:pPr>
        <w:sectPr>
          <w:pgSz w:w="12240" w:h="15840" w:orient="portrait"/>
          <w:cols w:equalWidth="0" w:num="1">
            <w:col w:w="9380"/>
          </w:cols>
          <w:pgMar w:left="1440" w:top="948"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9380"/>
          </w:cols>
          <w:pgMar w:left="1440" w:top="948" w:right="1420" w:bottom="348"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96"/>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
              <w:spacing w:after="0" w:line="195" w:lineRule="exact"/>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0"/>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8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incentive plan</w:t>
            </w:r>
          </w:p>
        </w:tc>
      </w:tr>
      <w:tr>
        <w:trPr>
          <w:trHeight w:val="200"/>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incentive plan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
              <w:spacing w:after="0" w:line="200" w:lineRule="exact"/>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00"/>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3"/>
              <w:spacing w:after="0" w:line="200" w:lineRule="exact"/>
              <w:rPr>
                <w:sz w:val="20"/>
                <w:szCs w:val="20"/>
                <w:color w:val="auto"/>
              </w:rPr>
            </w:pPr>
            <w:r>
              <w:rPr>
                <w:rFonts w:ascii="Times New Roman" w:cs="Times New Roman" w:eastAsia="Times New Roman" w:hAnsi="Times New Roman"/>
                <w:sz w:val="18"/>
                <w:szCs w:val="18"/>
                <w:b w:val="1"/>
                <w:bCs w:val="1"/>
                <w:color w:val="auto"/>
              </w:rPr>
              <w:t>market or</w:t>
            </w:r>
          </w:p>
        </w:tc>
      </w:tr>
      <w:tr>
        <w:trPr>
          <w:trHeight w:val="200"/>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3"/>
              <w:spacing w:after="0" w:line="200" w:lineRule="exact"/>
              <w:rPr>
                <w:sz w:val="20"/>
                <w:szCs w:val="20"/>
                <w:color w:val="auto"/>
              </w:rPr>
            </w:pPr>
            <w:r>
              <w:rPr>
                <w:rFonts w:ascii="Times New Roman" w:cs="Times New Roman" w:eastAsia="Times New Roman" w:hAnsi="Times New Roman"/>
                <w:sz w:val="18"/>
                <w:szCs w:val="18"/>
                <w:b w:val="1"/>
                <w:bCs w:val="1"/>
                <w:color w:val="auto"/>
                <w:w w:val="99"/>
              </w:rPr>
              <w:t>payout value</w:t>
            </w:r>
          </w:p>
        </w:tc>
      </w:tr>
      <w:tr>
        <w:trPr>
          <w:trHeight w:val="200"/>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80"/>
              <w:spacing w:after="0" w:line="200" w:lineRule="exact"/>
              <w:rPr>
                <w:sz w:val="20"/>
                <w:szCs w:val="20"/>
                <w:color w:val="auto"/>
              </w:rPr>
            </w:pPr>
            <w:r>
              <w:rPr>
                <w:rFonts w:ascii="Times New Roman" w:cs="Times New Roman" w:eastAsia="Times New Roman" w:hAnsi="Times New Roman"/>
                <w:sz w:val="18"/>
                <w:szCs w:val="18"/>
                <w:b w:val="1"/>
                <w:bCs w:val="1"/>
                <w:color w:val="auto"/>
                <w:w w:val="98"/>
              </w:rPr>
              <w:t>Market value</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unearned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3"/>
              <w:spacing w:after="0" w:line="200" w:lineRule="exact"/>
              <w:rPr>
                <w:sz w:val="20"/>
                <w:szCs w:val="20"/>
                <w:color w:val="auto"/>
              </w:rPr>
            </w:pPr>
            <w:r>
              <w:rPr>
                <w:rFonts w:ascii="Times New Roman" w:cs="Times New Roman" w:eastAsia="Times New Roman" w:hAnsi="Times New Roman"/>
                <w:sz w:val="18"/>
                <w:szCs w:val="18"/>
                <w:b w:val="1"/>
                <w:bCs w:val="1"/>
                <w:color w:val="auto"/>
              </w:rPr>
              <w:t>of unearned</w:t>
            </w:r>
          </w:p>
        </w:tc>
      </w:tr>
      <w:tr>
        <w:trPr>
          <w:trHeight w:val="200"/>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of shares or</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shares, units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3"/>
              <w:spacing w:after="0" w:line="200" w:lineRule="exact"/>
              <w:rPr>
                <w:sz w:val="20"/>
                <w:szCs w:val="20"/>
                <w:color w:val="auto"/>
              </w:rPr>
            </w:pPr>
            <w:r>
              <w:rPr>
                <w:rFonts w:ascii="Times New Roman" w:cs="Times New Roman" w:eastAsia="Times New Roman" w:hAnsi="Times New Roman"/>
                <w:sz w:val="18"/>
                <w:szCs w:val="18"/>
                <w:b w:val="1"/>
                <w:bCs w:val="1"/>
                <w:color w:val="auto"/>
                <w:w w:val="97"/>
              </w:rPr>
              <w:t>shares, units</w:t>
            </w:r>
          </w:p>
        </w:tc>
      </w:tr>
      <w:tr>
        <w:trPr>
          <w:trHeight w:val="200"/>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of stock that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or other rights</w:t>
            </w:r>
          </w:p>
        </w:tc>
        <w:tc>
          <w:tcPr>
            <w:tcW w:w="18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or other rights</w:t>
            </w:r>
          </w:p>
        </w:tc>
      </w:tr>
      <w:tr>
        <w:trPr>
          <w:trHeight w:val="200"/>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have not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80"/>
              <w:spacing w:after="0" w:line="200" w:lineRule="exact"/>
              <w:rPr>
                <w:sz w:val="20"/>
                <w:szCs w:val="20"/>
                <w:color w:val="auto"/>
              </w:rPr>
            </w:pPr>
            <w:r>
              <w:rPr>
                <w:rFonts w:ascii="Times New Roman" w:cs="Times New Roman" w:eastAsia="Times New Roman" w:hAnsi="Times New Roman"/>
                <w:sz w:val="18"/>
                <w:szCs w:val="18"/>
                <w:b w:val="1"/>
                <w:bCs w:val="1"/>
                <w:color w:val="auto"/>
                <w:w w:val="96"/>
              </w:rPr>
              <w:t>that have not</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that have not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3"/>
              <w:spacing w:after="0" w:line="200" w:lineRule="exact"/>
              <w:rPr>
                <w:sz w:val="20"/>
                <w:szCs w:val="20"/>
                <w:color w:val="auto"/>
              </w:rPr>
            </w:pPr>
            <w:r>
              <w:rPr>
                <w:rFonts w:ascii="Times New Roman" w:cs="Times New Roman" w:eastAsia="Times New Roman" w:hAnsi="Times New Roman"/>
                <w:sz w:val="18"/>
                <w:szCs w:val="18"/>
                <w:b w:val="1"/>
                <w:bCs w:val="1"/>
                <w:color w:val="auto"/>
                <w:w w:val="96"/>
              </w:rPr>
              <w:t>that have not</w:t>
            </w:r>
          </w:p>
        </w:tc>
      </w:tr>
      <w:tr>
        <w:trPr>
          <w:trHeight w:val="200"/>
        </w:trPr>
        <w:tc>
          <w:tcPr>
            <w:tcW w:w="236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5"/>
              </w:rPr>
              <w:t>vested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80"/>
              <w:spacing w:after="0" w:line="200" w:lineRule="exact"/>
              <w:rPr>
                <w:sz w:val="20"/>
                <w:szCs w:val="20"/>
                <w:color w:val="auto"/>
              </w:rPr>
            </w:pPr>
            <w:r>
              <w:rPr>
                <w:rFonts w:ascii="Times New Roman" w:cs="Times New Roman" w:eastAsia="Times New Roman" w:hAnsi="Times New Roman"/>
                <w:sz w:val="18"/>
                <w:szCs w:val="18"/>
                <w:b w:val="1"/>
                <w:bCs w:val="1"/>
                <w:color w:val="auto"/>
                <w:w w:val="91"/>
              </w:rPr>
              <w:t>vested</w:t>
            </w:r>
            <w:r>
              <w:rPr>
                <w:rFonts w:ascii="Times New Roman" w:cs="Times New Roman" w:eastAsia="Times New Roman" w:hAnsi="Times New Roman"/>
                <w:sz w:val="20"/>
                <w:szCs w:val="20"/>
                <w:b w:val="1"/>
                <w:bCs w:val="1"/>
                <w:color w:val="auto"/>
                <w:w w:val="91"/>
                <w:vertAlign w:val="superscript"/>
              </w:rPr>
              <w:t>(2)</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1"/>
              </w:rPr>
              <w:t>vested</w:t>
            </w:r>
            <w:r>
              <w:rPr>
                <w:rFonts w:ascii="Times New Roman" w:cs="Times New Roman" w:eastAsia="Times New Roman" w:hAnsi="Times New Roman"/>
                <w:sz w:val="20"/>
                <w:szCs w:val="20"/>
                <w:b w:val="1"/>
                <w:bCs w:val="1"/>
                <w:color w:val="auto"/>
                <w:w w:val="91"/>
                <w:vertAlign w:val="superscript"/>
              </w:rPr>
              <w:t>(1)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3"/>
              <w:spacing w:after="0" w:line="200" w:lineRule="exact"/>
              <w:rPr>
                <w:sz w:val="20"/>
                <w:szCs w:val="20"/>
                <w:color w:val="auto"/>
              </w:rPr>
            </w:pPr>
            <w:r>
              <w:rPr>
                <w:rFonts w:ascii="Times New Roman" w:cs="Times New Roman" w:eastAsia="Times New Roman" w:hAnsi="Times New Roman"/>
                <w:sz w:val="18"/>
                <w:szCs w:val="18"/>
                <w:b w:val="1"/>
                <w:bCs w:val="1"/>
                <w:color w:val="auto"/>
                <w:w w:val="96"/>
              </w:rPr>
              <w:t>vested ($)</w:t>
            </w:r>
            <w:r>
              <w:rPr>
                <w:rFonts w:ascii="Times New Roman" w:cs="Times New Roman" w:eastAsia="Times New Roman" w:hAnsi="Times New Roman"/>
                <w:sz w:val="20"/>
                <w:szCs w:val="20"/>
                <w:b w:val="1"/>
                <w:bCs w:val="1"/>
                <w:color w:val="auto"/>
                <w:w w:val="96"/>
                <w:vertAlign w:val="superscript"/>
              </w:rPr>
              <w:t>(2)</w:t>
            </w:r>
          </w:p>
        </w:tc>
      </w:tr>
      <w:tr>
        <w:trPr>
          <w:trHeight w:val="210"/>
        </w:trPr>
        <w:tc>
          <w:tcPr>
            <w:tcW w:w="23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(g)</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
              <w:spacing w:after="0" w:line="201" w:lineRule="exact"/>
              <w:rPr>
                <w:sz w:val="20"/>
                <w:szCs w:val="20"/>
                <w:color w:val="auto"/>
              </w:rPr>
            </w:pPr>
            <w:r>
              <w:rPr>
                <w:rFonts w:ascii="Times New Roman" w:cs="Times New Roman" w:eastAsia="Times New Roman" w:hAnsi="Times New Roman"/>
                <w:sz w:val="18"/>
                <w:szCs w:val="18"/>
                <w:b w:val="1"/>
                <w:bCs w:val="1"/>
                <w:color w:val="auto"/>
                <w:w w:val="99"/>
              </w:rPr>
              <w:t>(h)</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(i)</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3"/>
              <w:spacing w:after="0" w:line="201" w:lineRule="exact"/>
              <w:rPr>
                <w:sz w:val="20"/>
                <w:szCs w:val="20"/>
                <w:color w:val="auto"/>
              </w:rPr>
            </w:pPr>
            <w:r>
              <w:rPr>
                <w:rFonts w:ascii="Times New Roman" w:cs="Times New Roman" w:eastAsia="Times New Roman" w:hAnsi="Times New Roman"/>
                <w:sz w:val="18"/>
                <w:szCs w:val="18"/>
                <w:b w:val="1"/>
                <w:bCs w:val="1"/>
                <w:color w:val="auto"/>
                <w:w w:val="99"/>
              </w:rPr>
              <w:t>(j)</w:t>
            </w:r>
          </w:p>
        </w:tc>
      </w:tr>
      <w:tr>
        <w:trPr>
          <w:trHeight w:val="224"/>
        </w:trPr>
        <w:tc>
          <w:tcPr>
            <w:tcW w:w="236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w w:val="95"/>
              </w:rPr>
              <w:t>Dr. Keyvan Mohajer, CEO . . .</w:t>
            </w:r>
          </w:p>
        </w:tc>
        <w:tc>
          <w:tcPr>
            <w:tcW w:w="1380" w:type="dxa"/>
            <w:vAlign w:val="bottom"/>
            <w:gridSpan w:val="3"/>
          </w:tcPr>
          <w:p>
            <w:pPr>
              <w:jc w:val="center"/>
              <w:ind w:left="20"/>
              <w:spacing w:after="0" w:line="224" w:lineRule="exact"/>
              <w:rPr>
                <w:sz w:val="20"/>
                <w:szCs w:val="20"/>
                <w:color w:val="auto"/>
              </w:rPr>
            </w:pPr>
            <w:r>
              <w:rPr>
                <w:rFonts w:ascii="Times New Roman" w:cs="Times New Roman" w:eastAsia="Times New Roman" w:hAnsi="Times New Roman"/>
                <w:sz w:val="20"/>
                <w:szCs w:val="20"/>
                <w:color w:val="auto"/>
                <w:w w:val="94"/>
              </w:rPr>
              <w:t>7/20/2022</w:t>
            </w:r>
            <w:r>
              <w:rPr>
                <w:rFonts w:ascii="Times New Roman" w:cs="Times New Roman" w:eastAsia="Times New Roman" w:hAnsi="Times New Roman"/>
                <w:sz w:val="23"/>
                <w:szCs w:val="23"/>
                <w:color w:val="auto"/>
                <w:w w:val="94"/>
                <w:vertAlign w:val="superscript"/>
              </w:rPr>
              <w:t>(3)</w:t>
            </w:r>
          </w:p>
        </w:tc>
        <w:tc>
          <w:tcPr>
            <w:tcW w:w="12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75,000</w:t>
            </w:r>
          </w:p>
        </w:tc>
        <w:tc>
          <w:tcPr>
            <w:tcW w:w="28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747,750</w:t>
            </w:r>
          </w:p>
        </w:tc>
        <w:tc>
          <w:tcPr>
            <w:tcW w:w="180" w:type="dxa"/>
            <w:vAlign w:val="bottom"/>
          </w:tcPr>
          <w:p>
            <w:pPr>
              <w:spacing w:after="0"/>
              <w:rPr>
                <w:sz w:val="19"/>
                <w:szCs w:val="19"/>
                <w:color w:val="auto"/>
              </w:rPr>
            </w:pPr>
          </w:p>
        </w:tc>
        <w:tc>
          <w:tcPr>
            <w:tcW w:w="12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240,000</w:t>
            </w:r>
          </w:p>
        </w:tc>
        <w:tc>
          <w:tcPr>
            <w:tcW w:w="3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2,392,800</w:t>
            </w:r>
          </w:p>
        </w:tc>
      </w:tr>
      <w:tr>
        <w:trPr>
          <w:trHeight w:val="220"/>
        </w:trPr>
        <w:tc>
          <w:tcPr>
            <w:tcW w:w="2360" w:type="dxa"/>
            <w:vAlign w:val="bottom"/>
          </w:tcPr>
          <w:p>
            <w:pPr>
              <w:spacing w:after="0"/>
              <w:rPr>
                <w:sz w:val="19"/>
                <w:szCs w:val="19"/>
                <w:color w:val="auto"/>
              </w:rPr>
            </w:pPr>
          </w:p>
        </w:tc>
        <w:tc>
          <w:tcPr>
            <w:tcW w:w="1380" w:type="dxa"/>
            <w:vAlign w:val="bottom"/>
            <w:gridSpan w:val="3"/>
          </w:tcPr>
          <w:p>
            <w:pPr>
              <w:jc w:val="center"/>
              <w:ind w:left="20"/>
              <w:spacing w:after="0" w:line="220" w:lineRule="exact"/>
              <w:rPr>
                <w:sz w:val="20"/>
                <w:szCs w:val="20"/>
                <w:color w:val="auto"/>
              </w:rPr>
            </w:pPr>
            <w:r>
              <w:rPr>
                <w:rFonts w:ascii="Times New Roman" w:cs="Times New Roman" w:eastAsia="Times New Roman" w:hAnsi="Times New Roman"/>
                <w:sz w:val="20"/>
                <w:szCs w:val="20"/>
                <w:color w:val="auto"/>
                <w:w w:val="97"/>
              </w:rPr>
              <w:t>08/03/2023</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133,333</w:t>
            </w:r>
          </w:p>
        </w:tc>
        <w:tc>
          <w:tcPr>
            <w:tcW w:w="2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1,329,330</w:t>
            </w:r>
          </w:p>
        </w:tc>
        <w:tc>
          <w:tcPr>
            <w:tcW w:w="180" w:type="dxa"/>
            <w:vAlign w:val="bottom"/>
          </w:tcPr>
          <w:p>
            <w:pPr>
              <w:spacing w:after="0"/>
              <w:rPr>
                <w:sz w:val="19"/>
                <w:szCs w:val="19"/>
                <w:color w:val="auto"/>
              </w:rPr>
            </w:pP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2360" w:type="dxa"/>
            <w:vAlign w:val="bottom"/>
          </w:tcPr>
          <w:p>
            <w:pPr>
              <w:spacing w:after="0"/>
              <w:rPr>
                <w:sz w:val="19"/>
                <w:szCs w:val="19"/>
                <w:color w:val="auto"/>
              </w:rPr>
            </w:pPr>
          </w:p>
        </w:tc>
        <w:tc>
          <w:tcPr>
            <w:tcW w:w="1380" w:type="dxa"/>
            <w:vAlign w:val="bottom"/>
            <w:gridSpan w:val="3"/>
          </w:tcPr>
          <w:p>
            <w:pPr>
              <w:jc w:val="center"/>
              <w:ind w:left="20"/>
              <w:spacing w:after="0" w:line="220" w:lineRule="exact"/>
              <w:rPr>
                <w:sz w:val="20"/>
                <w:szCs w:val="20"/>
                <w:color w:val="auto"/>
              </w:rPr>
            </w:pPr>
            <w:r>
              <w:rPr>
                <w:rFonts w:ascii="Times New Roman" w:cs="Times New Roman" w:eastAsia="Times New Roman" w:hAnsi="Times New Roman"/>
                <w:sz w:val="20"/>
                <w:szCs w:val="20"/>
                <w:color w:val="auto"/>
                <w:w w:val="97"/>
              </w:rPr>
              <w:t>08/01/2024</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833,333</w:t>
            </w:r>
          </w:p>
        </w:tc>
        <w:tc>
          <w:tcPr>
            <w:tcW w:w="2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8,308,330</w:t>
            </w:r>
          </w:p>
        </w:tc>
        <w:tc>
          <w:tcPr>
            <w:tcW w:w="180" w:type="dxa"/>
            <w:vAlign w:val="bottom"/>
          </w:tcPr>
          <w:p>
            <w:pPr>
              <w:spacing w:after="0"/>
              <w:rPr>
                <w:sz w:val="19"/>
                <w:szCs w:val="19"/>
                <w:color w:val="auto"/>
              </w:rPr>
            </w:pP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62"/>
        </w:trPr>
        <w:tc>
          <w:tcPr>
            <w:tcW w:w="2360" w:type="dxa"/>
            <w:vAlign w:val="bottom"/>
          </w:tcPr>
          <w:p>
            <w:pPr>
              <w:spacing w:after="0"/>
              <w:rPr>
                <w:sz w:val="22"/>
                <w:szCs w:val="22"/>
                <w:color w:val="auto"/>
              </w:rPr>
            </w:pPr>
          </w:p>
        </w:tc>
        <w:tc>
          <w:tcPr>
            <w:tcW w:w="1380" w:type="dxa"/>
            <w:vAlign w:val="bottom"/>
            <w:gridSpan w:val="3"/>
          </w:tcPr>
          <w:p>
            <w:pPr>
              <w:jc w:val="center"/>
              <w:ind w:left="20"/>
              <w:spacing w:after="0" w:line="262" w:lineRule="exact"/>
              <w:rPr>
                <w:sz w:val="20"/>
                <w:szCs w:val="20"/>
                <w:color w:val="auto"/>
              </w:rPr>
            </w:pPr>
            <w:r>
              <w:rPr>
                <w:rFonts w:ascii="Times New Roman" w:cs="Times New Roman" w:eastAsia="Times New Roman" w:hAnsi="Times New Roman"/>
                <w:sz w:val="20"/>
                <w:szCs w:val="20"/>
                <w:color w:val="auto"/>
                <w:w w:val="97"/>
              </w:rPr>
              <w:t>07/31/2025</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755,556</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7,532,893</w:t>
            </w:r>
          </w:p>
        </w:tc>
        <w:tc>
          <w:tcPr>
            <w:tcW w:w="180" w:type="dxa"/>
            <w:vAlign w:val="bottom"/>
          </w:tcPr>
          <w:p>
            <w:pPr>
              <w:spacing w:after="0"/>
              <w:rPr>
                <w:sz w:val="22"/>
                <w:szCs w:val="22"/>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61"/>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Nitesh Sharan, CFO . . . . . .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7/20/2022</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997,000</w:t>
            </w:r>
          </w:p>
        </w:tc>
      </w:tr>
      <w:tr>
        <w:trPr>
          <w:trHeight w:val="223"/>
        </w:trPr>
        <w:tc>
          <w:tcPr>
            <w:tcW w:w="2360" w:type="dxa"/>
            <w:vAlign w:val="bottom"/>
          </w:tcPr>
          <w:p>
            <w:pPr>
              <w:spacing w:after="0"/>
              <w:rPr>
                <w:sz w:val="19"/>
                <w:szCs w:val="19"/>
                <w:color w:val="auto"/>
              </w:rPr>
            </w:pPr>
          </w:p>
        </w:tc>
        <w:tc>
          <w:tcPr>
            <w:tcW w:w="1380" w:type="dxa"/>
            <w:vAlign w:val="bottom"/>
            <w:gridSpan w:val="3"/>
          </w:tcPr>
          <w:p>
            <w:pPr>
              <w:jc w:val="center"/>
              <w:ind w:left="20"/>
              <w:spacing w:after="0" w:line="223" w:lineRule="exact"/>
              <w:rPr>
                <w:sz w:val="20"/>
                <w:szCs w:val="20"/>
                <w:color w:val="auto"/>
              </w:rPr>
            </w:pPr>
            <w:r>
              <w:rPr>
                <w:rFonts w:ascii="Times New Roman" w:cs="Times New Roman" w:eastAsia="Times New Roman" w:hAnsi="Times New Roman"/>
                <w:sz w:val="20"/>
                <w:szCs w:val="20"/>
                <w:color w:val="auto"/>
                <w:w w:val="97"/>
              </w:rPr>
              <w:t>08/03/2023</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77,778</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775,447</w:t>
            </w: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2360" w:type="dxa"/>
            <w:vAlign w:val="bottom"/>
          </w:tcPr>
          <w:p>
            <w:pPr>
              <w:spacing w:after="0"/>
              <w:rPr>
                <w:sz w:val="19"/>
                <w:szCs w:val="19"/>
                <w:color w:val="auto"/>
              </w:rPr>
            </w:pPr>
          </w:p>
        </w:tc>
        <w:tc>
          <w:tcPr>
            <w:tcW w:w="1380" w:type="dxa"/>
            <w:vAlign w:val="bottom"/>
            <w:gridSpan w:val="3"/>
          </w:tcPr>
          <w:p>
            <w:pPr>
              <w:jc w:val="center"/>
              <w:ind w:left="20"/>
              <w:spacing w:after="0" w:line="220" w:lineRule="exact"/>
              <w:rPr>
                <w:sz w:val="20"/>
                <w:szCs w:val="20"/>
                <w:color w:val="auto"/>
              </w:rPr>
            </w:pPr>
            <w:r>
              <w:rPr>
                <w:rFonts w:ascii="Times New Roman" w:cs="Times New Roman" w:eastAsia="Times New Roman" w:hAnsi="Times New Roman"/>
                <w:sz w:val="20"/>
                <w:szCs w:val="20"/>
                <w:color w:val="auto"/>
                <w:w w:val="97"/>
              </w:rPr>
              <w:t>08/01/2024</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416,667</w:t>
            </w:r>
          </w:p>
        </w:tc>
        <w:tc>
          <w:tcPr>
            <w:tcW w:w="2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4,154,170</w:t>
            </w:r>
          </w:p>
        </w:tc>
        <w:tc>
          <w:tcPr>
            <w:tcW w:w="180" w:type="dxa"/>
            <w:vAlign w:val="bottom"/>
          </w:tcPr>
          <w:p>
            <w:pPr>
              <w:spacing w:after="0"/>
              <w:rPr>
                <w:sz w:val="19"/>
                <w:szCs w:val="19"/>
                <w:color w:val="auto"/>
              </w:rPr>
            </w:pP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62"/>
        </w:trPr>
        <w:tc>
          <w:tcPr>
            <w:tcW w:w="2360" w:type="dxa"/>
            <w:vAlign w:val="bottom"/>
          </w:tcPr>
          <w:p>
            <w:pPr>
              <w:spacing w:after="0"/>
              <w:rPr>
                <w:sz w:val="22"/>
                <w:szCs w:val="22"/>
                <w:color w:val="auto"/>
              </w:rPr>
            </w:pPr>
          </w:p>
        </w:tc>
        <w:tc>
          <w:tcPr>
            <w:tcW w:w="1380" w:type="dxa"/>
            <w:vAlign w:val="bottom"/>
            <w:gridSpan w:val="3"/>
          </w:tcPr>
          <w:p>
            <w:pPr>
              <w:jc w:val="center"/>
              <w:ind w:left="20"/>
              <w:spacing w:after="0" w:line="262" w:lineRule="exact"/>
              <w:rPr>
                <w:sz w:val="20"/>
                <w:szCs w:val="20"/>
                <w:color w:val="auto"/>
              </w:rPr>
            </w:pPr>
            <w:r>
              <w:rPr>
                <w:rFonts w:ascii="Times New Roman" w:cs="Times New Roman" w:eastAsia="Times New Roman" w:hAnsi="Times New Roman"/>
                <w:sz w:val="20"/>
                <w:szCs w:val="20"/>
                <w:color w:val="auto"/>
                <w:w w:val="97"/>
              </w:rPr>
              <w:t>07/31/2025</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400,000</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3,988,000</w:t>
            </w:r>
          </w:p>
        </w:tc>
        <w:tc>
          <w:tcPr>
            <w:tcW w:w="180" w:type="dxa"/>
            <w:vAlign w:val="bottom"/>
          </w:tcPr>
          <w:p>
            <w:pPr>
              <w:spacing w:after="0"/>
              <w:rPr>
                <w:sz w:val="22"/>
                <w:szCs w:val="22"/>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64"/>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w w:val="98"/>
              </w:rPr>
              <w:t>Michael Zagorsek, COO . . . .</w:t>
            </w:r>
          </w:p>
        </w:tc>
        <w:tc>
          <w:tcPr>
            <w:tcW w:w="1380" w:type="dxa"/>
            <w:vAlign w:val="bottom"/>
            <w:gridSpan w:val="3"/>
          </w:tcPr>
          <w:p>
            <w:pPr>
              <w:jc w:val="center"/>
              <w:ind w:left="20"/>
              <w:spacing w:after="0"/>
              <w:rPr>
                <w:sz w:val="20"/>
                <w:szCs w:val="20"/>
                <w:color w:val="auto"/>
              </w:rPr>
            </w:pPr>
            <w:r>
              <w:rPr>
                <w:rFonts w:ascii="Times New Roman" w:cs="Times New Roman" w:eastAsia="Times New Roman" w:hAnsi="Times New Roman"/>
                <w:sz w:val="20"/>
                <w:szCs w:val="20"/>
                <w:color w:val="auto"/>
                <w:w w:val="97"/>
              </w:rPr>
              <w:t>08/04/2022</w:t>
            </w:r>
            <w:r>
              <w:rPr>
                <w:rFonts w:ascii="Times New Roman" w:cs="Times New Roman" w:eastAsia="Times New Roman" w:hAnsi="Times New Roman"/>
                <w:sz w:val="23"/>
                <w:szCs w:val="23"/>
                <w:color w:val="auto"/>
                <w:w w:val="97"/>
                <w:vertAlign w:val="superscript"/>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311,563</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997,000</w:t>
            </w:r>
          </w:p>
        </w:tc>
      </w:tr>
      <w:tr>
        <w:trPr>
          <w:trHeight w:val="220"/>
        </w:trPr>
        <w:tc>
          <w:tcPr>
            <w:tcW w:w="2360" w:type="dxa"/>
            <w:vAlign w:val="bottom"/>
          </w:tcPr>
          <w:p>
            <w:pPr>
              <w:spacing w:after="0"/>
              <w:rPr>
                <w:sz w:val="19"/>
                <w:szCs w:val="19"/>
                <w:color w:val="auto"/>
              </w:rPr>
            </w:pPr>
          </w:p>
        </w:tc>
        <w:tc>
          <w:tcPr>
            <w:tcW w:w="1380" w:type="dxa"/>
            <w:vAlign w:val="bottom"/>
            <w:gridSpan w:val="3"/>
          </w:tcPr>
          <w:p>
            <w:pPr>
              <w:jc w:val="center"/>
              <w:ind w:left="20"/>
              <w:spacing w:after="0" w:line="220" w:lineRule="exact"/>
              <w:rPr>
                <w:sz w:val="20"/>
                <w:szCs w:val="20"/>
                <w:color w:val="auto"/>
              </w:rPr>
            </w:pPr>
            <w:r>
              <w:rPr>
                <w:rFonts w:ascii="Times New Roman" w:cs="Times New Roman" w:eastAsia="Times New Roman" w:hAnsi="Times New Roman"/>
                <w:sz w:val="20"/>
                <w:szCs w:val="20"/>
                <w:color w:val="auto"/>
                <w:w w:val="97"/>
              </w:rPr>
              <w:t>08/03/2023</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77,778</w:t>
            </w:r>
          </w:p>
        </w:tc>
        <w:tc>
          <w:tcPr>
            <w:tcW w:w="2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775,447</w:t>
            </w:r>
          </w:p>
        </w:tc>
        <w:tc>
          <w:tcPr>
            <w:tcW w:w="180" w:type="dxa"/>
            <w:vAlign w:val="bottom"/>
          </w:tcPr>
          <w:p>
            <w:pPr>
              <w:spacing w:after="0"/>
              <w:rPr>
                <w:sz w:val="19"/>
                <w:szCs w:val="19"/>
                <w:color w:val="auto"/>
              </w:rPr>
            </w:pP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2360" w:type="dxa"/>
            <w:vAlign w:val="bottom"/>
          </w:tcPr>
          <w:p>
            <w:pPr>
              <w:spacing w:after="0"/>
              <w:rPr>
                <w:sz w:val="19"/>
                <w:szCs w:val="19"/>
                <w:color w:val="auto"/>
              </w:rPr>
            </w:pPr>
          </w:p>
        </w:tc>
        <w:tc>
          <w:tcPr>
            <w:tcW w:w="1380" w:type="dxa"/>
            <w:vAlign w:val="bottom"/>
            <w:gridSpan w:val="3"/>
          </w:tcPr>
          <w:p>
            <w:pPr>
              <w:jc w:val="center"/>
              <w:ind w:left="20"/>
              <w:spacing w:after="0" w:line="220" w:lineRule="exact"/>
              <w:rPr>
                <w:sz w:val="20"/>
                <w:szCs w:val="20"/>
                <w:color w:val="auto"/>
              </w:rPr>
            </w:pPr>
            <w:r>
              <w:rPr>
                <w:rFonts w:ascii="Times New Roman" w:cs="Times New Roman" w:eastAsia="Times New Roman" w:hAnsi="Times New Roman"/>
                <w:sz w:val="20"/>
                <w:szCs w:val="20"/>
                <w:color w:val="auto"/>
                <w:w w:val="97"/>
              </w:rPr>
              <w:t>08/01/2024</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416,667</w:t>
            </w:r>
          </w:p>
        </w:tc>
        <w:tc>
          <w:tcPr>
            <w:tcW w:w="2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4,154,170</w:t>
            </w:r>
          </w:p>
        </w:tc>
        <w:tc>
          <w:tcPr>
            <w:tcW w:w="180" w:type="dxa"/>
            <w:vAlign w:val="bottom"/>
          </w:tcPr>
          <w:p>
            <w:pPr>
              <w:spacing w:after="0"/>
              <w:rPr>
                <w:sz w:val="19"/>
                <w:szCs w:val="19"/>
                <w:color w:val="auto"/>
              </w:rPr>
            </w:pP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62"/>
        </w:trPr>
        <w:tc>
          <w:tcPr>
            <w:tcW w:w="2360" w:type="dxa"/>
            <w:vAlign w:val="bottom"/>
          </w:tcPr>
          <w:p>
            <w:pPr>
              <w:spacing w:after="0"/>
              <w:rPr>
                <w:sz w:val="22"/>
                <w:szCs w:val="22"/>
                <w:color w:val="auto"/>
              </w:rPr>
            </w:pPr>
          </w:p>
        </w:tc>
        <w:tc>
          <w:tcPr>
            <w:tcW w:w="1380" w:type="dxa"/>
            <w:vAlign w:val="bottom"/>
            <w:gridSpan w:val="3"/>
          </w:tcPr>
          <w:p>
            <w:pPr>
              <w:jc w:val="center"/>
              <w:ind w:left="20"/>
              <w:spacing w:after="0" w:line="262" w:lineRule="exact"/>
              <w:rPr>
                <w:sz w:val="20"/>
                <w:szCs w:val="20"/>
                <w:color w:val="auto"/>
              </w:rPr>
            </w:pPr>
            <w:r>
              <w:rPr>
                <w:rFonts w:ascii="Times New Roman" w:cs="Times New Roman" w:eastAsia="Times New Roman" w:hAnsi="Times New Roman"/>
                <w:sz w:val="20"/>
                <w:szCs w:val="20"/>
                <w:color w:val="auto"/>
                <w:w w:val="97"/>
              </w:rPr>
              <w:t>07/31/2025</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400,000</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3,988,000</w:t>
            </w:r>
          </w:p>
        </w:tc>
        <w:tc>
          <w:tcPr>
            <w:tcW w:w="180" w:type="dxa"/>
            <w:vAlign w:val="bottom"/>
          </w:tcPr>
          <w:p>
            <w:pPr>
              <w:spacing w:after="0"/>
              <w:rPr>
                <w:sz w:val="22"/>
                <w:szCs w:val="22"/>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58"/>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w w:val="97"/>
              </w:rPr>
              <w:t>Dr. Majid Emami, CSO . . . . .</w:t>
            </w:r>
          </w:p>
        </w:tc>
        <w:tc>
          <w:tcPr>
            <w:tcW w:w="1380" w:type="dxa"/>
            <w:vAlign w:val="bottom"/>
            <w:gridSpan w:val="3"/>
          </w:tcPr>
          <w:p>
            <w:pPr>
              <w:jc w:val="center"/>
              <w:ind w:left="20"/>
              <w:spacing w:after="0" w:line="258" w:lineRule="exact"/>
              <w:rPr>
                <w:sz w:val="20"/>
                <w:szCs w:val="20"/>
                <w:color w:val="auto"/>
              </w:rPr>
            </w:pPr>
            <w:r>
              <w:rPr>
                <w:rFonts w:ascii="Times New Roman" w:cs="Times New Roman" w:eastAsia="Times New Roman" w:hAnsi="Times New Roman"/>
                <w:sz w:val="20"/>
                <w:szCs w:val="20"/>
                <w:color w:val="auto"/>
                <w:w w:val="97"/>
              </w:rPr>
              <w:t>08/04/2022</w:t>
            </w:r>
            <w:r>
              <w:rPr>
                <w:rFonts w:ascii="Times New Roman" w:cs="Times New Roman" w:eastAsia="Times New Roman" w:hAnsi="Times New Roman"/>
                <w:sz w:val="23"/>
                <w:szCs w:val="23"/>
                <w:color w:val="auto"/>
                <w:w w:val="97"/>
                <w:vertAlign w:val="superscript"/>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249,250</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797,600</w:t>
            </w:r>
          </w:p>
        </w:tc>
      </w:tr>
      <w:tr>
        <w:trPr>
          <w:trHeight w:val="220"/>
        </w:trPr>
        <w:tc>
          <w:tcPr>
            <w:tcW w:w="2360" w:type="dxa"/>
            <w:vAlign w:val="bottom"/>
          </w:tcPr>
          <w:p>
            <w:pPr>
              <w:spacing w:after="0"/>
              <w:rPr>
                <w:sz w:val="19"/>
                <w:szCs w:val="19"/>
                <w:color w:val="auto"/>
              </w:rPr>
            </w:pPr>
          </w:p>
        </w:tc>
        <w:tc>
          <w:tcPr>
            <w:tcW w:w="1380" w:type="dxa"/>
            <w:vAlign w:val="bottom"/>
            <w:gridSpan w:val="3"/>
          </w:tcPr>
          <w:p>
            <w:pPr>
              <w:jc w:val="center"/>
              <w:ind w:left="20"/>
              <w:spacing w:after="0" w:line="220" w:lineRule="exact"/>
              <w:rPr>
                <w:sz w:val="20"/>
                <w:szCs w:val="20"/>
                <w:color w:val="auto"/>
              </w:rPr>
            </w:pPr>
            <w:r>
              <w:rPr>
                <w:rFonts w:ascii="Times New Roman" w:cs="Times New Roman" w:eastAsia="Times New Roman" w:hAnsi="Times New Roman"/>
                <w:sz w:val="20"/>
                <w:szCs w:val="20"/>
                <w:color w:val="auto"/>
                <w:w w:val="97"/>
              </w:rPr>
              <w:t>08/03/2023</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44,444</w:t>
            </w:r>
          </w:p>
        </w:tc>
        <w:tc>
          <w:tcPr>
            <w:tcW w:w="2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443,107</w:t>
            </w:r>
          </w:p>
        </w:tc>
        <w:tc>
          <w:tcPr>
            <w:tcW w:w="180" w:type="dxa"/>
            <w:vAlign w:val="bottom"/>
          </w:tcPr>
          <w:p>
            <w:pPr>
              <w:spacing w:after="0"/>
              <w:rPr>
                <w:sz w:val="19"/>
                <w:szCs w:val="19"/>
                <w:color w:val="auto"/>
              </w:rPr>
            </w:pP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2360" w:type="dxa"/>
            <w:vAlign w:val="bottom"/>
          </w:tcPr>
          <w:p>
            <w:pPr>
              <w:spacing w:after="0"/>
              <w:rPr>
                <w:sz w:val="19"/>
                <w:szCs w:val="19"/>
                <w:color w:val="auto"/>
              </w:rPr>
            </w:pPr>
          </w:p>
        </w:tc>
        <w:tc>
          <w:tcPr>
            <w:tcW w:w="1380" w:type="dxa"/>
            <w:vAlign w:val="bottom"/>
            <w:gridSpan w:val="3"/>
          </w:tcPr>
          <w:p>
            <w:pPr>
              <w:jc w:val="center"/>
              <w:ind w:left="20"/>
              <w:spacing w:after="0" w:line="220" w:lineRule="exact"/>
              <w:rPr>
                <w:sz w:val="20"/>
                <w:szCs w:val="20"/>
                <w:color w:val="auto"/>
              </w:rPr>
            </w:pPr>
            <w:r>
              <w:rPr>
                <w:rFonts w:ascii="Times New Roman" w:cs="Times New Roman" w:eastAsia="Times New Roman" w:hAnsi="Times New Roman"/>
                <w:sz w:val="20"/>
                <w:szCs w:val="20"/>
                <w:color w:val="auto"/>
                <w:w w:val="97"/>
              </w:rPr>
              <w:t>08/01/2024</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222,222</w:t>
            </w:r>
          </w:p>
        </w:tc>
        <w:tc>
          <w:tcPr>
            <w:tcW w:w="2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2,215,553</w:t>
            </w:r>
          </w:p>
        </w:tc>
        <w:tc>
          <w:tcPr>
            <w:tcW w:w="180" w:type="dxa"/>
            <w:vAlign w:val="bottom"/>
          </w:tcPr>
          <w:p>
            <w:pPr>
              <w:spacing w:after="0"/>
              <w:rPr>
                <w:sz w:val="19"/>
                <w:szCs w:val="19"/>
                <w:color w:val="auto"/>
              </w:rPr>
            </w:pP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62"/>
        </w:trPr>
        <w:tc>
          <w:tcPr>
            <w:tcW w:w="2360" w:type="dxa"/>
            <w:vAlign w:val="bottom"/>
          </w:tcPr>
          <w:p>
            <w:pPr>
              <w:spacing w:after="0"/>
              <w:rPr>
                <w:sz w:val="22"/>
                <w:szCs w:val="22"/>
                <w:color w:val="auto"/>
              </w:rPr>
            </w:pPr>
          </w:p>
        </w:tc>
        <w:tc>
          <w:tcPr>
            <w:tcW w:w="1380" w:type="dxa"/>
            <w:vAlign w:val="bottom"/>
            <w:gridSpan w:val="3"/>
          </w:tcPr>
          <w:p>
            <w:pPr>
              <w:jc w:val="center"/>
              <w:ind w:left="20"/>
              <w:spacing w:after="0" w:line="262" w:lineRule="exact"/>
              <w:rPr>
                <w:sz w:val="20"/>
                <w:szCs w:val="20"/>
                <w:color w:val="auto"/>
              </w:rPr>
            </w:pPr>
            <w:r>
              <w:rPr>
                <w:rFonts w:ascii="Times New Roman" w:cs="Times New Roman" w:eastAsia="Times New Roman" w:hAnsi="Times New Roman"/>
                <w:sz w:val="20"/>
                <w:szCs w:val="20"/>
                <w:color w:val="auto"/>
                <w:w w:val="97"/>
              </w:rPr>
              <w:t>07/31/2025</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222,222</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2,215,553</w:t>
            </w:r>
          </w:p>
        </w:tc>
        <w:tc>
          <w:tcPr>
            <w:tcW w:w="180" w:type="dxa"/>
            <w:vAlign w:val="bottom"/>
          </w:tcPr>
          <w:p>
            <w:pPr>
              <w:spacing w:after="0"/>
              <w:rPr>
                <w:sz w:val="22"/>
                <w:szCs w:val="22"/>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64"/>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James Hom, CPO . . . . . . . . .</w:t>
            </w:r>
          </w:p>
        </w:tc>
        <w:tc>
          <w:tcPr>
            <w:tcW w:w="1380" w:type="dxa"/>
            <w:vAlign w:val="bottom"/>
            <w:gridSpan w:val="3"/>
          </w:tcPr>
          <w:p>
            <w:pPr>
              <w:jc w:val="center"/>
              <w:ind w:left="20"/>
              <w:spacing w:after="0"/>
              <w:rPr>
                <w:sz w:val="20"/>
                <w:szCs w:val="20"/>
                <w:color w:val="auto"/>
              </w:rPr>
            </w:pPr>
            <w:r>
              <w:rPr>
                <w:rFonts w:ascii="Times New Roman" w:cs="Times New Roman" w:eastAsia="Times New Roman" w:hAnsi="Times New Roman"/>
                <w:sz w:val="20"/>
                <w:szCs w:val="20"/>
                <w:color w:val="auto"/>
                <w:w w:val="97"/>
              </w:rPr>
              <w:t>08/04/2022</w:t>
            </w:r>
            <w:r>
              <w:rPr>
                <w:rFonts w:ascii="Times New Roman" w:cs="Times New Roman" w:eastAsia="Times New Roman" w:hAnsi="Times New Roman"/>
                <w:sz w:val="23"/>
                <w:szCs w:val="23"/>
                <w:color w:val="auto"/>
                <w:w w:val="97"/>
                <w:vertAlign w:val="superscript"/>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249,250</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797,600</w:t>
            </w:r>
          </w:p>
        </w:tc>
      </w:tr>
      <w:tr>
        <w:trPr>
          <w:trHeight w:val="220"/>
        </w:trPr>
        <w:tc>
          <w:tcPr>
            <w:tcW w:w="2360" w:type="dxa"/>
            <w:vAlign w:val="bottom"/>
          </w:tcPr>
          <w:p>
            <w:pPr>
              <w:spacing w:after="0"/>
              <w:rPr>
                <w:sz w:val="19"/>
                <w:szCs w:val="19"/>
                <w:color w:val="auto"/>
              </w:rPr>
            </w:pPr>
          </w:p>
        </w:tc>
        <w:tc>
          <w:tcPr>
            <w:tcW w:w="1380" w:type="dxa"/>
            <w:vAlign w:val="bottom"/>
            <w:gridSpan w:val="3"/>
          </w:tcPr>
          <w:p>
            <w:pPr>
              <w:jc w:val="center"/>
              <w:ind w:left="20"/>
              <w:spacing w:after="0" w:line="220" w:lineRule="exact"/>
              <w:rPr>
                <w:sz w:val="20"/>
                <w:szCs w:val="20"/>
                <w:color w:val="auto"/>
              </w:rPr>
            </w:pPr>
            <w:r>
              <w:rPr>
                <w:rFonts w:ascii="Times New Roman" w:cs="Times New Roman" w:eastAsia="Times New Roman" w:hAnsi="Times New Roman"/>
                <w:sz w:val="20"/>
                <w:szCs w:val="20"/>
                <w:color w:val="auto"/>
                <w:w w:val="97"/>
              </w:rPr>
              <w:t>08/03/2023</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44,444</w:t>
            </w:r>
          </w:p>
        </w:tc>
        <w:tc>
          <w:tcPr>
            <w:tcW w:w="2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443,107</w:t>
            </w:r>
          </w:p>
        </w:tc>
        <w:tc>
          <w:tcPr>
            <w:tcW w:w="180" w:type="dxa"/>
            <w:vAlign w:val="bottom"/>
          </w:tcPr>
          <w:p>
            <w:pPr>
              <w:spacing w:after="0"/>
              <w:rPr>
                <w:sz w:val="19"/>
                <w:szCs w:val="19"/>
                <w:color w:val="auto"/>
              </w:rPr>
            </w:pP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2360" w:type="dxa"/>
            <w:vAlign w:val="bottom"/>
          </w:tcPr>
          <w:p>
            <w:pPr>
              <w:spacing w:after="0"/>
              <w:rPr>
                <w:sz w:val="19"/>
                <w:szCs w:val="19"/>
                <w:color w:val="auto"/>
              </w:rPr>
            </w:pPr>
          </w:p>
        </w:tc>
        <w:tc>
          <w:tcPr>
            <w:tcW w:w="1380" w:type="dxa"/>
            <w:vAlign w:val="bottom"/>
            <w:gridSpan w:val="3"/>
          </w:tcPr>
          <w:p>
            <w:pPr>
              <w:jc w:val="center"/>
              <w:ind w:left="20"/>
              <w:spacing w:after="0" w:line="220" w:lineRule="exact"/>
              <w:rPr>
                <w:sz w:val="20"/>
                <w:szCs w:val="20"/>
                <w:color w:val="auto"/>
              </w:rPr>
            </w:pPr>
            <w:r>
              <w:rPr>
                <w:rFonts w:ascii="Times New Roman" w:cs="Times New Roman" w:eastAsia="Times New Roman" w:hAnsi="Times New Roman"/>
                <w:sz w:val="20"/>
                <w:szCs w:val="20"/>
                <w:color w:val="auto"/>
                <w:w w:val="97"/>
              </w:rPr>
              <w:t>08/01/2024</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222,222</w:t>
            </w:r>
          </w:p>
        </w:tc>
        <w:tc>
          <w:tcPr>
            <w:tcW w:w="2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2,215,553</w:t>
            </w:r>
          </w:p>
        </w:tc>
        <w:tc>
          <w:tcPr>
            <w:tcW w:w="180" w:type="dxa"/>
            <w:vAlign w:val="bottom"/>
          </w:tcPr>
          <w:p>
            <w:pPr>
              <w:spacing w:after="0"/>
              <w:rPr>
                <w:sz w:val="19"/>
                <w:szCs w:val="19"/>
                <w:color w:val="auto"/>
              </w:rPr>
            </w:pP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62"/>
        </w:trPr>
        <w:tc>
          <w:tcPr>
            <w:tcW w:w="2360" w:type="dxa"/>
            <w:vAlign w:val="bottom"/>
          </w:tcPr>
          <w:p>
            <w:pPr>
              <w:spacing w:after="0"/>
              <w:rPr>
                <w:sz w:val="22"/>
                <w:szCs w:val="22"/>
                <w:color w:val="auto"/>
              </w:rPr>
            </w:pPr>
          </w:p>
        </w:tc>
        <w:tc>
          <w:tcPr>
            <w:tcW w:w="1380" w:type="dxa"/>
            <w:vAlign w:val="bottom"/>
            <w:gridSpan w:val="3"/>
          </w:tcPr>
          <w:p>
            <w:pPr>
              <w:jc w:val="center"/>
              <w:ind w:left="20"/>
              <w:spacing w:after="0" w:line="262" w:lineRule="exact"/>
              <w:rPr>
                <w:sz w:val="20"/>
                <w:szCs w:val="20"/>
                <w:color w:val="auto"/>
              </w:rPr>
            </w:pPr>
            <w:r>
              <w:rPr>
                <w:rFonts w:ascii="Times New Roman" w:cs="Times New Roman" w:eastAsia="Times New Roman" w:hAnsi="Times New Roman"/>
                <w:sz w:val="20"/>
                <w:szCs w:val="20"/>
                <w:color w:val="auto"/>
                <w:w w:val="97"/>
              </w:rPr>
              <w:t>07/31/2025</w:t>
            </w:r>
            <w:r>
              <w:rPr>
                <w:rFonts w:ascii="Times New Roman" w:cs="Times New Roman" w:eastAsia="Times New Roman" w:hAnsi="Times New Roman"/>
                <w:sz w:val="23"/>
                <w:szCs w:val="23"/>
                <w:color w:val="auto"/>
                <w:w w:val="97"/>
                <w:vertAlign w:val="superscript"/>
              </w:rPr>
              <w:t>(4)</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222,222</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2,215,553</w:t>
            </w:r>
          </w:p>
        </w:tc>
        <w:tc>
          <w:tcPr>
            <w:tcW w:w="180" w:type="dxa"/>
            <w:vAlign w:val="bottom"/>
          </w:tcPr>
          <w:p>
            <w:pPr>
              <w:spacing w:after="0"/>
              <w:rPr>
                <w:sz w:val="22"/>
                <w:szCs w:val="22"/>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5588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44pt,2.4pt" o:allowincell="f" strokecolor="#000000" strokeweight="0.5pt"/>
            </w:pict>
          </mc:Fallback>
        </mc:AlternateContent>
      </w:r>
    </w:p>
    <w:p>
      <w:pPr>
        <w:spacing w:after="0" w:line="116" w:lineRule="exact"/>
        <w:rPr>
          <w:sz w:val="20"/>
          <w:szCs w:val="20"/>
          <w:color w:val="auto"/>
        </w:rPr>
      </w:pPr>
    </w:p>
    <w:p>
      <w:pPr>
        <w:jc w:val="both"/>
        <w:ind w:left="480" w:hanging="480"/>
        <w:spacing w:after="0" w:line="252" w:lineRule="auto"/>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 awards with performance goals not currently expected to be achieved but are reported above in accordance with SEC rules.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3"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shown in columns (h) and (j) are determined by multiplying the number of shares or units shown in column (c) or (e), as applicable, by $9.97, the closing price of our common stock on December 31, 2025.</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in equal monthly installments over 4 years (48 months) from the grant date listed.</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in equal monthly installments over 3 years (36 months) from the grant date listed.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Option Exercises and Stock Vested at 2025 Fiscal Year End</w:t>
      </w:r>
    </w:p>
    <w:p>
      <w:pPr>
        <w:spacing w:after="0" w:line="13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Option Exercises and Stock Vested table sets forth certain information regarding each exercise of stock options and each vesting of restricted stock during the last completed year for each of the named executive officers on an aggregated basis.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742"/>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96"/>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shares acquired</w:t>
            </w:r>
          </w:p>
        </w:tc>
        <w:tc>
          <w:tcPr>
            <w:tcW w:w="180" w:type="dxa"/>
            <w:vAlign w:val="bottom"/>
          </w:tcPr>
          <w:p>
            <w:pPr>
              <w:spacing w:after="0"/>
              <w:rPr>
                <w:sz w:val="17"/>
                <w:szCs w:val="17"/>
                <w:color w:val="auto"/>
              </w:rPr>
            </w:pPr>
          </w:p>
        </w:tc>
        <w:tc>
          <w:tcPr>
            <w:tcW w:w="12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rPr>
              <w:t>Value realized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shares acquired</w:t>
            </w:r>
          </w:p>
        </w:tc>
        <w:tc>
          <w:tcPr>
            <w:tcW w:w="180" w:type="dxa"/>
            <w:vAlign w:val="bottom"/>
          </w:tcPr>
          <w:p>
            <w:pPr>
              <w:spacing w:after="0"/>
              <w:rPr>
                <w:sz w:val="17"/>
                <w:szCs w:val="17"/>
                <w:color w:val="auto"/>
              </w:rPr>
            </w:pPr>
          </w:p>
        </w:tc>
        <w:tc>
          <w:tcPr>
            <w:tcW w:w="1260" w:type="dxa"/>
            <w:vAlign w:val="bottom"/>
            <w:gridSpan w:val="2"/>
          </w:tcPr>
          <w:p>
            <w:pPr>
              <w:jc w:val="right"/>
              <w:ind w:right="2"/>
              <w:spacing w:after="0" w:line="200" w:lineRule="exact"/>
              <w:rPr>
                <w:sz w:val="20"/>
                <w:szCs w:val="20"/>
                <w:color w:val="auto"/>
              </w:rPr>
            </w:pPr>
            <w:r>
              <w:rPr>
                <w:rFonts w:ascii="Times New Roman" w:cs="Times New Roman" w:eastAsia="Times New Roman" w:hAnsi="Times New Roman"/>
                <w:sz w:val="18"/>
                <w:szCs w:val="18"/>
                <w:b w:val="1"/>
                <w:bCs w:val="1"/>
                <w:color w:val="auto"/>
              </w:rPr>
              <w:t>Value realized</w:t>
            </w:r>
          </w:p>
        </w:tc>
      </w:tr>
      <w:tr>
        <w:trPr>
          <w:trHeight w:val="219"/>
        </w:trPr>
        <w:tc>
          <w:tcPr>
            <w:tcW w:w="34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on exercise (#)</w:t>
            </w:r>
          </w:p>
        </w:tc>
        <w:tc>
          <w:tcPr>
            <w:tcW w:w="180" w:type="dxa"/>
            <w:vAlign w:val="bottom"/>
          </w:tcPr>
          <w:p>
            <w:pPr>
              <w:spacing w:after="0"/>
              <w:rPr>
                <w:sz w:val="19"/>
                <w:szCs w:val="19"/>
                <w:color w:val="auto"/>
              </w:rPr>
            </w:pPr>
          </w:p>
        </w:tc>
        <w:tc>
          <w:tcPr>
            <w:tcW w:w="1260" w:type="dxa"/>
            <w:vAlign w:val="bottom"/>
            <w:tcBorders>
              <w:bottom w:val="single" w:sz="8" w:color="auto"/>
            </w:tcBorders>
            <w:gridSpan w:val="2"/>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w w:val="97"/>
              </w:rPr>
              <w:t>on exercise ($)</w:t>
            </w:r>
            <w:r>
              <w:rPr>
                <w:rFonts w:ascii="Times New Roman" w:cs="Times New Roman" w:eastAsia="Times New Roman" w:hAnsi="Times New Roman"/>
                <w:sz w:val="20"/>
                <w:szCs w:val="20"/>
                <w:b w:val="1"/>
                <w:bCs w:val="1"/>
                <w:color w:val="auto"/>
                <w:w w:val="97"/>
                <w:vertAlign w:val="superscript"/>
              </w:rPr>
              <w:t>(1)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on vesting (#)</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2"/>
              <w:spacing w:after="0" w:line="201" w:lineRule="exact"/>
              <w:rPr>
                <w:sz w:val="20"/>
                <w:szCs w:val="20"/>
                <w:color w:val="auto"/>
              </w:rPr>
            </w:pPr>
            <w:r>
              <w:rPr>
                <w:rFonts w:ascii="Times New Roman" w:cs="Times New Roman" w:eastAsia="Times New Roman" w:hAnsi="Times New Roman"/>
                <w:sz w:val="18"/>
                <w:szCs w:val="18"/>
                <w:b w:val="1"/>
                <w:bCs w:val="1"/>
                <w:color w:val="auto"/>
                <w:w w:val="98"/>
              </w:rPr>
              <w:t>on vesting ($)</w:t>
            </w:r>
          </w:p>
        </w:tc>
      </w:tr>
      <w:tr>
        <w:trPr>
          <w:trHeight w:val="228"/>
        </w:trPr>
        <w:tc>
          <w:tcPr>
            <w:tcW w:w="34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w w:val="99"/>
              </w:rPr>
              <w:t>Dr. Keyvan Mohajer, CEO . . . . . . . . . . . . .</w:t>
            </w:r>
          </w:p>
        </w:tc>
        <w:tc>
          <w:tcPr>
            <w:tcW w:w="180" w:type="dxa"/>
            <w:vAlign w:val="bottom"/>
          </w:tcPr>
          <w:p>
            <w:pPr>
              <w:spacing w:after="0"/>
              <w:rPr>
                <w:sz w:val="19"/>
                <w:szCs w:val="19"/>
                <w:color w:val="auto"/>
              </w:rPr>
            </w:pPr>
          </w:p>
        </w:tc>
        <w:tc>
          <w:tcPr>
            <w:tcW w:w="12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ind w:left="180"/>
              <w:spacing w:after="0" w:line="228"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1,314,444</w:t>
            </w:r>
          </w:p>
        </w:tc>
        <w:tc>
          <w:tcPr>
            <w:tcW w:w="28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14,792,733</w:t>
            </w:r>
          </w:p>
        </w:tc>
      </w:tr>
      <w:tr>
        <w:trPr>
          <w:trHeight w:val="24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Nitesh Sharan, CFO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701,760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622,916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7,054,974</w:t>
            </w:r>
          </w:p>
        </w:tc>
      </w:tr>
      <w:tr>
        <w:trPr>
          <w:trHeight w:val="24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w w:val="99"/>
              </w:rPr>
              <w:t>Michael Zagorsek, COO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134,172</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1,318,776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641,666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7,261,599</w:t>
            </w:r>
          </w:p>
        </w:tc>
      </w:tr>
      <w:tr>
        <w:trPr>
          <w:trHeight w:val="24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w w:val="98"/>
              </w:rPr>
              <w:t>Dr. Majid Emami, CSO . . . . . . . . . . . . . . . .</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406,668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4,560,148</w:t>
            </w:r>
          </w:p>
        </w:tc>
      </w:tr>
      <w:tr>
        <w:trPr>
          <w:trHeight w:val="24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James Hom, CPO . . . . . . . . . . . . . . . . . . . .</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406,668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4,560,148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61595</wp:posOffset>
                </wp:positionV>
                <wp:extent cx="5588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5pt" to="44pt,4.85pt" o:allowincell="f" strokecolor="#000000" strokeweight="0.5pt"/>
            </w:pict>
          </mc:Fallback>
        </mc:AlternateContent>
      </w:r>
    </w:p>
    <w:p>
      <w:pPr>
        <w:spacing w:after="0" w:line="165" w:lineRule="exact"/>
        <w:rPr>
          <w:sz w:val="20"/>
          <w:szCs w:val="20"/>
          <w:color w:val="auto"/>
        </w:rPr>
      </w:pPr>
    </w:p>
    <w:p>
      <w:pPr>
        <w:ind w:left="480" w:hanging="480"/>
        <w:spacing w:after="0" w:line="245" w:lineRule="auto"/>
        <w:tabs>
          <w:tab w:leader="none" w:pos="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value realized on exercise equals the difference between the fair market value at the exercise date less the exercise price of the option.</w:t>
      </w:r>
    </w:p>
    <w:p>
      <w:pPr>
        <w:sectPr>
          <w:pgSz w:w="12240" w:h="15840" w:orient="portrait"/>
          <w:cols w:equalWidth="0" w:num="1">
            <w:col w:w="9360"/>
          </w:cols>
          <w:pgMar w:left="1440" w:top="975" w:right="1440" w:bottom="348"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9360"/>
          </w:cols>
          <w:pgMar w:left="1440" w:top="975" w:right="1440" w:bottom="348" w:gutter="0" w:footer="0" w:header="0"/>
          <w:type w:val="continuous"/>
        </w:sectPr>
      </w:pPr>
    </w:p>
    <w:bookmarkStart w:id="147" w:name="page148"/>
    <w:bookmarkEnd w:id="147"/>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Pension Benefits</w:t>
      </w:r>
    </w:p>
    <w:p>
      <w:pPr>
        <w:spacing w:after="0" w:line="177" w:lineRule="exact"/>
        <w:rPr>
          <w:sz w:val="20"/>
          <w:szCs w:val="20"/>
          <w:color w:val="auto"/>
        </w:rPr>
      </w:pPr>
    </w:p>
    <w:p>
      <w:pPr>
        <w:jc w:val="both"/>
        <w:ind w:left="360" w:right="260" w:firstLine="480"/>
        <w:spacing w:after="0" w:line="243" w:lineRule="auto"/>
        <w:rPr>
          <w:sz w:val="20"/>
          <w:szCs w:val="20"/>
          <w:color w:val="auto"/>
        </w:rPr>
      </w:pPr>
      <w:r>
        <w:rPr>
          <w:rFonts w:ascii="Times New Roman" w:cs="Times New Roman" w:eastAsia="Times New Roman" w:hAnsi="Times New Roman"/>
          <w:sz w:val="20"/>
          <w:szCs w:val="20"/>
          <w:color w:val="auto"/>
        </w:rPr>
        <w:t>The Company has no defined benefit plans or other supplemental retirement plans for the named executive officers.</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Nonqualified Deferred Compensation</w:t>
      </w:r>
    </w:p>
    <w:p>
      <w:pPr>
        <w:spacing w:after="0" w:line="177" w:lineRule="exact"/>
        <w:rPr>
          <w:sz w:val="20"/>
          <w:szCs w:val="20"/>
          <w:color w:val="auto"/>
        </w:rPr>
      </w:pPr>
    </w:p>
    <w:p>
      <w:pPr>
        <w:jc w:val="both"/>
        <w:ind w:left="360" w:right="260" w:firstLine="480"/>
        <w:spacing w:after="0" w:line="243" w:lineRule="auto"/>
        <w:rPr>
          <w:sz w:val="20"/>
          <w:szCs w:val="20"/>
          <w:color w:val="auto"/>
        </w:rPr>
      </w:pPr>
      <w:r>
        <w:rPr>
          <w:rFonts w:ascii="Times New Roman" w:cs="Times New Roman" w:eastAsia="Times New Roman" w:hAnsi="Times New Roman"/>
          <w:sz w:val="20"/>
          <w:szCs w:val="20"/>
          <w:color w:val="auto"/>
        </w:rPr>
        <w:t>The Company has no nonqualified defined contribution plans or other nonqualified deferred compensation plans for the named executive officers.</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Potential Payments Upon a Termination or Change in Control</w:t>
      </w:r>
    </w:p>
    <w:p>
      <w:pPr>
        <w:spacing w:after="0" w:line="177" w:lineRule="exact"/>
        <w:rPr>
          <w:sz w:val="20"/>
          <w:szCs w:val="20"/>
          <w:color w:val="auto"/>
        </w:rPr>
      </w:pPr>
    </w:p>
    <w:p>
      <w:pPr>
        <w:jc w:val="both"/>
        <w:ind w:left="360" w:right="260" w:firstLine="480"/>
        <w:spacing w:after="0" w:line="248" w:lineRule="auto"/>
        <w:rPr>
          <w:sz w:val="20"/>
          <w:szCs w:val="20"/>
          <w:color w:val="auto"/>
        </w:rPr>
      </w:pPr>
      <w:r>
        <w:rPr>
          <w:rFonts w:ascii="Times New Roman" w:cs="Times New Roman" w:eastAsia="Times New Roman" w:hAnsi="Times New Roman"/>
          <w:sz w:val="20"/>
          <w:szCs w:val="20"/>
          <w:color w:val="auto"/>
        </w:rPr>
        <w:t>Payments to our NEOs upon a termination of employment are described under the “Potential Payments Upon a Termination or Change in Control” table below. The benefits payable upon termination were determined through arm’s length negotiations in connection with each NEO entering into an employment letter agreement with the Company. Any amounts that could be received upon termination or change in control are subject to a full release of claims in favor of the Company. No NEO is entitled to payments upon a voluntary termination of employment.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Acceleration/</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0"/>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continued</w:t>
            </w:r>
          </w:p>
        </w:tc>
        <w:tc>
          <w:tcPr>
            <w:tcW w:w="118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Acceleration/</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vesting &amp;</w:t>
            </w:r>
          </w:p>
        </w:tc>
        <w:tc>
          <w:tcPr>
            <w:tcW w:w="120" w:type="dxa"/>
            <w:vAlign w:val="bottom"/>
          </w:tcPr>
          <w:p>
            <w:pPr>
              <w:spacing w:after="0"/>
              <w:rPr>
                <w:sz w:val="15"/>
                <w:szCs w:val="15"/>
                <w:color w:val="auto"/>
              </w:rPr>
            </w:pPr>
          </w:p>
        </w:tc>
        <w:tc>
          <w:tcPr>
            <w:tcW w:w="106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continued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Annual</w:t>
            </w:r>
          </w:p>
        </w:tc>
        <w:tc>
          <w:tcPr>
            <w:tcW w:w="100" w:type="dxa"/>
            <w:vAlign w:val="bottom"/>
          </w:tcPr>
          <w:p>
            <w:pPr>
              <w:spacing w:after="0"/>
              <w:rPr>
                <w:sz w:val="15"/>
                <w:szCs w:val="15"/>
                <w:color w:val="auto"/>
              </w:rPr>
            </w:pPr>
          </w:p>
        </w:tc>
        <w:tc>
          <w:tcPr>
            <w:tcW w:w="92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rPr>
              <w:t>Accrued</w:t>
            </w:r>
          </w:p>
        </w:tc>
        <w:tc>
          <w:tcPr>
            <w:tcW w:w="114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excitability</w:t>
            </w:r>
          </w:p>
        </w:tc>
        <w:tc>
          <w:tcPr>
            <w:tcW w:w="120" w:type="dxa"/>
            <w:vAlign w:val="bottom"/>
          </w:tcPr>
          <w:p>
            <w:pPr>
              <w:spacing w:after="0"/>
              <w:rPr>
                <w:sz w:val="15"/>
                <w:szCs w:val="15"/>
                <w:color w:val="auto"/>
              </w:rPr>
            </w:pPr>
          </w:p>
        </w:tc>
        <w:tc>
          <w:tcPr>
            <w:tcW w:w="106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rPr>
              <w:t>vesting of</w:t>
            </w:r>
          </w:p>
        </w:tc>
        <w:tc>
          <w:tcPr>
            <w:tcW w:w="140" w:type="dxa"/>
            <w:vAlign w:val="bottom"/>
          </w:tcPr>
          <w:p>
            <w:pPr>
              <w:spacing w:after="0"/>
              <w:rPr>
                <w:sz w:val="15"/>
                <w:szCs w:val="15"/>
                <w:color w:val="auto"/>
              </w:rPr>
            </w:pPr>
          </w:p>
        </w:tc>
        <w:tc>
          <w:tcPr>
            <w:tcW w:w="94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rPr>
              <w:t>Health</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Base salary</w:t>
            </w:r>
          </w:p>
        </w:tc>
        <w:tc>
          <w:tcPr>
            <w:tcW w:w="108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cash bonus</w:t>
            </w:r>
          </w:p>
        </w:tc>
        <w:tc>
          <w:tcPr>
            <w:tcW w:w="102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annual cash</w:t>
            </w:r>
          </w:p>
        </w:tc>
        <w:tc>
          <w:tcPr>
            <w:tcW w:w="114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of unvested</w:t>
            </w:r>
          </w:p>
        </w:tc>
        <w:tc>
          <w:tcPr>
            <w:tcW w:w="11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unvested stock</w:t>
            </w:r>
          </w:p>
        </w:tc>
        <w:tc>
          <w:tcPr>
            <w:tcW w:w="140" w:type="dxa"/>
            <w:vAlign w:val="bottom"/>
          </w:tcPr>
          <w:p>
            <w:pPr>
              <w:spacing w:after="0"/>
              <w:rPr>
                <w:sz w:val="15"/>
                <w:szCs w:val="15"/>
                <w:color w:val="auto"/>
              </w:rPr>
            </w:pPr>
          </w:p>
        </w:tc>
        <w:tc>
          <w:tcPr>
            <w:tcW w:w="94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continuation</w:t>
            </w:r>
          </w:p>
        </w:tc>
        <w:tc>
          <w:tcPr>
            <w:tcW w:w="108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continuation</w:t>
            </w:r>
          </w:p>
        </w:tc>
        <w:tc>
          <w:tcPr>
            <w:tcW w:w="100" w:type="dxa"/>
            <w:vAlign w:val="bottom"/>
          </w:tcPr>
          <w:p>
            <w:pPr>
              <w:spacing w:after="0"/>
              <w:rPr>
                <w:sz w:val="15"/>
                <w:szCs w:val="15"/>
                <w:color w:val="auto"/>
              </w:rPr>
            </w:pPr>
          </w:p>
        </w:tc>
        <w:tc>
          <w:tcPr>
            <w:tcW w:w="92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rPr>
              <w:t>bonus</w:t>
            </w:r>
          </w:p>
        </w:tc>
        <w:tc>
          <w:tcPr>
            <w:tcW w:w="114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stock options</w:t>
            </w:r>
          </w:p>
        </w:tc>
        <w:tc>
          <w:tcPr>
            <w:tcW w:w="120" w:type="dxa"/>
            <w:vAlign w:val="bottom"/>
          </w:tcPr>
          <w:p>
            <w:pPr>
              <w:spacing w:after="0"/>
              <w:rPr>
                <w:sz w:val="15"/>
                <w:szCs w:val="15"/>
                <w:color w:val="auto"/>
              </w:rPr>
            </w:pPr>
          </w:p>
        </w:tc>
        <w:tc>
          <w:tcPr>
            <w:tcW w:w="106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rPr>
              <w:t>units</w:t>
            </w:r>
          </w:p>
        </w:tc>
        <w:tc>
          <w:tcPr>
            <w:tcW w:w="108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continuation</w:t>
            </w:r>
          </w:p>
        </w:tc>
        <w:tc>
          <w:tcPr>
            <w:tcW w:w="120" w:type="dxa"/>
            <w:vAlign w:val="bottom"/>
          </w:tcPr>
          <w:p>
            <w:pPr>
              <w:spacing w:after="0"/>
              <w:rPr>
                <w:sz w:val="15"/>
                <w:szCs w:val="15"/>
                <w:color w:val="auto"/>
              </w:rPr>
            </w:pPr>
          </w:p>
        </w:tc>
        <w:tc>
          <w:tcPr>
            <w:tcW w:w="840" w:type="dxa"/>
            <w:vAlign w:val="bottom"/>
          </w:tcPr>
          <w:p>
            <w:pPr>
              <w:jc w:val="right"/>
              <w:ind w:right="232"/>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228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Name</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1"/>
              <w:spacing w:after="0" w:line="202"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7"/>
                <w:szCs w:val="17"/>
                <w:color w:val="auto"/>
              </w:rPr>
            </w:pPr>
          </w:p>
        </w:tc>
        <w:tc>
          <w:tcPr>
            <w:tcW w:w="480" w:type="dxa"/>
            <w:vAlign w:val="bottom"/>
            <w:tcBorders>
              <w:bottom w:val="single" w:sz="8" w:color="auto"/>
            </w:tcBorders>
          </w:tcPr>
          <w:p>
            <w:pPr>
              <w:ind w:left="340"/>
              <w:spacing w:after="0" w:line="180" w:lineRule="exact"/>
              <w:rPr>
                <w:sz w:val="20"/>
                <w:szCs w:val="20"/>
                <w:color w:val="auto"/>
              </w:rPr>
            </w:pPr>
            <w:r>
              <w:rPr>
                <w:rFonts w:ascii="Times New Roman" w:cs="Times New Roman" w:eastAsia="Times New Roman" w:hAnsi="Times New Roman"/>
                <w:sz w:val="16"/>
                <w:szCs w:val="16"/>
                <w:b w:val="1"/>
                <w:bCs w:val="1"/>
                <w:color w:val="auto"/>
                <w:w w:val="89"/>
              </w:rPr>
              <w:t>($</w:t>
            </w:r>
          </w:p>
        </w:tc>
        <w:tc>
          <w:tcPr>
            <w:tcW w:w="42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32"/>
              <w:spacing w:after="0" w:line="180" w:lineRule="exact"/>
              <w:rPr>
                <w:sz w:val="20"/>
                <w:szCs w:val="20"/>
                <w:color w:val="auto"/>
              </w:rPr>
            </w:pPr>
            <w:r>
              <w:rPr>
                <w:rFonts w:ascii="Times New Roman" w:cs="Times New Roman" w:eastAsia="Times New Roman" w:hAnsi="Times New Roman"/>
                <w:sz w:val="16"/>
                <w:szCs w:val="16"/>
                <w:b w:val="1"/>
                <w:bCs w:val="1"/>
                <w:color w:val="auto"/>
                <w:w w:val="96"/>
              </w:rPr>
              <w:t>($)</w:t>
            </w:r>
          </w:p>
        </w:tc>
        <w:tc>
          <w:tcPr>
            <w:tcW w:w="180" w:type="dxa"/>
            <w:vAlign w:val="bottom"/>
          </w:tcPr>
          <w:p>
            <w:pPr>
              <w:spacing w:after="0"/>
              <w:rPr>
                <w:sz w:val="17"/>
                <w:szCs w:val="17"/>
                <w:color w:val="auto"/>
              </w:rPr>
            </w:pPr>
          </w:p>
        </w:tc>
        <w:tc>
          <w:tcPr>
            <w:tcW w:w="500" w:type="dxa"/>
            <w:vAlign w:val="bottom"/>
            <w:tcBorders>
              <w:bottom w:val="single" w:sz="8" w:color="auto"/>
            </w:tcBorders>
          </w:tcPr>
          <w:p>
            <w:pPr>
              <w:ind w:left="380"/>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56"/>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5"/>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(3)</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Dr. Keyvan Mohajer, CEO</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22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Without Cause/With Good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2280" w:type="dxa"/>
            <w:vAlign w:val="bottom"/>
          </w:tcPr>
          <w:p>
            <w:pPr>
              <w:ind w:left="200"/>
              <w:spacing w:after="0" w:line="200" w:lineRule="exact"/>
              <w:rPr>
                <w:sz w:val="20"/>
                <w:szCs w:val="20"/>
                <w:color w:val="auto"/>
              </w:rPr>
            </w:pPr>
            <w:r>
              <w:rPr>
                <w:rFonts w:ascii="Times New Roman" w:cs="Times New Roman" w:eastAsia="Times New Roman" w:hAnsi="Times New Roman"/>
                <w:sz w:val="18"/>
                <w:szCs w:val="18"/>
                <w:color w:val="auto"/>
              </w:rPr>
              <w:t>Reason . . . . . . . . . . . . . . . .</w:t>
            </w:r>
          </w:p>
        </w:tc>
        <w:tc>
          <w:tcPr>
            <w:tcW w:w="360" w:type="dxa"/>
            <w:vAlign w:val="bottom"/>
            <w:gridSpan w:val="2"/>
          </w:tcPr>
          <w:p>
            <w:pPr>
              <w:ind w:lef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141,250</w:t>
            </w:r>
          </w:p>
        </w:tc>
        <w:tc>
          <w:tcPr>
            <w:tcW w:w="4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565,000</w:t>
            </w:r>
          </w:p>
        </w:tc>
        <w:tc>
          <w:tcPr>
            <w:tcW w:w="5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706,250</w:t>
            </w:r>
          </w:p>
        </w:tc>
      </w:tr>
      <w:tr>
        <w:trPr>
          <w:trHeight w:val="24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Control</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 . . . . . . .</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565,000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565,000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20,311,103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10,993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21,452,096</w:t>
            </w:r>
          </w:p>
        </w:tc>
      </w:tr>
      <w:tr>
        <w:trPr>
          <w:trHeight w:val="297"/>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Nitesh Sharan, CFO</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6"/>
        </w:trPr>
        <w:tc>
          <w:tcPr>
            <w:tcW w:w="22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Without Cause/With Good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2280" w:type="dxa"/>
            <w:vAlign w:val="bottom"/>
          </w:tcPr>
          <w:p>
            <w:pPr>
              <w:ind w:left="200"/>
              <w:spacing w:after="0" w:line="200" w:lineRule="exact"/>
              <w:rPr>
                <w:sz w:val="20"/>
                <w:szCs w:val="20"/>
                <w:color w:val="auto"/>
              </w:rPr>
            </w:pPr>
            <w:r>
              <w:rPr>
                <w:rFonts w:ascii="Times New Roman" w:cs="Times New Roman" w:eastAsia="Times New Roman" w:hAnsi="Times New Roman"/>
                <w:sz w:val="18"/>
                <w:szCs w:val="18"/>
                <w:color w:val="auto"/>
              </w:rPr>
              <w:t>Reason . . . . . . . . . . . . . . . .</w:t>
            </w:r>
          </w:p>
        </w:tc>
        <w:tc>
          <w:tcPr>
            <w:tcW w:w="360" w:type="dxa"/>
            <w:vAlign w:val="bottom"/>
            <w:gridSpan w:val="2"/>
          </w:tcPr>
          <w:p>
            <w:pPr>
              <w:ind w:lef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116,250</w:t>
            </w:r>
          </w:p>
        </w:tc>
        <w:tc>
          <w:tcPr>
            <w:tcW w:w="4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302,250</w:t>
            </w:r>
          </w:p>
        </w:tc>
        <w:tc>
          <w:tcPr>
            <w:tcW w:w="5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418,500</w:t>
            </w:r>
          </w:p>
        </w:tc>
      </w:tr>
      <w:tr>
        <w:trPr>
          <w:trHeight w:val="24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Control</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 . . . . . . .</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465,000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302,250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9,914,617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10,688,207</w:t>
            </w:r>
          </w:p>
        </w:tc>
      </w:tr>
      <w:tr>
        <w:trPr>
          <w:trHeight w:val="297"/>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Michael Zagorsek, COO</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6"/>
        </w:trPr>
        <w:tc>
          <w:tcPr>
            <w:tcW w:w="22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Without Cause/With Good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2280" w:type="dxa"/>
            <w:vAlign w:val="bottom"/>
          </w:tcPr>
          <w:p>
            <w:pPr>
              <w:ind w:left="200"/>
              <w:spacing w:after="0" w:line="200" w:lineRule="exact"/>
              <w:rPr>
                <w:sz w:val="20"/>
                <w:szCs w:val="20"/>
                <w:color w:val="auto"/>
              </w:rPr>
            </w:pPr>
            <w:r>
              <w:rPr>
                <w:rFonts w:ascii="Times New Roman" w:cs="Times New Roman" w:eastAsia="Times New Roman" w:hAnsi="Times New Roman"/>
                <w:sz w:val="18"/>
                <w:szCs w:val="18"/>
                <w:color w:val="auto"/>
              </w:rPr>
              <w:t>Reason . . . . . . . . . . . . . . . .</w:t>
            </w:r>
          </w:p>
        </w:tc>
        <w:tc>
          <w:tcPr>
            <w:tcW w:w="360" w:type="dxa"/>
            <w:vAlign w:val="bottom"/>
            <w:gridSpan w:val="2"/>
          </w:tcPr>
          <w:p>
            <w:pPr>
              <w:ind w:lef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116,250</w:t>
            </w:r>
          </w:p>
        </w:tc>
        <w:tc>
          <w:tcPr>
            <w:tcW w:w="4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302,250</w:t>
            </w:r>
          </w:p>
        </w:tc>
        <w:tc>
          <w:tcPr>
            <w:tcW w:w="5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418,500</w:t>
            </w:r>
          </w:p>
        </w:tc>
      </w:tr>
      <w:tr>
        <w:trPr>
          <w:trHeight w:val="24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Control</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 . . . . . . .</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465,000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302,250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10,226,179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7,641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11,001,070</w:t>
            </w:r>
          </w:p>
        </w:tc>
      </w:tr>
      <w:tr>
        <w:trPr>
          <w:trHeight w:val="297"/>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Dr. Majid Emami, CSO</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6"/>
        </w:trPr>
        <w:tc>
          <w:tcPr>
            <w:tcW w:w="22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Without Cause/With Good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2280" w:type="dxa"/>
            <w:vAlign w:val="bottom"/>
          </w:tcPr>
          <w:p>
            <w:pPr>
              <w:ind w:left="200"/>
              <w:spacing w:after="0" w:line="200" w:lineRule="exact"/>
              <w:rPr>
                <w:sz w:val="20"/>
                <w:szCs w:val="20"/>
                <w:color w:val="auto"/>
              </w:rPr>
            </w:pPr>
            <w:r>
              <w:rPr>
                <w:rFonts w:ascii="Times New Roman" w:cs="Times New Roman" w:eastAsia="Times New Roman" w:hAnsi="Times New Roman"/>
                <w:sz w:val="18"/>
                <w:szCs w:val="18"/>
                <w:color w:val="auto"/>
              </w:rPr>
              <w:t>Reason . . . . . . . . . . . . . . . .</w:t>
            </w:r>
          </w:p>
        </w:tc>
        <w:tc>
          <w:tcPr>
            <w:tcW w:w="360" w:type="dxa"/>
            <w:vAlign w:val="bottom"/>
            <w:gridSpan w:val="2"/>
          </w:tcPr>
          <w:p>
            <w:pPr>
              <w:ind w:lef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96,250</w:t>
            </w:r>
          </w:p>
        </w:tc>
        <w:tc>
          <w:tcPr>
            <w:tcW w:w="4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192,500</w:t>
            </w:r>
          </w:p>
        </w:tc>
        <w:tc>
          <w:tcPr>
            <w:tcW w:w="5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288,750</w:t>
            </w:r>
          </w:p>
        </w:tc>
      </w:tr>
      <w:tr>
        <w:trPr>
          <w:trHeight w:val="24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Control</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 . . . . . . .</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385,000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192,500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5,921,063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10,859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6,509,422</w:t>
            </w:r>
          </w:p>
        </w:tc>
      </w:tr>
      <w:tr>
        <w:trPr>
          <w:trHeight w:val="297"/>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James Hom, CPO</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6"/>
        </w:trPr>
        <w:tc>
          <w:tcPr>
            <w:tcW w:w="22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Without Cause/With Good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2280" w:type="dxa"/>
            <w:vAlign w:val="bottom"/>
          </w:tcPr>
          <w:p>
            <w:pPr>
              <w:ind w:left="200"/>
              <w:spacing w:after="0" w:line="200" w:lineRule="exact"/>
              <w:rPr>
                <w:sz w:val="20"/>
                <w:szCs w:val="20"/>
                <w:color w:val="auto"/>
              </w:rPr>
            </w:pPr>
            <w:r>
              <w:rPr>
                <w:rFonts w:ascii="Times New Roman" w:cs="Times New Roman" w:eastAsia="Times New Roman" w:hAnsi="Times New Roman"/>
                <w:sz w:val="18"/>
                <w:szCs w:val="18"/>
                <w:color w:val="auto"/>
              </w:rPr>
              <w:t>Reason . . . . . . . . . . . . . . . .</w:t>
            </w:r>
          </w:p>
        </w:tc>
        <w:tc>
          <w:tcPr>
            <w:tcW w:w="360" w:type="dxa"/>
            <w:vAlign w:val="bottom"/>
            <w:gridSpan w:val="2"/>
          </w:tcPr>
          <w:p>
            <w:pPr>
              <w:ind w:lef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96,250</w:t>
            </w:r>
          </w:p>
        </w:tc>
        <w:tc>
          <w:tcPr>
            <w:tcW w:w="4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192,500</w:t>
            </w:r>
          </w:p>
        </w:tc>
        <w:tc>
          <w:tcPr>
            <w:tcW w:w="5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288,750</w:t>
            </w:r>
          </w:p>
        </w:tc>
      </w:tr>
      <w:tr>
        <w:trPr>
          <w:trHeight w:val="24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Control</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 . . . . . . .</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385,000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192,500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5,921,063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6,508,111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36830</wp:posOffset>
                </wp:positionV>
                <wp:extent cx="5588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9pt" to="62pt,2.9pt" o:allowincell="f" strokecolor="#000000" strokeweight="0.5pt"/>
            </w:pict>
          </mc:Fallback>
        </mc:AlternateContent>
      </w:r>
    </w:p>
    <w:p>
      <w:pPr>
        <w:spacing w:after="0" w:line="118" w:lineRule="exact"/>
        <w:rPr>
          <w:sz w:val="20"/>
          <w:szCs w:val="20"/>
          <w:color w:val="auto"/>
        </w:rPr>
      </w:pPr>
    </w:p>
    <w:p>
      <w:pPr>
        <w:ind w:left="840" w:hanging="480"/>
        <w:spacing w:after="0"/>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an amount equal to 3 months of the NEOs’ then current base salary</w:t>
      </w:r>
    </w:p>
    <w:p>
      <w:pPr>
        <w:spacing w:after="0" w:line="21" w:lineRule="exact"/>
        <w:rPr>
          <w:rFonts w:ascii="Times New Roman" w:cs="Times New Roman" w:eastAsia="Times New Roman" w:hAnsi="Times New Roman"/>
          <w:sz w:val="18"/>
          <w:szCs w:val="18"/>
          <w:color w:val="auto"/>
        </w:rPr>
      </w:pPr>
    </w:p>
    <w:p>
      <w:pPr>
        <w:jc w:val="both"/>
        <w:ind w:left="840" w:right="260" w:hanging="480"/>
        <w:spacing w:after="0" w:line="250" w:lineRule="auto"/>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accelerate the vesting of any awards that have time-based vesting such that they will be deemed vested as of the date of employment terminates. The Company may accelerate the vesting of PSUs in connection with the negotiation of any Change in Control transaction, the value of which are included in the table.</w:t>
      </w:r>
    </w:p>
    <w:p>
      <w:pPr>
        <w:spacing w:after="0" w:line="13" w:lineRule="exact"/>
        <w:rPr>
          <w:rFonts w:ascii="Times New Roman" w:cs="Times New Roman" w:eastAsia="Times New Roman" w:hAnsi="Times New Roman"/>
          <w:sz w:val="18"/>
          <w:szCs w:val="18"/>
          <w:color w:val="auto"/>
        </w:rPr>
      </w:pPr>
    </w:p>
    <w:p>
      <w:pPr>
        <w:jc w:val="both"/>
        <w:ind w:left="840" w:right="260" w:hanging="480"/>
        <w:spacing w:after="0" w:line="270" w:lineRule="auto"/>
        <w:tabs>
          <w:tab w:leader="none" w:pos="8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pay the entire COBRA premiums necessary to continue health insurance coverage in effect for the executive and eligible dependents on the termination date until the earliest of (A) the close of the 3 months period following the termination of employment, (B) the expiration of eligibility for the continuation coverage under COBRA, and (C) the date the executive becomes eligible for substantially equivalent health insurance coverage in connection with new employment.</w:t>
      </w:r>
    </w:p>
    <w:p>
      <w:pPr>
        <w:ind w:left="840" w:right="260" w:hanging="480"/>
        <w:spacing w:after="0" w:line="245" w:lineRule="auto"/>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NEOs Change in Control potential payments assume the double trigger of qualifying termination of employment following a change in control.</w:t>
      </w:r>
    </w:p>
    <w:p>
      <w:pPr>
        <w:sectPr>
          <w:pgSz w:w="12240" w:h="15840" w:orient="portrait"/>
          <w:cols w:equalWidth="0" w:num="1">
            <w:col w:w="9980"/>
          </w:cols>
          <w:pgMar w:left="1080" w:top="942" w:right="118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9980"/>
          </w:cols>
          <w:pgMar w:left="1080" w:top="942" w:right="1180" w:bottom="348"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i w:val="1"/>
          <w:iCs w:val="1"/>
          <w:color w:val="auto"/>
        </w:rPr>
        <w:t>CEO Pay Ratio</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Pursuant to a mandate of the Dodd-Frank Act, the SEC adopted a rule requiring that we annually disclose the ratio of our median employee’s total annual compensation to the total annual compensation of our CEO, Keyvan Mohajer, who is also our principal executive officer (the “CEO Pay Ratio”).</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Company’s compensation and benefits philosophy and the overall structure of the compensation and benefit programs are broadly similar across the organization and aim to encourage and reward all employees who contribute to the Company’s success. The Company strives to ensure the pay of every employee reflects the level of his or her job impact and responsibilities and is competitive within the Company’s peer group. Compensation rates are benchmarked and are generally set to be market-competitive in the country in which the jobs are performed. The Company’s ongoing commitment to pay equity is critical to successfully supporting a diverse workforce with opportunities for all employees to grow, develop, and contribute.</w:t>
      </w:r>
    </w:p>
    <w:p>
      <w:pPr>
        <w:spacing w:after="0" w:line="170"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determining the pay ratio calculation, we used the methodology, assumptions, and estimates set forth below in determining the median employee:</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selected December 31, 2025, which is within the last three months of 2025, as the date upon which we would identify the median employee. We determined that, as of December 31, 2025, our global employee population consisted of approximately 809 individuals, which includes the individuals acquired as part of the [Amelia] transaction. For purposes of measuring the compensation of our employee population, we selected base salary and cash bonus compensation, as reported on our tax and payroll records. We measured base salary and cash bonus compensation included in the calculation over the 12-month period ended December 31, 2025. We gathered our base salary and cash bonus compensation information for the 12-month period ended December 31, 2025 from the tax and payroll records of each of our business units and applied this compensation measure consistently to all of our employees included in the calculation. We annualized the base salary and cash bonus compensation of permanent employees hired during the year. We did not make any other annualizing adjustments, and we did not make any cost-of-living adjustments in identifying the median employee. Once we identified the median employee, we identified and calculated the elements of such employee’s compensation for 2025 in accordance with the requirements of Item 402(c)(2)(x) of Regulation S-K, resulting in annual total compensation of $322,475.</w:t>
      </w:r>
    </w:p>
    <w:p>
      <w:pPr>
        <w:spacing w:after="0" w:line="17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Dr. Keyvan Mohajer’s, the Company’s CEO, total compensation in 2025 per our Summary Compensation Table was $9,326,833 and our median employee’s total compensation in 2025 was $322,475. Therefore, the Company’s 2025 CEO Pay Ratio was 28 :1.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Compensation Committee most recently engaged Compensia in July 2025 to provide compensation consulting services. At this time, Compensia provided services related to the review of our compensation levels and equity awards against peer practices and provided perspectives on board compensation trends, particularly with respect to the Company’s peer group. Compensia did not provide any services to the Company other than its engagement by the Compensation Committee.</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July 31, 2025, our Board revised and approved a director compensation policy, which provides to each of the non-employee directors (i) an annual retainer of $35,000, payable quarterly (ii) additional annual cash retainers, payable quarterly, for committee service as follows: (A) Chair of the Audit Committee: $20,000; (B) member of the Audit Committee: $10,000; (C) Chair of the Compensation Committee: $14,500; (D) member of the Compensation Committee: $7,300; (E) Chair of the Nominating and Corporate Governance Committee: $7,500; and (F) member of the Nominating and Corporate Governance Committee: $3,800; (iii) an annual grant of restricted stock units having a grant day value of $171,472 which shall vest over four quarters; and (iv) travel expense reimbursement. Prior to July 31, 2025, our Board remained on the previous director compensation policy, where the annual grant of restrictive stock had a grant day value of $177,500, while everything else remained the same. In the event of a Change in Control (as defined in the 2022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9360"/>
          </w:cols>
          <w:pgMar w:left="1440" w:top="941" w:right="1440" w:bottom="348" w:gutter="0" w:footer="0" w:header="0"/>
          <w:type w:val="continuous"/>
        </w:sectPr>
      </w:pPr>
    </w:p>
    <w:bookmarkStart w:id="149" w:name="page150"/>
    <w:bookmarkEnd w:id="149"/>
    <w:p>
      <w:pPr>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sets forth information regarding compensation earned by our non-employee directors for the year ended December 31,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0"/>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45"/>
              <w:spacing w:after="0" w:line="200" w:lineRule="exact"/>
              <w:rPr>
                <w:sz w:val="20"/>
                <w:szCs w:val="20"/>
                <w:color w:val="auto"/>
              </w:rPr>
            </w:pPr>
            <w:r>
              <w:rPr>
                <w:rFonts w:ascii="Times New Roman" w:cs="Times New Roman" w:eastAsia="Times New Roman" w:hAnsi="Times New Roman"/>
                <w:sz w:val="18"/>
                <w:szCs w:val="18"/>
                <w:b w:val="1"/>
                <w:bCs w:val="1"/>
                <w:color w:val="auto"/>
              </w:rPr>
              <w:t>Paid in Cash</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60"/>
              <w:spacing w:after="0" w:line="200" w:lineRule="exact"/>
              <w:rPr>
                <w:sz w:val="20"/>
                <w:szCs w:val="20"/>
                <w:color w:val="auto"/>
              </w:rPr>
            </w:pPr>
            <w:r>
              <w:rPr>
                <w:rFonts w:ascii="Times New Roman" w:cs="Times New Roman" w:eastAsia="Times New Roman" w:hAnsi="Times New Roman"/>
                <w:sz w:val="18"/>
                <w:szCs w:val="18"/>
                <w:b w:val="1"/>
                <w:bCs w:val="1"/>
                <w:color w:val="auto"/>
                <w:w w:val="94"/>
              </w:rPr>
              <w:t>Stock Awards</w:t>
            </w:r>
          </w:p>
        </w:tc>
        <w:tc>
          <w:tcPr>
            <w:tcW w:w="20" w:type="dxa"/>
            <w:vAlign w:val="bottom"/>
          </w:tcPr>
          <w:p>
            <w:pPr>
              <w:spacing w:after="0"/>
              <w:rPr>
                <w:sz w:val="17"/>
                <w:szCs w:val="17"/>
                <w:color w:val="auto"/>
              </w:rPr>
            </w:pPr>
          </w:p>
        </w:tc>
        <w:tc>
          <w:tcPr>
            <w:tcW w:w="12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44"/>
              <w:spacing w:after="0" w:line="200"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34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44"/>
              <w:spacing w:after="0" w:line="219"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4"/>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75"/>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Eric Ball . . . . . . . . . . . . . . . . . . . . . . . . . . .</w:t>
            </w:r>
          </w:p>
        </w:tc>
        <w:tc>
          <w:tcPr>
            <w:tcW w:w="860" w:type="dxa"/>
            <w:vAlign w:val="bottom"/>
            <w:gridSpan w:val="2"/>
          </w:tcPr>
          <w:p>
            <w:pPr>
              <w:jc w:val="right"/>
              <w:ind w:right="49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171,472</w:t>
            </w:r>
            <w:r>
              <w:rPr>
                <w:rFonts w:ascii="Times New Roman" w:cs="Times New Roman" w:eastAsia="Times New Roman" w:hAnsi="Times New Roman"/>
                <w:sz w:val="23"/>
                <w:szCs w:val="23"/>
                <w:color w:val="auto"/>
                <w:vertAlign w:val="superscript"/>
              </w:rPr>
              <w:t>(2)</w:t>
            </w:r>
          </w:p>
        </w:tc>
        <w:tc>
          <w:tcPr>
            <w:tcW w:w="700" w:type="dxa"/>
            <w:vAlign w:val="bottom"/>
            <w:gridSpan w:val="2"/>
          </w:tcPr>
          <w:p>
            <w:pPr>
              <w:jc w:val="right"/>
              <w:ind w:right="490"/>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89"/>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237,572</w:t>
            </w:r>
          </w:p>
        </w:tc>
      </w:tr>
      <w:tr>
        <w:trPr>
          <w:trHeight w:val="260"/>
        </w:trPr>
        <w:tc>
          <w:tcPr>
            <w:tcW w:w="34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Larry Marcus . . . . . . . . . . . . . . . . . . . . . . .</w:t>
            </w:r>
          </w:p>
        </w:tc>
        <w:tc>
          <w:tcPr>
            <w:tcW w:w="860" w:type="dxa"/>
            <w:vAlign w:val="bottom"/>
            <w:gridSpan w:val="2"/>
          </w:tcPr>
          <w:p>
            <w:pPr>
              <w:jc w:val="right"/>
              <w:ind w:right="490"/>
              <w:spacing w:after="0" w:line="223"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67,000</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ind w:right="40"/>
              <w:spacing w:after="0" w:line="259" w:lineRule="exact"/>
              <w:rPr>
                <w:sz w:val="20"/>
                <w:szCs w:val="20"/>
                <w:color w:val="auto"/>
              </w:rPr>
            </w:pPr>
            <w:r>
              <w:rPr>
                <w:rFonts w:ascii="Times New Roman" w:cs="Times New Roman" w:eastAsia="Times New Roman" w:hAnsi="Times New Roman"/>
                <w:sz w:val="20"/>
                <w:szCs w:val="20"/>
                <w:color w:val="auto"/>
              </w:rPr>
              <w:t>171,472</w:t>
            </w:r>
            <w:r>
              <w:rPr>
                <w:rFonts w:ascii="Times New Roman" w:cs="Times New Roman" w:eastAsia="Times New Roman" w:hAnsi="Times New Roman"/>
                <w:sz w:val="23"/>
                <w:szCs w:val="23"/>
                <w:color w:val="auto"/>
                <w:vertAlign w:val="superscript"/>
              </w:rPr>
              <w:t>(3)</w:t>
            </w:r>
          </w:p>
        </w:tc>
        <w:tc>
          <w:tcPr>
            <w:tcW w:w="700" w:type="dxa"/>
            <w:vAlign w:val="bottom"/>
            <w:gridSpan w:val="2"/>
          </w:tcPr>
          <w:p>
            <w:pPr>
              <w:jc w:val="right"/>
              <w:ind w:right="490"/>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Pr>
          <w:p>
            <w:pPr>
              <w:ind w:left="38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440" w:type="dxa"/>
            <w:vAlign w:val="bottom"/>
            <w:gridSpan w:val="2"/>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238,472</w:t>
            </w:r>
          </w:p>
        </w:tc>
      </w:tr>
      <w:tr>
        <w:trPr>
          <w:trHeight w:val="262"/>
        </w:trPr>
        <w:tc>
          <w:tcPr>
            <w:tcW w:w="34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Diana Sroka . . . . . . . . . . . . . . . . . . . . . . . . .</w:t>
            </w:r>
          </w:p>
        </w:tc>
        <w:tc>
          <w:tcPr>
            <w:tcW w:w="860" w:type="dxa"/>
            <w:vAlign w:val="bottom"/>
            <w:gridSpan w:val="2"/>
          </w:tcPr>
          <w:p>
            <w:pPr>
              <w:jc w:val="right"/>
              <w:ind w:right="490"/>
              <w:spacing w:after="0" w:line="223"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45,000</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ind w:right="40"/>
              <w:spacing w:after="0" w:line="262" w:lineRule="exact"/>
              <w:rPr>
                <w:sz w:val="20"/>
                <w:szCs w:val="20"/>
                <w:color w:val="auto"/>
              </w:rPr>
            </w:pPr>
            <w:r>
              <w:rPr>
                <w:rFonts w:ascii="Times New Roman" w:cs="Times New Roman" w:eastAsia="Times New Roman" w:hAnsi="Times New Roman"/>
                <w:sz w:val="20"/>
                <w:szCs w:val="20"/>
                <w:color w:val="auto"/>
              </w:rPr>
              <w:t>171,472</w:t>
            </w:r>
            <w:r>
              <w:rPr>
                <w:rFonts w:ascii="Times New Roman" w:cs="Times New Roman" w:eastAsia="Times New Roman" w:hAnsi="Times New Roman"/>
                <w:sz w:val="23"/>
                <w:szCs w:val="23"/>
                <w:color w:val="auto"/>
                <w:vertAlign w:val="superscript"/>
              </w:rPr>
              <w:t>(4)</w:t>
            </w:r>
          </w:p>
        </w:tc>
        <w:tc>
          <w:tcPr>
            <w:tcW w:w="700" w:type="dxa"/>
            <w:vAlign w:val="bottom"/>
            <w:gridSpan w:val="2"/>
          </w:tcPr>
          <w:p>
            <w:pPr>
              <w:jc w:val="right"/>
              <w:ind w:right="490"/>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Pr>
          <w:p>
            <w:pPr>
              <w:ind w:left="38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440" w:type="dxa"/>
            <w:vAlign w:val="bottom"/>
            <w:gridSpan w:val="2"/>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216,472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ind w:left="480" w:hanging="480"/>
        <w:spacing w:after="0" w:line="245" w:lineRule="auto"/>
        <w:tabs>
          <w:tab w:leader="none" w:pos="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reported here are the aggregate grant date fair values of such awards computed in accordance with FASB ASC Topic 718.</w:t>
      </w:r>
    </w:p>
    <w:p>
      <w:pPr>
        <w:spacing w:after="0" w:line="17"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Ball has 8,949 Restricted Stock Awards unvested outstanding as of the end of the Company’s most recently completed fiscal year.</w:t>
      </w:r>
    </w:p>
    <w:p>
      <w:pPr>
        <w:spacing w:after="0" w:line="17"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Lawrence Marcus has 8,949 Restricted Stock Awards unvested outstanding as of the end of the Company’s most recently completed fiscal year.</w:t>
      </w:r>
    </w:p>
    <w:p>
      <w:pPr>
        <w:spacing w:after="0" w:line="17"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Diana Sroka has 8,949 Restricted Stock Awards unvested outstanding as of the end of the Company’s most recently completed fiscal year.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Recovery and Clawback Policy</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Under the Sarbanes-Oxley Act, in the event of misconduct that results in a financial restatement that would have reduced a previously paid incentive amount, we can recoup those improper payments from our executive officers. The SEC also recently adopted rules which direct national stock exchanges to require listed companies to implement policies intended to recoup bonuses paid to executives if the company is found to have misstated its financial results.</w:t>
      </w:r>
    </w:p>
    <w:p>
      <w:pPr>
        <w:spacing w:after="0" w:line="155" w:lineRule="exact"/>
        <w:rPr>
          <w:sz w:val="20"/>
          <w:szCs w:val="20"/>
          <w:color w:val="auto"/>
        </w:rPr>
      </w:pPr>
    </w:p>
    <w:p>
      <w:pPr>
        <w:jc w:val="both"/>
        <w:ind w:firstLine="480"/>
        <w:spacing w:after="0" w:line="287" w:lineRule="auto"/>
        <w:rPr>
          <w:sz w:val="20"/>
          <w:szCs w:val="20"/>
          <w:color w:val="auto"/>
        </w:rPr>
      </w:pPr>
      <w:r>
        <w:rPr>
          <w:rFonts w:ascii="Times New Roman" w:cs="Times New Roman" w:eastAsia="Times New Roman" w:hAnsi="Times New Roman"/>
          <w:sz w:val="18"/>
          <w:szCs w:val="18"/>
          <w:color w:val="auto"/>
        </w:rPr>
        <w:t>On November 2, 2023, our board of directors approved the adoption of the Executive Compensation Clawback Policy (the “Clawback Policy”), in order to comply with the final clawback rules adopted by the SEC under Rule 10D-1 under the Exchange Act and the listing standards, as set forth in the Nasdaq Listing Rule 5608 (the “Final Clawback Rules”).</w:t>
      </w:r>
    </w:p>
    <w:p>
      <w:pPr>
        <w:spacing w:after="0" w:line="13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Clawback Policy provides for the mandatory recovery of erroneously awarded incentive-based compensation from our current and former executive officers as defined in Rule 10D-1 (“Covered Officers”) in the event that we are required to prepare an accounting restatement, in accordance with the Final Clawback Rules. The recovery of such compensation applies regardless of whether a Covered Officer engaged in misconduct or otherwise caused or contributed to the requirement of an accounting restatement. Under the Clawback Policy, our Board may recoup from the Covered Officers erroneously awarded incentive compensation received within a lookback period of the three completed fiscal years preceding the date on which we are required to prepare an accounting restatement.</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fiscal year 2023, certain restatements of the Company’s financial statements were made to the Company’s condensed consolidated financial statements as of and for the three and nine months ended September 30, 2022, as of and for the year ended December 31, 2022, and as of and for the three months ended March 31, 2023 and the three and six months ended June 30, 2023. In accordance with the Clawback Policy, a recovery analysis of incentive-based compensation received by any of the Company’s executive officers during the period from and after October 2, 2023 was required. The Company conducted a recovery analysis and concluded that the incentive-based compensation received during the recovery period did not trigger a recovery.</w:t>
      </w:r>
    </w:p>
    <w:p>
      <w:pPr>
        <w:spacing w:after="0" w:line="248"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12.</w:t>
        <w:tab/>
        <w:t>Security Ownership of Certain Beneficial Owner and Management and Related Stockholder Matters.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 and Management and Related Stockholder Matters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sets forth information known to the Company regarding beneficial ownership of shares of the Company’s Class A Common Stock and Class B Common Stock as of December 31, 2025 by:</w:t>
      </w:r>
    </w:p>
    <w:p>
      <w:pPr>
        <w:spacing w:after="0" w:line="174" w:lineRule="exact"/>
        <w:rPr>
          <w:sz w:val="20"/>
          <w:szCs w:val="20"/>
          <w:color w:val="auto"/>
        </w:rPr>
      </w:pPr>
    </w:p>
    <w:p>
      <w:pPr>
        <w:ind w:left="960" w:hanging="480"/>
        <w:spacing w:after="0" w:line="243" w:lineRule="auto"/>
        <w:tabs>
          <w:tab w:leader="none" w:pos="9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known by the Company to be the beneficial owner of more than 5% of the Company’s outstanding Class A Common Stock and Class B Common Stock;</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Company’s named executive officers and directors;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executive officers and directors as a group.</w:t>
      </w:r>
    </w:p>
    <w:p>
      <w:pPr>
        <w:sectPr>
          <w:pgSz w:w="12240" w:h="15840" w:orient="portrait"/>
          <w:cols w:equalWidth="0" w:num="1">
            <w:col w:w="9360"/>
          </w:cols>
          <w:pgMar w:left="1440" w:top="948" w:right="1440" w:bottom="348"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9360"/>
          </w:cols>
          <w:pgMar w:left="1440" w:top="948" w:right="1440" w:bottom="348" w:gutter="0" w:footer="0" w:header="0"/>
          <w:type w:val="continuous"/>
        </w:sectPr>
      </w:pPr>
    </w:p>
    <w:bookmarkStart w:id="150" w:name="page151"/>
    <w:bookmarkEnd w:id="150"/>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percentage of beneficial ownership is based on 422,452,597 shares of Common Stock issued and outstanding as of December 31, 2025, which calculation includes (i) 389,917,189 shares of the Company’s Class A Common Stock and (ii) 32,535,408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 Accordingly, as of December 31, 2025, a total of 715,271,269 votes may be cast at any meeting of stockholders.</w:t>
      </w:r>
    </w:p>
    <w:p>
      <w:pPr>
        <w:spacing w:after="0" w:line="1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accordance with SEC rules, shares of our Class A Common Stock which may be acquired upon exercise of stock options or warrants which are currently exercisable or which become exercisable within 60 days after December 31, 2025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 Unless otherwise indicated, the business address of each of the entities, directors and executives in this table is 5400 Betsy Ross Drive, Santa Clara, CA 95054.</w:t>
      </w:r>
    </w:p>
    <w:p>
      <w:pPr>
        <w:spacing w:after="0" w:line="15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6"/>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Beneficial Ownership Table</w:t>
            </w: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of Class A</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of Class B</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320"/>
              <w:spacing w:after="0" w:line="200" w:lineRule="exact"/>
              <w:rPr>
                <w:sz w:val="20"/>
                <w:szCs w:val="20"/>
                <w:color w:val="auto"/>
              </w:rPr>
            </w:pPr>
            <w:r>
              <w:rPr>
                <w:rFonts w:ascii="Times New Roman" w:cs="Times New Roman" w:eastAsia="Times New Roman" w:hAnsi="Times New Roman"/>
                <w:sz w:val="18"/>
                <w:szCs w:val="18"/>
                <w:b w:val="1"/>
                <w:bCs w:val="1"/>
                <w:color w:val="auto"/>
              </w:rPr>
              <w:t>% of Total</w:t>
            </w:r>
          </w:p>
        </w:tc>
      </w:tr>
      <w:tr>
        <w:trPr>
          <w:trHeight w:val="210"/>
        </w:trPr>
        <w:tc>
          <w:tcPr>
            <w:tcW w:w="23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 of Beneficial Owners</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 Class</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right"/>
              <w:ind w:right="181"/>
              <w:spacing w:after="0" w:line="201" w:lineRule="exact"/>
              <w:rPr>
                <w:sz w:val="20"/>
                <w:szCs w:val="20"/>
                <w:color w:val="auto"/>
              </w:rPr>
            </w:pPr>
            <w:r>
              <w:rPr>
                <w:rFonts w:ascii="Times New Roman" w:cs="Times New Roman" w:eastAsia="Times New Roman" w:hAnsi="Times New Roman"/>
                <w:sz w:val="18"/>
                <w:szCs w:val="18"/>
                <w:b w:val="1"/>
                <w:bCs w:val="1"/>
                <w:color w:val="auto"/>
              </w:rPr>
              <w:t>% Class</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ind w:right="1"/>
              <w:spacing w:after="0" w:line="201" w:lineRule="exact"/>
              <w:rPr>
                <w:sz w:val="20"/>
                <w:szCs w:val="20"/>
                <w:color w:val="auto"/>
              </w:rPr>
            </w:pPr>
            <w:r>
              <w:rPr>
                <w:rFonts w:ascii="Times New Roman" w:cs="Times New Roman" w:eastAsia="Times New Roman" w:hAnsi="Times New Roman"/>
                <w:sz w:val="18"/>
                <w:szCs w:val="18"/>
                <w:b w:val="1"/>
                <w:bCs w:val="1"/>
                <w:color w:val="auto"/>
              </w:rPr>
              <w:t>Voting Power</w:t>
            </w:r>
          </w:p>
        </w:tc>
        <w:tc>
          <w:tcPr>
            <w:tcW w:w="120" w:type="dxa"/>
            <w:vAlign w:val="bottom"/>
          </w:tcPr>
          <w:p>
            <w:pPr>
              <w:spacing w:after="0"/>
              <w:rPr>
                <w:sz w:val="18"/>
                <w:szCs w:val="18"/>
                <w:color w:val="auto"/>
              </w:rPr>
            </w:pPr>
          </w:p>
        </w:tc>
      </w:tr>
      <w:tr>
        <w:trPr>
          <w:trHeight w:val="242"/>
        </w:trPr>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Directors and Executive</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4"/>
        </w:trPr>
        <w:tc>
          <w:tcPr>
            <w:tcW w:w="2540" w:type="dxa"/>
            <w:vAlign w:val="bottom"/>
            <w:gridSpan w:val="2"/>
          </w:tcPr>
          <w:p>
            <w:pPr>
              <w:ind w:left="200"/>
              <w:spacing w:after="0" w:line="254" w:lineRule="exact"/>
              <w:rPr>
                <w:sz w:val="20"/>
                <w:szCs w:val="20"/>
                <w:color w:val="auto"/>
              </w:rPr>
            </w:pPr>
            <w:r>
              <w:rPr>
                <w:rFonts w:ascii="Times New Roman" w:cs="Times New Roman" w:eastAsia="Times New Roman" w:hAnsi="Times New Roman"/>
                <w:sz w:val="20"/>
                <w:szCs w:val="20"/>
                <w:b w:val="1"/>
                <w:bCs w:val="1"/>
                <w:color w:val="auto"/>
              </w:rPr>
              <w:t>Officers</w:t>
            </w:r>
            <w:r>
              <w:rPr>
                <w:rFonts w:ascii="Times New Roman" w:cs="Times New Roman" w:eastAsia="Times New Roman" w:hAnsi="Times New Roman"/>
                <w:sz w:val="23"/>
                <w:szCs w:val="23"/>
                <w:b w:val="1"/>
                <w:bCs w:val="1"/>
                <w:color w:val="auto"/>
                <w:vertAlign w:val="superscript"/>
              </w:rPr>
              <w:t>(7)</w:t>
            </w: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7"/>
        </w:trPr>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Dr. Keyvan Mohajer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691,899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14,139,064</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43.46%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60"/>
        </w:trPr>
        <w:tc>
          <w:tcPr>
            <w:tcW w:w="254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James Hom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375,327</w:t>
            </w: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1,812,588</w:t>
            </w:r>
          </w:p>
        </w:tc>
        <w:tc>
          <w:tcPr>
            <w:tcW w:w="156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5.57%</w:t>
            </w:r>
          </w:p>
        </w:tc>
        <w:tc>
          <w:tcPr>
            <w:tcW w:w="13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r>
      <w:tr>
        <w:trPr>
          <w:trHeight w:val="260"/>
        </w:trPr>
        <w:tc>
          <w:tcPr>
            <w:tcW w:w="254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Larry Marcus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195,579</w:t>
            </w: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r>
      <w:tr>
        <w:trPr>
          <w:trHeight w:val="260"/>
        </w:trPr>
        <w:tc>
          <w:tcPr>
            <w:tcW w:w="254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Diana Sroka</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 . . . . .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231,473</w:t>
            </w: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r>
      <w:tr>
        <w:trPr>
          <w:trHeight w:val="260"/>
        </w:trPr>
        <w:tc>
          <w:tcPr>
            <w:tcW w:w="254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Dr. Eric R. Ball</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20"/>
                <w:szCs w:val="20"/>
                <w:color w:val="auto"/>
              </w:rPr>
              <w:t xml:space="preserve"> . . . . . . . .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539,266</w:t>
            </w: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r>
      <w:tr>
        <w:trPr>
          <w:trHeight w:val="260"/>
        </w:trPr>
        <w:tc>
          <w:tcPr>
            <w:tcW w:w="254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Dr. Seyed Majid Emami</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20"/>
                <w:szCs w:val="20"/>
                <w:color w:val="auto"/>
              </w:rPr>
              <w:t xml:space="preserve"> .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104,789</w:t>
            </w: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16,583,756</w:t>
            </w:r>
          </w:p>
        </w:tc>
        <w:tc>
          <w:tcPr>
            <w:tcW w:w="156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50.97%</w:t>
            </w:r>
          </w:p>
        </w:tc>
        <w:tc>
          <w:tcPr>
            <w:tcW w:w="13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23%</w:t>
            </w:r>
          </w:p>
        </w:tc>
      </w:tr>
      <w:tr>
        <w:trPr>
          <w:trHeight w:val="260"/>
        </w:trPr>
        <w:tc>
          <w:tcPr>
            <w:tcW w:w="254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Timothy Stonehocker</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20"/>
                <w:szCs w:val="20"/>
                <w:color w:val="auto"/>
              </w:rPr>
              <w:t xml:space="preserve"> . . .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515,126</w:t>
            </w: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r>
      <w:tr>
        <w:trPr>
          <w:trHeight w:val="260"/>
        </w:trPr>
        <w:tc>
          <w:tcPr>
            <w:tcW w:w="254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Nitesh Sharan</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20"/>
                <w:szCs w:val="20"/>
                <w:color w:val="auto"/>
              </w:rPr>
              <w:t xml:space="preserve"> . . . . . . . . .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1,188,547</w:t>
            </w: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r>
      <w:tr>
        <w:trPr>
          <w:trHeight w:val="260"/>
        </w:trPr>
        <w:tc>
          <w:tcPr>
            <w:tcW w:w="254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Michael Zagorsek</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20"/>
                <w:szCs w:val="20"/>
                <w:color w:val="auto"/>
              </w:rPr>
              <w:t xml:space="preserve"> . . . . . .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1,597,820</w:t>
            </w:r>
          </w:p>
        </w:tc>
        <w:tc>
          <w:tcPr>
            <w:tcW w:w="1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r>
      <w:tr>
        <w:trPr>
          <w:trHeight w:val="220"/>
        </w:trPr>
        <w:tc>
          <w:tcPr>
            <w:tcW w:w="25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All directors and executive</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254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officers as a group</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25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(10 individuals) . . . . . . .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5,439,826</w:t>
            </w:r>
          </w:p>
        </w:tc>
        <w:tc>
          <w:tcPr>
            <w:tcW w:w="148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1.40%</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32,535,408</w:t>
            </w:r>
          </w:p>
        </w:tc>
        <w:tc>
          <w:tcPr>
            <w:tcW w:w="156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100.00%</w:t>
            </w:r>
          </w:p>
        </w:tc>
        <w:tc>
          <w:tcPr>
            <w:tcW w:w="13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46%</w:t>
            </w:r>
          </w:p>
        </w:tc>
      </w:tr>
      <w:tr>
        <w:trPr>
          <w:trHeight w:val="360"/>
        </w:trPr>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5% Holders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7"/>
        </w:trPr>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Vanguard Group,</w:t>
            </w: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2540" w:type="dxa"/>
            <w:vAlign w:val="bottom"/>
            <w:gridSpan w:val="2"/>
          </w:tcPr>
          <w:p>
            <w:pPr>
              <w:ind w:left="200"/>
              <w:spacing w:after="0" w:line="259" w:lineRule="exact"/>
              <w:rPr>
                <w:sz w:val="20"/>
                <w:szCs w:val="20"/>
                <w:color w:val="auto"/>
              </w:rPr>
            </w:pPr>
            <w:r>
              <w:rPr>
                <w:rFonts w:ascii="Times New Roman" w:cs="Times New Roman" w:eastAsia="Times New Roman" w:hAnsi="Times New Roman"/>
                <w:sz w:val="20"/>
                <w:szCs w:val="20"/>
                <w:color w:val="auto"/>
              </w:rPr>
              <w:t>Inc.</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20"/>
                <w:szCs w:val="20"/>
                <w:color w:val="auto"/>
              </w:rPr>
              <w:t xml:space="preserve"> . . . . . . . . . . . . . . .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38,814,254</w:t>
            </w:r>
          </w:p>
        </w:tc>
        <w:tc>
          <w:tcPr>
            <w:tcW w:w="148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9.95%</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5%</w:t>
            </w:r>
          </w:p>
        </w:tc>
      </w:tr>
      <w:tr>
        <w:trPr>
          <w:trHeight w:val="220"/>
        </w:trPr>
        <w:tc>
          <w:tcPr>
            <w:tcW w:w="25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BlackRock Institutional</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62"/>
        </w:trPr>
        <w:tc>
          <w:tcPr>
            <w:tcW w:w="2540" w:type="dxa"/>
            <w:vAlign w:val="bottom"/>
            <w:gridSpan w:val="2"/>
          </w:tcPr>
          <w:p>
            <w:pPr>
              <w:ind w:left="200"/>
              <w:spacing w:after="0" w:line="262" w:lineRule="exact"/>
              <w:rPr>
                <w:sz w:val="20"/>
                <w:szCs w:val="20"/>
                <w:color w:val="auto"/>
              </w:rPr>
            </w:pPr>
            <w:r>
              <w:rPr>
                <w:rFonts w:ascii="Times New Roman" w:cs="Times New Roman" w:eastAsia="Times New Roman" w:hAnsi="Times New Roman"/>
                <w:sz w:val="20"/>
                <w:szCs w:val="20"/>
                <w:color w:val="auto"/>
              </w:rPr>
              <w:t>Trust Company, N.A.</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20"/>
                <w:szCs w:val="20"/>
                <w:color w:val="auto"/>
              </w:rPr>
              <w:t xml:space="preserve">  . .</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28,182,491</w:t>
            </w:r>
          </w:p>
        </w:tc>
        <w:tc>
          <w:tcPr>
            <w:tcW w:w="148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7.23%</w:t>
            </w: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ind w:left="480" w:hanging="480"/>
        <w:spacing w:after="0" w:line="245" w:lineRule="auto"/>
        <w:tabs>
          <w:tab w:leader="none" w:pos="4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290,834 shares of Class A Common Stock issuable upon vesting of outstanding RSUs that vest within 60 days of December 31, 2025.</w:t>
      </w:r>
    </w:p>
    <w:p>
      <w:pPr>
        <w:spacing w:after="0" w:line="17"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85,832 shares of Class A Common Stock issuable upon vesting of outstanding RSUs that vest within 60 days of December 31, 2025.</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9360"/>
          </w:cols>
          <w:pgMar w:left="1440" w:top="948" w:right="1440" w:bottom="348" w:gutter="0" w:footer="0" w:header="0"/>
          <w:type w:val="continuous"/>
        </w:sectPr>
      </w:pPr>
    </w:p>
    <w:bookmarkStart w:id="151" w:name="page152"/>
    <w:bookmarkEnd w:id="151"/>
    <w:p>
      <w:pPr>
        <w:jc w:val="both"/>
        <w:ind w:left="480" w:hanging="480"/>
        <w:spacing w:after="0" w:line="253" w:lineRule="auto"/>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4,474 shares of Class A Common Stock issuable upon vesting of outstanding RSUs that vest within 60 days of December 31, 2025 and 108,117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pacing w:after="0" w:line="10" w:lineRule="exact"/>
        <w:rPr>
          <w:rFonts w:ascii="Times New Roman" w:cs="Times New Roman" w:eastAsia="Times New Roman" w:hAnsi="Times New Roman"/>
          <w:sz w:val="18"/>
          <w:szCs w:val="18"/>
          <w:color w:val="auto"/>
        </w:rPr>
      </w:pPr>
    </w:p>
    <w:p>
      <w:pPr>
        <w:jc w:val="both"/>
        <w:ind w:left="480" w:hanging="480"/>
        <w:spacing w:after="0" w:line="250" w:lineRule="auto"/>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84,685 shares of Class A Common Stock that are issuable upon exercise of stock options which are exercisable within 60 days of December 31, 2025 and 4,474 shares of Class A Common Stock issuable upon vesting of outstanding RSUs that vest within 60 days of December 31, 2025.</w:t>
      </w:r>
    </w:p>
    <w:p>
      <w:pPr>
        <w:spacing w:after="0" w:line="13" w:lineRule="exact"/>
        <w:rPr>
          <w:rFonts w:ascii="Times New Roman" w:cs="Times New Roman" w:eastAsia="Times New Roman" w:hAnsi="Times New Roman"/>
          <w:sz w:val="18"/>
          <w:szCs w:val="18"/>
          <w:color w:val="auto"/>
        </w:rPr>
      </w:pPr>
    </w:p>
    <w:p>
      <w:pPr>
        <w:jc w:val="both"/>
        <w:ind w:left="480" w:hanging="480"/>
        <w:spacing w:after="0" w:line="250" w:lineRule="auto"/>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84,685 shares of Class A Common Stock that are issuable upon exercise of stock options which are exercisable within 60 days of December 31, 2025 and 4,474 shares of Class A Common Stock issuable upon vesting of outstanding RSUs that vest within 60 days of December 31, 2025.</w:t>
      </w:r>
    </w:p>
    <w:p>
      <w:pPr>
        <w:spacing w:after="0" w:line="13"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85,832 shares of Class A Common Stock issuable upon vesting of outstanding RSUs that vest within 60 days of December 31, 2025.</w:t>
      </w:r>
    </w:p>
    <w:p>
      <w:pPr>
        <w:spacing w:after="0" w:line="17" w:lineRule="exact"/>
        <w:rPr>
          <w:rFonts w:ascii="Times New Roman" w:cs="Times New Roman" w:eastAsia="Times New Roman" w:hAnsi="Times New Roman"/>
          <w:sz w:val="18"/>
          <w:szCs w:val="18"/>
          <w:color w:val="auto"/>
        </w:rPr>
      </w:pPr>
    </w:p>
    <w:p>
      <w:pPr>
        <w:jc w:val="both"/>
        <w:ind w:left="480" w:hanging="480"/>
        <w:spacing w:after="0" w:line="270" w:lineRule="auto"/>
        <w:tabs>
          <w:tab w:leader="none" w:pos="4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103,127 shares of Class A Common Stock, 166,688 shares of Class A Common Stock that are issuable upon exercise of stock options that are currently exercisable or exercisable within 60 days of December 31, 2025 and 63,124 shares of Class A Common Stock issuable upon vesting of outstanding RSUs that vest within 60 days of December 31, 2025.</w:t>
      </w:r>
    </w:p>
    <w:p>
      <w:pPr>
        <w:jc w:val="both"/>
        <w:ind w:left="480" w:hanging="480"/>
        <w:spacing w:after="0" w:line="250" w:lineRule="auto"/>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248,677 shares of Class A Common Stock that are issuable upon exercise of stock options which are currently exercisable or exercisable within 60 days of December 31, 2025 and 129,167 shares of Class A Common Stock issuable upon vesting of outstanding RSUs that vest within 60 days of December 31, 2025.</w:t>
      </w:r>
    </w:p>
    <w:p>
      <w:pPr>
        <w:spacing w:after="0" w:line="13" w:lineRule="exact"/>
        <w:rPr>
          <w:rFonts w:ascii="Times New Roman" w:cs="Times New Roman" w:eastAsia="Times New Roman" w:hAnsi="Times New Roman"/>
          <w:sz w:val="18"/>
          <w:szCs w:val="18"/>
          <w:color w:val="auto"/>
        </w:rPr>
      </w:pPr>
    </w:p>
    <w:p>
      <w:pPr>
        <w:jc w:val="both"/>
        <w:ind w:left="480" w:hanging="480"/>
        <w:spacing w:after="0" w:line="250" w:lineRule="auto"/>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588,139 shares of Class A Common Stock that are issuable upon exercise of stock options which are currently exercisable or exercisable within 60 days of December 31, 2025 and 147,917 shares of Class A Common Stock issuable upon vesting of outstanding RSUs that vest within 60 days of December 31, 2025.</w:t>
      </w:r>
    </w:p>
    <w:p>
      <w:pPr>
        <w:spacing w:after="0" w:line="24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Relationships and Related Transactions, and Director Independence</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is a description of each transaction since January 1, 2025 and each currently proposed transaction in which:</w:t>
      </w:r>
    </w:p>
    <w:p>
      <w:pPr>
        <w:spacing w:after="0" w:line="168" w:lineRule="exact"/>
        <w:rPr>
          <w:sz w:val="20"/>
          <w:szCs w:val="20"/>
          <w:color w:val="auto"/>
        </w:rPr>
      </w:pPr>
    </w:p>
    <w:p>
      <w:pPr>
        <w:ind w:left="960" w:hanging="480"/>
        <w:spacing w:after="0"/>
        <w:tabs>
          <w:tab w:leader="none" w:pos="9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SoundHound has been or is to be a participant;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involved exceeded or exceeds $120,000; and</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SoundHound’s directors, executive officers or holders of more than 5% of its capital stock, or any immediate family member of, or person sharing the household with, any of these individuals, had or will have a direct or indirect material interest.</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See Note 20 to our consolidated financial statements included within this Annual Report for related-party transactions for the year ended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Policies and Procedures for Related Party Transactions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April 2022, SoundHound adopted a written related person transaction policy that sets forth the following policies and procedures for the identification, review, consideration and approval or ratification of related person transactions. SoundHound’s policies and procedures are designed to minimize potential conflicts of interest arising from any dealings it may have with its affiliates and to provide appropriate procedures for the disclosure of any real or potential conflicts of interest that may exist from time to time.</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 “Related Person Transaction” is a transaction, arrangement or relationship in which SoundHound or any of its subsidiaries was, is or will be a participant, the amount of which involved exceeds the lesser of $120,000 or one percent of the average of SoundHound’s total assets at year-end for the last two completed fiscal years, and in which any related person had, has or will have a direct or indirect material interest. Transactions involving compensation for services provided to SoundHound as an employee or director are not covered by this policy. A “Related Person” means:</w:t>
      </w:r>
    </w:p>
    <w:p>
      <w:pPr>
        <w:spacing w:after="0" w:line="158" w:lineRule="exact"/>
        <w:rPr>
          <w:sz w:val="20"/>
          <w:szCs w:val="20"/>
          <w:color w:val="auto"/>
        </w:rPr>
      </w:pPr>
    </w:p>
    <w:p>
      <w:pPr>
        <w:ind w:left="960" w:hanging="480"/>
        <w:spacing w:after="0" w:line="243" w:lineRule="auto"/>
        <w:tabs>
          <w:tab w:leader="none" w:pos="9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who is, or at any time during the applicable period was, one of SoundHound’s officers or one of SoundHound’s directors;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who is known by SoundHound to be the beneficial owner of more than five percent (5%) of its voting stock;</w:t>
      </w:r>
    </w:p>
    <w:p>
      <w:pPr>
        <w:sectPr>
          <w:pgSz w:w="12240" w:h="15840" w:orient="portrait"/>
          <w:cols w:equalWidth="0" w:num="1">
            <w:col w:w="9360"/>
          </w:cols>
          <w:pgMar w:left="1440" w:top="953" w:right="1440" w:bottom="348"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9360"/>
          </w:cols>
          <w:pgMar w:left="1440" w:top="953" w:right="1440" w:bottom="348" w:gutter="0" w:footer="0" w:header="0"/>
          <w:type w:val="continuous"/>
        </w:sectPr>
      </w:pPr>
    </w:p>
    <w:bookmarkStart w:id="152" w:name="page153"/>
    <w:bookmarkEnd w:id="152"/>
    <w:p>
      <w:pPr>
        <w:jc w:val="both"/>
        <w:ind w:left="960" w:hanging="480"/>
        <w:spacing w:after="0" w:line="248" w:lineRule="auto"/>
        <w:tabs>
          <w:tab w:leader="none" w:pos="9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71" w:lineRule="exact"/>
        <w:rPr>
          <w:rFonts w:ascii="Times New Roman" w:cs="Times New Roman" w:eastAsia="Times New Roman" w:hAnsi="Times New Roman"/>
          <w:sz w:val="20"/>
          <w:szCs w:val="20"/>
          <w:color w:val="auto"/>
        </w:rPr>
      </w:pPr>
    </w:p>
    <w:p>
      <w:pPr>
        <w:jc w:val="both"/>
        <w:ind w:left="960" w:hanging="480"/>
        <w:spacing w:after="0" w:line="268" w:lineRule="auto"/>
        <w:tabs>
          <w:tab w:leader="none" w:pos="96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firm, corporation or other entity in which any of the foregoing persons is a partner or principal or in a similar position or in which such person has a ten percent (10%) or greater beneficial ownership interest.</w:t>
      </w:r>
    </w:p>
    <w:p>
      <w:pPr>
        <w:spacing w:after="0" w:line="15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SoundHound’s management must present information regarding the related person transaction to the Audit Committee, or, if Audit Committee approval would be inappropriate, to another independent body of the Board, for review, consideration and approval or ratification. The presentation must include a description of, among other things, the material facts, the interests, direct and indirect, of the related persons, the benefits to SoundHound of the transaction and whether the transaction is on terms that are comparable to the terms available to or from, as the case may be, an unrelated third party or to or from employees generally. Under the policy, SoundHound will collect information that SoundHound deems reasonably necessary from each director, executive officer and, to the extent feasible, significant stockholder to enable SoundHound to identify any existing or potential related-person transactions and to effectuate the terms of the policy. In addition, under SoundHound’s Code of Conduct, SoundHound’s employees and directors have an affirmative responsibility to disclose any transaction or relationship that reasonably could be expected to give rise to a conflict of interest. In considering related person transactions, the Audit Committee, or other independent body of the Board, will take into account the relevant available facts and circumstances including, but not limited to:</w:t>
      </w:r>
    </w:p>
    <w:p>
      <w:pPr>
        <w:spacing w:after="0" w:line="174" w:lineRule="exact"/>
        <w:rPr>
          <w:sz w:val="20"/>
          <w:szCs w:val="20"/>
          <w:color w:val="auto"/>
        </w:rPr>
      </w:pPr>
    </w:p>
    <w:p>
      <w:pPr>
        <w:ind w:left="960" w:hanging="480"/>
        <w:spacing w:after="0"/>
        <w:tabs>
          <w:tab w:leader="none" w:pos="9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costs and benefits to SoundHound;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a director’s independence in the event that the related person is a director, immediate family member of a director or an entity with which a director is affiliated;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other sources for comparable services or products; and</w:t>
      </w:r>
    </w:p>
    <w:p>
      <w:pPr>
        <w:spacing w:after="0" w:line="17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available to or from, as the case may be, unrelated third parties or to or from employees generally.</w:t>
      </w:r>
    </w:p>
    <w:p>
      <w:pPr>
        <w:spacing w:after="0" w:line="182"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policy requires that, in determining whether to approve, ratify or reject a related person transaction, the Audit Committee, or other independent body of the Board, must consider, in light of known circumstances, whether the transaction is in, or is not inconsistent with, SoundHound’s best interests and those of SoundHound’s stockholders, as the Audit Committee, or other independent body of the Board, determines in the good faith exercise of its discretion.</w:t>
      </w:r>
    </w:p>
    <w:p>
      <w:pPr>
        <w:spacing w:after="0" w:line="155"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9"/>
          <w:szCs w:val="19"/>
          <w:i w:val="1"/>
          <w:iCs w:val="1"/>
          <w:color w:val="auto"/>
        </w:rPr>
        <w:t>www.sec.gov</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Independence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Board is responsible for determining the independence of our directors. For purposes of determining director independence, our Board has applied the definitions set forth in Nasdaq Listing Rule 5605(a)(2) and the related rules of the SEC. Based upon its evaluation, our Board has affirmatively determined that the following directors meet the standards of independence: Dr Eric Ball, Larry Marcus and Diana Sroka.</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9360"/>
          </w:cols>
          <w:pgMar w:left="1440" w:top="948" w:right="1440" w:bottom="348" w:gutter="0" w:footer="0" w:header="0"/>
          <w:type w:val="continuous"/>
        </w:sectPr>
      </w:pPr>
    </w:p>
    <w:bookmarkStart w:id="153" w:name="page154"/>
    <w:bookmarkEnd w:id="153"/>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Appointment of Independent Registered Public Accounting Firm</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capabilities relative to our business; and the firm’s knowledge of our operations. PricewaterhouseCoopers LLP has served as our independent registered public accounting firm since 2023. Neither the accounting firm nor any of its members has any direct or indirect financial interest in or any connection with us in any capacity other than as our auditors and providing audit and permissible non-audit related services. Prior to the appointment of PricewaterhouseCoopers LLP, Armanino LLP served as the Company’s independent registered public accounting firm from 2020 through 2023.</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Audit-Related and All Other Fees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Fees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Audit fees consist of fees billed for professional services rendered for the audit of our consolidated financial statements, including business combination activities during the year, the audit of our internal control over financial reporting, reviews of our quarterly financial statements, and reviews of SEC registration statements and related consents and comfort letters. The aggregate fees billed by PricewaterhouseCoopers LLP for audit fees, inclusive of required filings with the SEC for the years ended December 31, 2025 and 2024 totaled $3,800,000 and $4,999,000, respectively.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Audit-Related Fees</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Audit-related fees consist of fees billed for assurance and related services that are reasonably related to performance of the audit or review of our year-end financial statements and are not reported under “Audit Fees.” There were no audit-related fees billed by PricewaterhouseCoopers LLP for the years ended December 31, 2025 and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Fees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Tax fees consist of fees billed for professional services relating to tax compliance, tax planning and tax advice.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tax fees billed by PricewaterhouseCoopers LLP for the years ended December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 Other Fees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An aggregate of $2,000 and $2,000 was billed by PricewaterhouseCoopers LLP as other fees for the years ended December 31, 2025 and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9360"/>
          </w:cols>
          <w:pgMar w:left="1440" w:top="941" w:right="1440" w:bottom="348"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170" w:lineRule="exact"/>
        <w:rPr>
          <w:sz w:val="20"/>
          <w:szCs w:val="20"/>
          <w:color w:val="auto"/>
        </w:rPr>
      </w:pPr>
    </w:p>
    <w:p>
      <w:pPr>
        <w:ind w:left="480" w:hanging="480"/>
        <w:spacing w:after="0"/>
        <w:tabs>
          <w:tab w:leader="none" w:pos="4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a part of this Annual Report on Form 10-K:</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See Index to Consolidated Financial Statements in Part II, Item 8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 10-K.</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w:t>
      </w:r>
      <w:r>
        <w:rPr>
          <w:rFonts w:ascii="Times New Roman" w:cs="Times New Roman" w:eastAsia="Times New Roman" w:hAnsi="Times New Roman"/>
          <w:sz w:val="20"/>
          <w:szCs w:val="20"/>
          <w:color w:val="auto"/>
        </w:rPr>
        <w:t>: All schedules have been omitted as the requested information is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or the information is presented in the consolidated financial statements or related notes included in this Form 10-K.</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r>
        <w:rPr>
          <w:rFonts w:ascii="Times New Roman" w:cs="Times New Roman" w:eastAsia="Times New Roman" w:hAnsi="Times New Roman"/>
          <w:sz w:val="20"/>
          <w:szCs w:val="20"/>
          <w:color w:val="auto"/>
        </w:rPr>
        <w:t>:  See Item 15(b) of this Form 10-K below.</w:t>
      </w:r>
    </w:p>
    <w:p>
      <w:pPr>
        <w:spacing w:after="0" w:line="170" w:lineRule="exact"/>
        <w:rPr>
          <w:rFonts w:ascii="Times New Roman" w:cs="Times New Roman" w:eastAsia="Times New Roman" w:hAnsi="Times New Roman"/>
          <w:sz w:val="20"/>
          <w:szCs w:val="20"/>
          <w:color w:val="auto"/>
        </w:rPr>
      </w:pPr>
    </w:p>
    <w:p>
      <w:pPr>
        <w:ind w:left="480" w:hanging="480"/>
        <w:spacing w:after="0"/>
        <w:tabs>
          <w:tab w:leader="none" w:pos="4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Borders>
              <w:bottom w:val="single" w:sz="8" w:color="auto"/>
            </w:tcBorders>
            <w:gridSpan w:val="5"/>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197"/>
        </w:trPr>
        <w:tc>
          <w:tcPr>
            <w:tcW w:w="74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1"/>
              <w:spacing w:after="0" w:line="197" w:lineRule="exact"/>
              <w:rPr>
                <w:sz w:val="20"/>
                <w:szCs w:val="20"/>
                <w:color w:val="auto"/>
              </w:rPr>
            </w:pPr>
            <w:r>
              <w:rPr>
                <w:rFonts w:ascii="Times New Roman" w:cs="Times New Roman" w:eastAsia="Times New Roman" w:hAnsi="Times New Roman"/>
                <w:sz w:val="18"/>
                <w:szCs w:val="18"/>
                <w:b w:val="1"/>
                <w:bCs w:val="1"/>
                <w:color w:val="auto"/>
              </w:rPr>
              <w:t>Filing</w:t>
            </w:r>
          </w:p>
        </w:tc>
      </w:tr>
      <w:tr>
        <w:trPr>
          <w:trHeight w:val="210"/>
        </w:trPr>
        <w:tc>
          <w:tcPr>
            <w:tcW w:w="7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5480" w:type="dxa"/>
            <w:vAlign w:val="bottom"/>
            <w:tcBorders>
              <w:bottom w:val="single" w:sz="8" w:color="auto"/>
            </w:tcBorders>
          </w:tcPr>
          <w:p>
            <w:pPr>
              <w:ind w:left="23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Form</w:t>
            </w:r>
          </w:p>
        </w:tc>
        <w:tc>
          <w:tcPr>
            <w:tcW w:w="180" w:type="dxa"/>
            <w:vAlign w:val="bottom"/>
          </w:tcPr>
          <w:p>
            <w:pPr>
              <w:spacing w:after="0"/>
              <w:rPr>
                <w:sz w:val="18"/>
                <w:szCs w:val="18"/>
                <w:color w:val="auto"/>
              </w:rPr>
            </w:pPr>
          </w:p>
        </w:tc>
        <w:tc>
          <w:tcPr>
            <w:tcW w:w="700" w:type="dxa"/>
            <w:vAlign w:val="bottom"/>
            <w:tcBorders>
              <w:bottom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ind w:right="161"/>
              <w:spacing w:after="0" w:line="201" w:lineRule="exact"/>
              <w:rPr>
                <w:sz w:val="20"/>
                <w:szCs w:val="20"/>
                <w:color w:val="auto"/>
              </w:rPr>
            </w:pPr>
            <w:r>
              <w:rPr>
                <w:rFonts w:ascii="Times New Roman" w:cs="Times New Roman" w:eastAsia="Times New Roman" w:hAnsi="Times New Roman"/>
                <w:sz w:val="18"/>
                <w:szCs w:val="18"/>
                <w:b w:val="1"/>
                <w:bCs w:val="1"/>
                <w:color w:val="auto"/>
              </w:rPr>
              <w:t>Date</w:t>
            </w: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and Plan of Merger, dated December 6, 2023, by and</w:t>
            </w:r>
          </w:p>
        </w:tc>
        <w:tc>
          <w:tcPr>
            <w:tcW w:w="80" w:type="dxa"/>
            <w:vAlign w:val="bottom"/>
          </w:tcPr>
          <w:p>
            <w:pPr>
              <w:spacing w:after="0"/>
              <w:rPr>
                <w:sz w:val="21"/>
                <w:szCs w:val="21"/>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12/07/23</w:t>
            </w:r>
          </w:p>
        </w:tc>
      </w:tr>
      <w:tr>
        <w:trPr>
          <w:trHeight w:val="220"/>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among SoundHound AI, Inc., Black Knights Merger Sub I, Inc., a</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Delaware corporation, Black Knight Merger Sub II, LLC, a Delaware</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limited liability company and Synq3, Inc.</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Firehorse Merger Sub, LLC Stock Purchase Agreement</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08/06/24</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Amelia Holding II, LLC Credit Agreement</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08/06/24</w:t>
            </w: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5"/>
              </w:rPr>
              <w:t>Agreement and Plan of Merger, dated September 3, 2025, by and among</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09/09/25</w:t>
            </w:r>
          </w:p>
        </w:tc>
      </w:tr>
      <w:tr>
        <w:trPr>
          <w:trHeight w:val="220"/>
        </w:trPr>
        <w:tc>
          <w:tcPr>
            <w:tcW w:w="740" w:type="dxa"/>
            <w:vAlign w:val="bottom"/>
          </w:tcPr>
          <w:p>
            <w:pPr>
              <w:spacing w:after="0"/>
              <w:rPr>
                <w:sz w:val="19"/>
                <w:szCs w:val="19"/>
                <w:color w:val="auto"/>
              </w:rPr>
            </w:pPr>
          </w:p>
        </w:tc>
        <w:tc>
          <w:tcPr>
            <w:tcW w:w="576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rPr>
              <w:t>SoundHound, Inc., Iris Merger Sub, Inc., Shareholder Representative</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576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Services LLC, Interactions Corporation and SoundHound AI, Inc.</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Restated Certificate of Incorporation</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05/30/25</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Amended and Restated Bylaws of SoundHound AI, Inc.</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05/02/22</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Amended and Restated Warrant Agreement.</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05/02/22</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Form of Specimen Class A Common Stock Certificate.</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S-1</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05/16/22</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Form of Specimen Warrant Certificate.</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S-1</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05/16/22</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Amended and Restated Warrant Agreement.</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05/02/22</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Form of Class A Common Stock Purchase Warrant</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05/12/23</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Description of Securities</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4.5</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03/28/23</w:t>
            </w: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SoundHound AI, Inc. 2022 Incentive Award Plan.</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Proxy</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Annex 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04/08/22</w:t>
            </w:r>
          </w:p>
        </w:tc>
      </w:tr>
      <w:tr>
        <w:trPr>
          <w:trHeight w:val="223"/>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center"/>
              <w:ind w:right="40"/>
              <w:spacing w:after="0" w:line="223" w:lineRule="exact"/>
              <w:rPr>
                <w:sz w:val="20"/>
                <w:szCs w:val="20"/>
                <w:color w:val="auto"/>
              </w:rPr>
            </w:pPr>
            <w:r>
              <w:rPr>
                <w:rFonts w:ascii="Times New Roman" w:cs="Times New Roman" w:eastAsia="Times New Roman" w:hAnsi="Times New Roman"/>
                <w:sz w:val="20"/>
                <w:szCs w:val="20"/>
                <w:color w:val="auto"/>
                <w:w w:val="99"/>
              </w:rPr>
              <w:t>Statement</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SoundHound AI, Inc. 2022 Employee Stock Purchase Plan.</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Proxy</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Annex 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04/08/22</w:t>
            </w:r>
          </w:p>
        </w:tc>
      </w:tr>
      <w:tr>
        <w:trPr>
          <w:trHeight w:val="223"/>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center"/>
              <w:ind w:right="40"/>
              <w:spacing w:after="0" w:line="223" w:lineRule="exact"/>
              <w:rPr>
                <w:sz w:val="20"/>
                <w:szCs w:val="20"/>
                <w:color w:val="auto"/>
              </w:rPr>
            </w:pPr>
            <w:r>
              <w:rPr>
                <w:rFonts w:ascii="Times New Roman" w:cs="Times New Roman" w:eastAsia="Times New Roman" w:hAnsi="Times New Roman"/>
                <w:sz w:val="20"/>
                <w:szCs w:val="20"/>
                <w:color w:val="auto"/>
                <w:w w:val="99"/>
              </w:rPr>
              <w:t>Statement</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Form of Restricted Stock Unit Agreement.</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10.8</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05/02/22</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Form of Stock Option Award Agreement.</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05/02/22</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Form of Indemnity Agreement.</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10.10</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05/02/22</w:t>
            </w: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Employment Agreement with Keyvan Mohajer, Chief Executive</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06/08/22</w:t>
            </w:r>
          </w:p>
        </w:tc>
      </w:tr>
      <w:tr>
        <w:trPr>
          <w:trHeight w:val="223"/>
        </w:trPr>
        <w:tc>
          <w:tcPr>
            <w:tcW w:w="740" w:type="dxa"/>
            <w:vAlign w:val="bottom"/>
          </w:tcPr>
          <w:p>
            <w:pPr>
              <w:spacing w:after="0"/>
              <w:rPr>
                <w:sz w:val="19"/>
                <w:szCs w:val="19"/>
                <w:color w:val="auto"/>
              </w:rPr>
            </w:pPr>
          </w:p>
        </w:tc>
        <w:tc>
          <w:tcPr>
            <w:tcW w:w="576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Officer, dated June 2, 2022.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Employment Agreement with Nitesh Sharan, Chief Financial Officer,</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06/08/22</w:t>
            </w:r>
          </w:p>
        </w:tc>
      </w:tr>
      <w:tr>
        <w:trPr>
          <w:trHeight w:val="223"/>
        </w:trPr>
        <w:tc>
          <w:tcPr>
            <w:tcW w:w="740" w:type="dxa"/>
            <w:vAlign w:val="bottom"/>
          </w:tcPr>
          <w:p>
            <w:pPr>
              <w:spacing w:after="0"/>
              <w:rPr>
                <w:sz w:val="19"/>
                <w:szCs w:val="19"/>
                <w:color w:val="auto"/>
              </w:rPr>
            </w:pPr>
          </w:p>
        </w:tc>
        <w:tc>
          <w:tcPr>
            <w:tcW w:w="576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dated June 2, 2022.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7"/>
              </w:rPr>
              <w:t>Employment Agreement with Timothy Stonehocker, Chief Technology</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06/08/22</w:t>
            </w:r>
          </w:p>
        </w:tc>
      </w:tr>
      <w:tr>
        <w:trPr>
          <w:trHeight w:val="223"/>
        </w:trPr>
        <w:tc>
          <w:tcPr>
            <w:tcW w:w="740" w:type="dxa"/>
            <w:vAlign w:val="bottom"/>
          </w:tcPr>
          <w:p>
            <w:pPr>
              <w:spacing w:after="0"/>
              <w:rPr>
                <w:sz w:val="19"/>
                <w:szCs w:val="19"/>
                <w:color w:val="auto"/>
              </w:rPr>
            </w:pPr>
          </w:p>
        </w:tc>
        <w:tc>
          <w:tcPr>
            <w:tcW w:w="576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Officer, dated June 2, 2022.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Non-Employee Director Compensation Policy.</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06/08/22</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Form of Controlled Equity Offering Sales Agreement</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S-3</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07/24/23</w:t>
            </w: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8"/>
              </w:rPr>
              <w:t>SoundHound AI, Inc. 2024 Employment Inducement Incentive Award</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S-8</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11/04/24</w:t>
            </w:r>
          </w:p>
        </w:tc>
      </w:tr>
      <w:tr>
        <w:trPr>
          <w:trHeight w:val="223"/>
        </w:trPr>
        <w:tc>
          <w:tcPr>
            <w:tcW w:w="740" w:type="dxa"/>
            <w:vAlign w:val="bottom"/>
          </w:tcPr>
          <w:p>
            <w:pPr>
              <w:spacing w:after="0"/>
              <w:rPr>
                <w:sz w:val="19"/>
                <w:szCs w:val="19"/>
                <w:color w:val="auto"/>
              </w:rPr>
            </w:pPr>
          </w:p>
        </w:tc>
        <w:tc>
          <w:tcPr>
            <w:tcW w:w="576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Plan</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Form of Restricted Stock Unit Agreement.</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S-8</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11/04/24</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Form of Stock Option Award Agreement.</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S-8</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11/04/24</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Form of Equity Distribution Agreement, dated January 27, 2025</w:t>
            </w:r>
          </w:p>
        </w:tc>
        <w:tc>
          <w:tcPr>
            <w:tcW w:w="8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S-3</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01/28/25</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9360"/>
          </w:cols>
          <w:pgMar w:left="1440" w:top="941" w:right="1440" w:bottom="348"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15"/>
        </w:trPr>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197"/>
        </w:trPr>
        <w:tc>
          <w:tcPr>
            <w:tcW w:w="84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rPr>
              <w:t>Filing</w:t>
            </w:r>
          </w:p>
        </w:tc>
      </w:tr>
      <w:tr>
        <w:trPr>
          <w:trHeight w:val="210"/>
        </w:trPr>
        <w:tc>
          <w:tcPr>
            <w:tcW w:w="7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tcBorders>
              <w:bottom w:val="single" w:sz="8" w:color="auto"/>
            </w:tcBorders>
          </w:tcPr>
          <w:p>
            <w:pPr>
              <w:ind w:left="23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auto"/>
            </w:tcBorders>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Form</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4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Insider Trading Policy</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10-K</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19.1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03/01/24</w:t>
            </w: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00" w:type="dxa"/>
            <w:vAlign w:val="bottom"/>
          </w:tcPr>
          <w:p>
            <w:pPr>
              <w:spacing w:after="0"/>
              <w:rPr>
                <w:sz w:val="22"/>
                <w:szCs w:val="22"/>
                <w:color w:val="auto"/>
              </w:rPr>
            </w:pP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Subsidiaries of the Company</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00" w:type="dxa"/>
            <w:vAlign w:val="bottom"/>
          </w:tcPr>
          <w:p>
            <w:pPr>
              <w:spacing w:after="0"/>
              <w:rPr>
                <w:sz w:val="22"/>
                <w:szCs w:val="22"/>
                <w:color w:val="auto"/>
              </w:rPr>
            </w:pP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Consent of PricewaterhouseCoopers LLP</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00" w:type="dxa"/>
            <w:vAlign w:val="bottom"/>
          </w:tcPr>
          <w:p>
            <w:pPr>
              <w:spacing w:after="0"/>
              <w:rPr>
                <w:sz w:val="22"/>
                <w:szCs w:val="22"/>
                <w:color w:val="auto"/>
              </w:rPr>
            </w:pPr>
          </w:p>
        </w:tc>
        <w:tc>
          <w:tcPr>
            <w:tcW w:w="644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Securities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40" w:type="dxa"/>
            <w:vAlign w:val="bottom"/>
            <w:gridSpan w:val="6"/>
          </w:tcPr>
          <w:p>
            <w:pPr>
              <w:ind w:left="80"/>
              <w:spacing w:after="0" w:line="220" w:lineRule="exact"/>
              <w:rPr>
                <w:sz w:val="20"/>
                <w:szCs w:val="20"/>
                <w:color w:val="auto"/>
              </w:rPr>
            </w:pPr>
            <w:r>
              <w:rPr>
                <w:rFonts w:ascii="Times New Roman" w:cs="Times New Roman" w:eastAsia="Times New Roman" w:hAnsi="Times New Roman"/>
                <w:sz w:val="20"/>
                <w:szCs w:val="20"/>
                <w:color w:val="auto"/>
              </w:rPr>
              <w:t>Exchange Act Rules 13a-14(a) and 15(d)-14(a), as adopted Pursuant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to Section 302 of the Sarbanes-Oxley Act of 2002.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00" w:type="dxa"/>
            <w:vAlign w:val="bottom"/>
          </w:tcPr>
          <w:p>
            <w:pPr>
              <w:spacing w:after="0"/>
              <w:rPr>
                <w:sz w:val="22"/>
                <w:szCs w:val="22"/>
                <w:color w:val="auto"/>
              </w:rPr>
            </w:pPr>
          </w:p>
        </w:tc>
        <w:tc>
          <w:tcPr>
            <w:tcW w:w="644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Securities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40" w:type="dxa"/>
            <w:vAlign w:val="bottom"/>
            <w:gridSpan w:val="6"/>
          </w:tcPr>
          <w:p>
            <w:pPr>
              <w:ind w:left="80"/>
              <w:spacing w:after="0" w:line="220" w:lineRule="exact"/>
              <w:rPr>
                <w:sz w:val="20"/>
                <w:szCs w:val="20"/>
                <w:color w:val="auto"/>
              </w:rPr>
            </w:pPr>
            <w:r>
              <w:rPr>
                <w:rFonts w:ascii="Times New Roman" w:cs="Times New Roman" w:eastAsia="Times New Roman" w:hAnsi="Times New Roman"/>
                <w:sz w:val="20"/>
                <w:szCs w:val="20"/>
                <w:color w:val="auto"/>
              </w:rPr>
              <w:t>Exchange Act Rules 13a-14(a) and 15(d)-14(a), as adopted Pursuant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to Section 302 of the Sarbanes-Oxley Act of 2002.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00" w:type="dxa"/>
            <w:vAlign w:val="bottom"/>
          </w:tcPr>
          <w:p>
            <w:pPr>
              <w:spacing w:after="0"/>
              <w:rPr>
                <w:sz w:val="22"/>
                <w:szCs w:val="22"/>
                <w:color w:val="auto"/>
              </w:rPr>
            </w:pP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Certification  of  Principal  Executive  Officer  Pursuant</w:t>
            </w:r>
          </w:p>
        </w:tc>
        <w:tc>
          <w:tcPr>
            <w:tcW w:w="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18</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gridSpan w:val="2"/>
          </w:tcPr>
          <w:p>
            <w:pPr>
              <w:ind w:left="80"/>
              <w:spacing w:after="0" w:line="220" w:lineRule="exact"/>
              <w:rPr>
                <w:sz w:val="20"/>
                <w:szCs w:val="20"/>
                <w:color w:val="auto"/>
              </w:rPr>
            </w:pPr>
            <w:r>
              <w:rPr>
                <w:rFonts w:ascii="Times New Roman" w:cs="Times New Roman" w:eastAsia="Times New Roman" w:hAnsi="Times New Roman"/>
                <w:sz w:val="20"/>
                <w:szCs w:val="20"/>
                <w:color w:val="auto"/>
              </w:rPr>
              <w:t>U.S.C. Section 1350, as adopted Pursuant to Section 906</w:t>
            </w:r>
          </w:p>
        </w:tc>
        <w:tc>
          <w:tcPr>
            <w:tcW w:w="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of</w:t>
            </w:r>
          </w:p>
        </w:tc>
        <w:tc>
          <w:tcPr>
            <w:tcW w:w="1120" w:type="dxa"/>
            <w:vAlign w:val="bottom"/>
            <w:gridSpan w:val="3"/>
          </w:tcPr>
          <w:p>
            <w:pPr>
              <w:jc w:val="right"/>
              <w:ind w:right="727"/>
              <w:spacing w:after="0" w:line="220" w:lineRule="exact"/>
              <w:rPr>
                <w:sz w:val="20"/>
                <w:szCs w:val="20"/>
                <w:color w:val="auto"/>
              </w:rPr>
            </w:pPr>
            <w:r>
              <w:rPr>
                <w:rFonts w:ascii="Times New Roman" w:cs="Times New Roman" w:eastAsia="Times New Roman" w:hAnsi="Times New Roman"/>
                <w:sz w:val="20"/>
                <w:szCs w:val="20"/>
                <w:color w:val="auto"/>
              </w:rPr>
              <w:t>the</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Sarbanes-Oxley Act of 2002.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100" w:type="dxa"/>
            <w:vAlign w:val="bottom"/>
          </w:tcPr>
          <w:p>
            <w:pPr>
              <w:spacing w:after="0"/>
              <w:rPr>
                <w:sz w:val="22"/>
                <w:szCs w:val="22"/>
                <w:color w:val="auto"/>
              </w:rPr>
            </w:pP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Certification  of  Principal  Financial  Officer  Pursuant</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to</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18</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gridSpan w:val="2"/>
          </w:tcPr>
          <w:p>
            <w:pPr>
              <w:ind w:left="80"/>
              <w:spacing w:after="0" w:line="220" w:lineRule="exact"/>
              <w:rPr>
                <w:sz w:val="20"/>
                <w:szCs w:val="20"/>
                <w:color w:val="auto"/>
              </w:rPr>
            </w:pPr>
            <w:r>
              <w:rPr>
                <w:rFonts w:ascii="Times New Roman" w:cs="Times New Roman" w:eastAsia="Times New Roman" w:hAnsi="Times New Roman"/>
                <w:sz w:val="20"/>
                <w:szCs w:val="20"/>
                <w:color w:val="auto"/>
              </w:rPr>
              <w:t>U.S.C. Section 1350, as adopted Pursuant to Section 906</w:t>
            </w:r>
          </w:p>
        </w:tc>
        <w:tc>
          <w:tcPr>
            <w:tcW w:w="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of</w:t>
            </w:r>
          </w:p>
        </w:tc>
        <w:tc>
          <w:tcPr>
            <w:tcW w:w="1120" w:type="dxa"/>
            <w:vAlign w:val="bottom"/>
            <w:gridSpan w:val="3"/>
          </w:tcPr>
          <w:p>
            <w:pPr>
              <w:jc w:val="right"/>
              <w:ind w:right="727"/>
              <w:spacing w:after="0" w:line="220" w:lineRule="exact"/>
              <w:rPr>
                <w:sz w:val="20"/>
                <w:szCs w:val="20"/>
                <w:color w:val="auto"/>
              </w:rPr>
            </w:pPr>
            <w:r>
              <w:rPr>
                <w:rFonts w:ascii="Times New Roman" w:cs="Times New Roman" w:eastAsia="Times New Roman" w:hAnsi="Times New Roman"/>
                <w:sz w:val="20"/>
                <w:szCs w:val="20"/>
                <w:color w:val="auto"/>
              </w:rPr>
              <w:t>the</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Sarbanes-Oxley Act of 2002.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100" w:type="dxa"/>
            <w:vAlign w:val="bottom"/>
          </w:tcPr>
          <w:p>
            <w:pPr>
              <w:spacing w:after="0"/>
              <w:rPr>
                <w:sz w:val="22"/>
                <w:szCs w:val="22"/>
                <w:color w:val="auto"/>
              </w:rPr>
            </w:pP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Executive Compensation Clawback Policy</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0"/>
        </w:trPr>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101.INS</w:t>
            </w: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0"/>
        </w:trPr>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101.SCH</w:t>
            </w: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0"/>
        </w:trPr>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101.CAL</w:t>
            </w:r>
          </w:p>
        </w:tc>
        <w:tc>
          <w:tcPr>
            <w:tcW w:w="644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0"/>
        </w:trPr>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101.DEF</w:t>
            </w:r>
          </w:p>
        </w:tc>
        <w:tc>
          <w:tcPr>
            <w:tcW w:w="644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0"/>
        </w:trPr>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101.LAB</w:t>
            </w: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8"/>
              </w:rPr>
              <w:t>Inline XBRL Taxonomy Extension Label Linkbase Document.</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0"/>
        </w:trPr>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101.PRE</w:t>
            </w:r>
          </w:p>
        </w:tc>
        <w:tc>
          <w:tcPr>
            <w:tcW w:w="644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r>
    </w:tbl>
    <w:p>
      <w:pPr>
        <w:spacing w:after="0" w:line="37" w:lineRule="exact"/>
        <w:rPr>
          <w:sz w:val="20"/>
          <w:szCs w:val="20"/>
          <w:color w:val="auto"/>
        </w:rPr>
      </w:pPr>
    </w:p>
    <w:p>
      <w:pPr>
        <w:ind w:left="920" w:right="2900" w:hanging="920"/>
        <w:spacing w:after="0" w:line="231" w:lineRule="auto"/>
        <w:tabs>
          <w:tab w:leader="none" w:pos="9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68" w:lineRule="exact"/>
        <w:rPr>
          <w:sz w:val="20"/>
          <w:szCs w:val="20"/>
          <w:color w:val="auto"/>
        </w:rPr>
      </w:pPr>
    </w:p>
    <w:p>
      <w:pPr>
        <w:ind w:left="480" w:hanging="480"/>
        <w:spacing w:after="0"/>
        <w:tabs>
          <w:tab w:leader="none" w:pos="4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3" w:lineRule="exact"/>
        <w:rPr>
          <w:sz w:val="20"/>
          <w:szCs w:val="20"/>
          <w:color w:val="auto"/>
        </w:rPr>
      </w:pPr>
    </w:p>
    <w:p>
      <w:pPr>
        <w:ind w:left="480" w:hanging="480"/>
        <w:spacing w:after="0"/>
        <w:tabs>
          <w:tab w:leader="none" w:pos="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1" w:lineRule="exact"/>
        <w:rPr>
          <w:sz w:val="20"/>
          <w:szCs w:val="20"/>
          <w:color w:val="auto"/>
        </w:rPr>
      </w:pPr>
    </w:p>
    <w:p>
      <w:pPr>
        <w:ind w:left="480" w:hanging="480"/>
        <w:spacing w:after="0" w:line="245" w:lineRule="auto"/>
        <w:tabs>
          <w:tab w:leader="none" w:pos="4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furnish supplementally to the SEC a copy of any omitted schedule or exhibit upon the request of the SEC in accordance with Item 601(b)(2) of Regulation S-K.</w:t>
      </w:r>
    </w:p>
    <w:p>
      <w:pPr>
        <w:spacing w:after="0" w:line="9" w:lineRule="exact"/>
        <w:rPr>
          <w:sz w:val="20"/>
          <w:szCs w:val="20"/>
          <w:color w:val="auto"/>
        </w:rPr>
      </w:pPr>
    </w:p>
    <w:p>
      <w:pPr>
        <w:ind w:left="480" w:hanging="480"/>
        <w:spacing w:after="0"/>
        <w:tabs>
          <w:tab w:leader="none" w:pos="4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5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975"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152</w:t>
      </w:r>
    </w:p>
    <w:p>
      <w:pPr>
        <w:sectPr>
          <w:pgSz w:w="12240" w:h="15840" w:orient="portrait"/>
          <w:cols w:equalWidth="0" w:num="1">
            <w:col w:w="9360"/>
          </w:cols>
          <w:pgMar w:left="1440" w:top="975" w:right="1440" w:bottom="348" w:gutter="0" w:footer="0" w:header="0"/>
          <w:type w:val="continuous"/>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SoundHound AI, Inc.</w:t>
            </w:r>
          </w:p>
        </w:tc>
      </w:tr>
      <w:tr>
        <w:trPr>
          <w:trHeight w:val="401"/>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Date: March 2, 2026</w:t>
            </w: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Dr. Keyvan Mohajer</w:t>
            </w:r>
          </w:p>
        </w:tc>
      </w:tr>
      <w:tr>
        <w:trPr>
          <w:trHeight w:val="239"/>
        </w:trPr>
        <w:tc>
          <w:tcPr>
            <w:tcW w:w="5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1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Dr. Keyvan Mohajer</w:t>
            </w:r>
          </w:p>
        </w:tc>
      </w:tr>
      <w:tr>
        <w:trPr>
          <w:trHeight w:val="260"/>
        </w:trPr>
        <w:tc>
          <w:tcPr>
            <w:tcW w:w="552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1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15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by the following persons on behalf of the Registrant and in the capacities and on the date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39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80" w:type="dxa"/>
            <w:vAlign w:val="bottom"/>
          </w:tcPr>
          <w:p>
            <w:pPr>
              <w:spacing w:after="0"/>
              <w:rPr>
                <w:sz w:val="18"/>
                <w:szCs w:val="18"/>
                <w:color w:val="auto"/>
              </w:rPr>
            </w:pPr>
          </w:p>
        </w:tc>
        <w:tc>
          <w:tcPr>
            <w:tcW w:w="1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88"/>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Dr. Keyvan Mohajer</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18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March 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Dr. Keyvan Mohajer</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Nitesh Sharan</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18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March 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Nitesh Sharan</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Hom</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March 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James Hom</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Dr. Eric Ball</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March 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Dr. Eric Ball</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Larry Marcus</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March 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Larry Marcus</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Diana Sroka</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March 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Diana Sroka</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153</w:t>
      </w:r>
    </w:p>
    <w:sectPr>
      <w:pgSz w:w="12240" w:h="15840" w:orient="portrait"/>
      <w:cols w:equalWidth="0" w:num="1">
        <w:col w:w="9360"/>
      </w:cols>
      <w:pgMar w:left="1440" w:top="941" w:right="1440" w:bottom="3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 w:name="Wingdings">
    <w:panose1 w:val="05000000000000000000"/>
    <w:charset w:val="00"/>
    <w:family w:val="auto"/>
    <w:pitch w:val="variable"/>
    <w:sig w:usb0="00000000" w:usb1="00000000" w:usb2="00000000" w:usb3="00000000" w:csb0="80000000" w:csb1="00000000"/>
  </w:font>
  <w:font w:name="Wingdings 2">
    <w:panose1 w:val="050201020105070707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CD89A32"/>
    <w:multiLevelType w:val="hybridMultilevel"/>
    <w:lvl w:ilvl="0">
      <w:lvlJc w:val="left"/>
      <w:lvlText w:val="6"/>
      <w:numFmt w:val="bullet"/>
      <w:start w:val="1"/>
    </w:lvl>
  </w:abstractNum>
  <w:abstractNum w:abstractNumId="1">
    <w:nsid w:val="57E4CCAF"/>
    <w:multiLevelType w:val="hybridMultilevel"/>
    <w:lvl w:ilvl="0">
      <w:lvlJc w:val="left"/>
      <w:lvlText w:val=""/>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1)"/>
      <w:numFmt w:val="lowerRoman"/>
      <w:start w:val="2"/>
    </w:lvl>
  </w:abstractNum>
  <w:abstractNum w:abstractNumId="39">
    <w:nsid w:val="310C50B3"/>
    <w:multiLevelType w:val="hybridMultilevel"/>
    <w:lvl w:ilvl="0">
      <w:lvlJc w:val="left"/>
      <w:lvlText w:val="(%1)"/>
      <w:numFmt w:val="lowerRoman"/>
      <w:start w:val="4"/>
    </w:lvl>
  </w:abstractNum>
  <w:abstractNum w:abstractNumId="40">
    <w:nsid w:val="5FF87E05"/>
    <w:multiLevelType w:val="hybridMultilevel"/>
    <w:lvl w:ilvl="0">
      <w:lvlJc w:val="left"/>
      <w:lvlText w:val="(%1)"/>
      <w:numFmt w:val="lowerRoman"/>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1)"/>
      <w:numFmt w:val="lowerRoman"/>
      <w:start w:val="3"/>
    </w:lvl>
  </w:abstractNum>
  <w:abstractNum w:abstractNumId="43">
    <w:nsid w:val="1DBABF00"/>
    <w:multiLevelType w:val="hybridMultilevel"/>
    <w:lvl w:ilvl="0">
      <w:lvlJc w:val="left"/>
      <w:lvlText w:val="(%1)"/>
      <w:numFmt w:val="decimal"/>
      <w:start w:val="2"/>
    </w:lvl>
  </w:abstractNum>
  <w:abstractNum w:abstractNumId="44">
    <w:nsid w:val="4AD084E9"/>
    <w:multiLevelType w:val="hybridMultilevel"/>
    <w:lvl w:ilvl="0">
      <w:lvlJc w:val="left"/>
      <w:lvlText w:val="(%1)"/>
      <w:numFmt w:val="decimal"/>
      <w:start w:val="3"/>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1)"/>
      <w:numFmt w:val="lowerLetter"/>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9"/>
      <w:numFmt w:val="bullet"/>
      <w:start w:val="1"/>
    </w:lvl>
  </w:abstractNum>
  <w:abstractNum w:abstractNumId="60">
    <w:nsid w:val="540A471C"/>
    <w:multiLevelType w:val="hybridMultilevel"/>
    <w:lvl w:ilvl="0">
      <w:lvlJc w:val="left"/>
      <w:lvlText w:val="6"/>
      <w:numFmt w:val="bullet"/>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1)"/>
      <w:numFmt w:val="decimal"/>
      <w:start w:val="3"/>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1)"/>
      <w:numFmt w:val="lowerRoman"/>
      <w:start w:val="2"/>
    </w:lvl>
  </w:abstractNum>
  <w:abstractNum w:abstractNumId="67">
    <w:nsid w:val="A0382C5"/>
    <w:multiLevelType w:val="hybridMultilevel"/>
    <w:lvl w:ilvl="0">
      <w:lvlJc w:val="left"/>
      <w:lvlText w:val="(%1)"/>
      <w:numFmt w:val="lowerRoman"/>
      <w:start w:val="2"/>
    </w:lvl>
  </w:abstractNum>
  <w:abstractNum w:abstractNumId="68">
    <w:nsid w:val="8F2B15E"/>
    <w:multiLevelType w:val="hybridMultilevel"/>
    <w:lvl w:ilvl="0">
      <w:lvlJc w:val="left"/>
      <w:lvlText w:val="(%1)"/>
      <w:numFmt w:val="lowerRoman"/>
      <w:start w:val="2"/>
    </w:lvl>
  </w:abstractNum>
  <w:abstractNum w:abstractNumId="69">
    <w:nsid w:val="1A32234B"/>
    <w:multiLevelType w:val="hybridMultilevel"/>
    <w:lvl w:ilvl="0">
      <w:lvlJc w:val="left"/>
      <w:lvlText w:val="(%1)"/>
      <w:numFmt w:val="lowerRoman"/>
      <w:start w:val="2"/>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decimal"/>
      <w:start w:val="1"/>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decimal"/>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1)"/>
      <w:numFmt w:val="decimal"/>
      <w:start w:val="1"/>
    </w:lvl>
  </w:abstractNum>
  <w:abstractNum w:abstractNumId="77">
    <w:nsid w:val="1A27709E"/>
    <w:multiLevelType w:val="hybridMultilevel"/>
    <w:lvl w:ilvl="0">
      <w:lvlJc w:val="left"/>
      <w:lvlText w:val="(%1)"/>
      <w:numFmt w:val="decimal"/>
      <w:start w:val="3"/>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1)"/>
      <w:numFmt w:val="lowerLetter"/>
      <w:start w:val="1"/>
    </w:lvl>
    <w:lvl w:ilvl="1">
      <w:lvlJc w:val="left"/>
      <w:lvlText w:val="%2."/>
      <w:numFmt w:val="decimal"/>
      <w:start w:val="1"/>
    </w:lvl>
  </w:abstractNum>
  <w:abstractNum w:abstractNumId="83">
    <w:nsid w:val="94211F2"/>
    <w:multiLevelType w:val="hybridMultilevel"/>
    <w:lvl w:ilvl="0">
      <w:lvlJc w:val="left"/>
      <w:lvlText w:val="%1"/>
      <w:numFmt w:val="decimal"/>
      <w:start w:val="104"/>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
      <w:numFmt w:val="bullet"/>
      <w:start w:val="1"/>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2026-04-09T15:11:08Z</dcterms:created>
  <dcterms:modified xsi:type="dcterms:W3CDTF">2026-04-09T15:11:08Z</dcterms:modified>
</cp:coreProperties>
</file>