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UNITED STATES</w:t>
      </w:r>
    </w:p>
    <w:p>
      <w:pPr>
        <w:pStyle w:val="TextBody"/>
        <w:bidi w:val="0"/>
        <w:spacing w:lineRule="auto" w:line="288" w:before="0" w:after="0"/>
        <w:jc w:val="center"/>
        <w:rPr>
          <w:rFonts w:ascii="Times New Roman;sans-serif" w:hAnsi="Times New Roman;sans-serif"/>
          <w:b/>
          <w:color w:val="212529"/>
          <w:sz w:val="22"/>
        </w:rPr>
      </w:pPr>
      <w:r>
        <w:rPr>
          <w:rFonts w:ascii="Times New Roman;sans-serif" w:hAnsi="Times New Roman;sans-serif"/>
          <w:b/>
          <w:color w:val="212529"/>
          <w:sz w:val="22"/>
        </w:rPr>
        <w:t>SECURITIES AND EXCHANGE COMMISSION</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200" w:after="283"/>
        <w:jc w:val="center"/>
        <w:rPr>
          <w:rFonts w:ascii="Times New Roman;sans-serif" w:hAnsi="Times New Roman;sans-serif"/>
          <w:b/>
          <w:color w:val="212529"/>
          <w:sz w:val="24"/>
        </w:rPr>
      </w:pPr>
      <w:r>
        <w:rPr>
          <w:rFonts w:ascii="Times New Roman;sans-serif" w:hAnsi="Times New Roman;sans-serif"/>
          <w:b/>
          <w:color w:val="212529"/>
          <w:sz w:val="24"/>
        </w:rPr>
        <w:t>FORM 8-K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CURRENT REPORT</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Pursuant to Section 13 or 15(d)</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of the Securities Exchange Act of 1934</w:t>
      </w:r>
    </w:p>
    <w:p>
      <w:pPr>
        <w:pStyle w:val="TextBody"/>
        <w:bidi w:val="0"/>
        <w:spacing w:lineRule="auto" w:line="288" w:before="120" w:after="283"/>
        <w:jc w:val="center"/>
        <w:rPr/>
      </w:pPr>
      <w:r>
        <w:rPr>
          <w:rFonts w:ascii="Times New Roman;sans-serif" w:hAnsi="Times New Roman;sans-serif"/>
          <w:b w:val="false"/>
          <w:color w:val="212529"/>
          <w:sz w:val="20"/>
        </w:rPr>
        <w:t>Date of Report (Date of earliest event reported): </w:t>
      </w:r>
      <w:r>
        <w:rPr>
          <w:rFonts w:ascii="Times New Roman;sans-serif" w:hAnsi="Times New Roman;sans-serif"/>
          <w:b/>
          <w:color w:val="212529"/>
          <w:sz w:val="20"/>
        </w:rPr>
        <w:t>May 8,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SOUNDHOUND AI, INC.</w:t>
      </w:r>
    </w:p>
    <w:p>
      <w:pPr>
        <w:pStyle w:val="TextBody"/>
        <w:bidi w:val="0"/>
        <w:spacing w:lineRule="auto" w:line="288" w:before="0" w:after="0"/>
        <w:jc w:val="center"/>
        <w:rPr>
          <w:rFonts w:ascii="Times New Roman;sans-serif" w:hAnsi="Times New Roman;sans-serif"/>
          <w:b w:val="false"/>
          <w:color w:val="212529"/>
          <w:sz w:val="20"/>
        </w:rPr>
      </w:pPr>
      <w:r>
        <w:rPr>
          <w:rFonts w:ascii="Times New Roman;sans-serif" w:hAnsi="Times New Roman;sans-serif"/>
          <w:b w:val="false"/>
          <w:color w:val="212529"/>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Betsy Ross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Registrant’s telephone number, including area code: (408) 441-3200</w:t>
      </w:r>
    </w:p>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ans-serif" w:hAnsi="Times New Roman;sans-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both"/>
        <w:rPr/>
      </w:pPr>
      <w:r>
        <w:rPr>
          <w:rFonts w:ascii="Times New Roman;sans-serif" w:hAnsi="Times New Roman;sans-serif"/>
          <w:b w:val="false"/>
          <w:color w:val="212529"/>
          <w:sz w:val="20"/>
        </w:rPr>
        <w:t xml:space="preserve">On </w:t>
      </w:r>
      <w:r>
        <w:rPr>
          <w:rFonts w:ascii="Times New Roman;sans-serif" w:hAnsi="Times New Roman;sans-serif"/>
          <w:b w:val="false"/>
          <w:color w:val="000000"/>
          <w:sz w:val="20"/>
        </w:rPr>
        <w:t>May 8, 2025</w:t>
      </w:r>
      <w:r>
        <w:rPr>
          <w:rFonts w:ascii="Times New Roman;sans-serif" w:hAnsi="Times New Roman;sans-serif"/>
          <w:b w:val="false"/>
          <w:color w:val="212529"/>
          <w:sz w:val="20"/>
        </w:rPr>
        <w:t xml:space="preserve">, SoundHound AI, Inc. (the “Company”) issued a press release announcing financial results and operational highlights for the first quarter ended </w:t>
      </w:r>
      <w:r>
        <w:rPr>
          <w:rFonts w:ascii="Times New Roman;sans-serif" w:hAnsi="Times New Roman;sans-serif"/>
          <w:b w:val="false"/>
          <w:color w:val="000000"/>
          <w:sz w:val="20"/>
        </w:rPr>
        <w:t>March 31, 2025</w:t>
      </w:r>
      <w:r>
        <w:rPr>
          <w:rFonts w:ascii="Times New Roman;sans-serif" w:hAnsi="Times New Roman;sans-serif"/>
          <w:b w:val="false"/>
          <w:color w:val="212529"/>
          <w:sz w:val="20"/>
        </w:rPr>
        <w:t xml:space="preserve">. A copy of the press release is furnished as Exhibit 99.1 to this current report on Form 8-K. The Company is also furnishing as Exhibit 99.2 to this current report on Form 8-K the condensed consolidated balance sheets of the Company as of </w:t>
      </w:r>
      <w:r>
        <w:rPr>
          <w:rFonts w:ascii="Times New Roman;sans-serif" w:hAnsi="Times New Roman;sans-serif"/>
          <w:b w:val="false"/>
          <w:color w:val="000000"/>
          <w:sz w:val="20"/>
        </w:rPr>
        <w:t>March 31, 2025</w:t>
      </w:r>
      <w:r>
        <w:rPr>
          <w:rFonts w:ascii="Times New Roman;sans-serif" w:hAnsi="Times New Roman;sans-serif"/>
          <w:b w:val="false"/>
          <w:color w:val="212529"/>
          <w:sz w:val="20"/>
        </w:rPr>
        <w:t xml:space="preserve">, and the related condensed consolidated statements of operations and comprehensive loss and condensed consolidated statements of cash flows for the period ended </w:t>
      </w:r>
      <w:r>
        <w:rPr>
          <w:rFonts w:ascii="Times New Roman;sans-serif" w:hAnsi="Times New Roman;sans-serif"/>
          <w:b w:val="false"/>
          <w:color w:val="000000"/>
          <w:sz w:val="20"/>
        </w:rPr>
        <w:t>March 31, 2025</w:t>
      </w:r>
      <w:r>
        <w:rPr>
          <w:rFonts w:ascii="Times New Roman;sans-serif" w:hAnsi="Times New Roman;sans-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 and Exhibits.</w:t>
      </w:r>
    </w:p>
    <w:tbl>
      <w:tblPr>
        <w:tblW w:w="683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69"/>
        <w:gridCol w:w="1469"/>
        <w:gridCol w:w="2087"/>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50508ex991earnings.htm">
              <w:r>
                <w:rPr>
                  <w:rStyle w:val="InternetLink"/>
                  <w:rFonts w:ascii="Times New Roman;sans-serif" w:hAnsi="Times New Roman;sans-serif"/>
                  <w:b w:val="false"/>
                  <w:color w:val="000080"/>
                  <w:sz w:val="20"/>
                  <w:u w:val="single"/>
                </w:rPr>
                <w:t xml:space="preserve">Press Release, dated </w:t>
              </w:r>
            </w:hyperlink>
            <w:hyperlink w:anchor="soun-20250508ex991earnings.htm">
              <w:r>
                <w:rPr>
                  <w:rStyle w:val="InternetLink"/>
                  <w:rFonts w:ascii="Times New Roman;sans-serif" w:hAnsi="Times New Roman;sans-serif"/>
                  <w:b w:val="false"/>
                  <w:color w:val="000080"/>
                  <w:sz w:val="20"/>
                  <w:u w:val="single"/>
                </w:rPr>
                <w:t>M</w:t>
              </w:r>
            </w:hyperlink>
            <w:hyperlink w:anchor="soun-20250508ex991earnings.htm">
              <w:r>
                <w:rPr>
                  <w:rStyle w:val="InternetLink"/>
                  <w:rFonts w:ascii="Times New Roman;sans-serif" w:hAnsi="Times New Roman;sans-serif"/>
                  <w:b w:val="false"/>
                  <w:color w:val="000080"/>
                  <w:sz w:val="20"/>
                  <w:u w:val="single"/>
                </w:rPr>
                <w:t>ay</w:t>
              </w:r>
            </w:hyperlink>
            <w:hyperlink w:anchor="soun-20250508ex991earnings.htm">
              <w:r>
                <w:rPr>
                  <w:rStyle w:val="InternetLink"/>
                  <w:rFonts w:ascii="Times New Roman;sans-serif" w:hAnsi="Times New Roman;sans-serif"/>
                  <w:b w:val="false"/>
                  <w:color w:val="000080"/>
                  <w:sz w:val="20"/>
                  <w:u w:val="single"/>
                </w:rPr>
                <w:t xml:space="preserve"> </w:t>
              </w:r>
            </w:hyperlink>
            <w:hyperlink w:anchor="soun-20250508ex991earnings.htm">
              <w:r>
                <w:rPr>
                  <w:rStyle w:val="InternetLink"/>
                  <w:rFonts w:ascii="Times New Roman;sans-serif" w:hAnsi="Times New Roman;sans-serif"/>
                  <w:b w:val="false"/>
                  <w:color w:val="000080"/>
                  <w:sz w:val="20"/>
                  <w:u w:val="single"/>
                </w:rPr>
                <w:t>8</w:t>
              </w:r>
            </w:hyperlink>
            <w:hyperlink w:anchor="soun-20250508ex991earnings.htm">
              <w:r>
                <w:rPr>
                  <w:rStyle w:val="InternetLink"/>
                  <w:rFonts w:ascii="Times New Roman;sans-serif" w:hAnsi="Times New Roman;sans-serif"/>
                  <w:b w:val="false"/>
                  <w:color w:val="000080"/>
                  <w:sz w:val="20"/>
                  <w:u w:val="single"/>
                </w:rPr>
                <w:t>, 2025</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50508ex992financia.htm">
              <w:r>
                <w:rPr>
                  <w:rStyle w:val="InternetLink"/>
                  <w:rFonts w:ascii="Times New Roman;sans-serif" w:hAnsi="Times New Roman;sans-serif"/>
                  <w:b w:val="false"/>
                  <w:color w:val="000080"/>
                  <w:sz w:val="20"/>
                  <w:u w:val="single"/>
                </w:rPr>
                <w:t xml:space="preserve">Financial statements for the </w:t>
              </w:r>
            </w:hyperlink>
            <w:hyperlink w:anchor="soun-20250508ex992financia.htm">
              <w:r>
                <w:rPr>
                  <w:rStyle w:val="InternetLink"/>
                  <w:rFonts w:ascii="Times New Roman;sans-serif" w:hAnsi="Times New Roman;sans-serif"/>
                  <w:b w:val="false"/>
                  <w:color w:val="000080"/>
                  <w:sz w:val="20"/>
                  <w:u w:val="single"/>
                </w:rPr>
                <w:t>period</w:t>
              </w:r>
            </w:hyperlink>
            <w:hyperlink w:anchor="soun-20250508ex992financia.htm">
              <w:r>
                <w:rPr>
                  <w:rStyle w:val="InternetLink"/>
                  <w:rFonts w:ascii="Times New Roman;sans-serif" w:hAnsi="Times New Roman;sans-serif"/>
                  <w:b w:val="false"/>
                  <w:color w:val="000080"/>
                  <w:sz w:val="20"/>
                  <w:u w:val="single"/>
                </w:rPr>
                <w:t xml:space="preserve"> ended </w:t>
              </w:r>
            </w:hyperlink>
            <w:hyperlink w:anchor="soun-20250508ex992financia.htm">
              <w:r>
                <w:rPr>
                  <w:rStyle w:val="InternetLink"/>
                  <w:rFonts w:ascii="Times New Roman;sans-serif" w:hAnsi="Times New Roman;sans-serif"/>
                  <w:b w:val="false"/>
                  <w:color w:val="000080"/>
                  <w:sz w:val="20"/>
                  <w:u w:val="single"/>
                </w:rPr>
                <w:t>March 31</w:t>
              </w:r>
            </w:hyperlink>
            <w:hyperlink w:anchor="soun-20250508ex992financia.htm">
              <w:r>
                <w:rPr>
                  <w:rStyle w:val="InternetLink"/>
                  <w:rFonts w:ascii="Times New Roman;sans-serif" w:hAnsi="Times New Roman;sans-serif"/>
                  <w:b w:val="false"/>
                  <w:color w:val="000080"/>
                  <w:sz w:val="20"/>
                  <w:u w:val="single"/>
                </w:rPr>
                <w:t>, 20</w:t>
              </w:r>
            </w:hyperlink>
            <w:hyperlink w:anchor="soun-20250508ex992financia.htm">
              <w:r>
                <w:rPr>
                  <w:rStyle w:val="InternetLink"/>
                  <w:rFonts w:ascii="Times New Roman;sans-serif" w:hAnsi="Times New Roman;sans-serif"/>
                  <w:b w:val="false"/>
                  <w:color w:val="000080"/>
                  <w:sz w:val="20"/>
                  <w:u w:val="single"/>
                </w:rPr>
                <w:t>25</w:t>
              </w:r>
            </w:hyperlink>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212529"/>
          <w:sz w:val="20"/>
        </w:rPr>
      </w:pPr>
      <w:r>
        <w:rPr>
          <w:rFonts w:ascii="Times New Roman;sans-serif" w:hAnsi="Times New Roman;sans-serif"/>
          <w:b/>
          <w:color w:val="212529"/>
          <w:sz w:val="20"/>
        </w:rPr>
        <w:t>SIGNATURE</w:t>
      </w:r>
    </w:p>
    <w:p>
      <w:pPr>
        <w:pStyle w:val="TextBody"/>
        <w:bidi w:val="0"/>
        <w:spacing w:lineRule="auto" w:line="288" w:before="200" w:after="283"/>
        <w:jc w:val="both"/>
        <w:rPr>
          <w:rFonts w:ascii="Times New Roman;sans-serif" w:hAnsi="Times New Roman;sans-serif"/>
          <w:b w:val="false"/>
          <w:color w:val="212529"/>
          <w:sz w:val="20"/>
        </w:rPr>
      </w:pPr>
      <w:r>
        <w:rPr>
          <w:rFonts w:ascii="Times New Roman;sans-serif" w:hAnsi="Times New Roman;sans-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075" w:type="dxa"/>
        <w:jc w:val="left"/>
        <w:tblInd w:w="0" w:type="dxa"/>
        <w:tblLayout w:type="fixed"/>
        <w:tblCellMar>
          <w:top w:w="28" w:type="dxa"/>
          <w:left w:w="28" w:type="dxa"/>
          <w:bottom w:w="28" w:type="dxa"/>
          <w:right w:w="28" w:type="dxa"/>
        </w:tblCellMar>
      </w:tblPr>
      <w:tblGrid>
        <w:gridCol w:w="580"/>
        <w:gridCol w:w="511"/>
        <w:gridCol w:w="513"/>
        <w:gridCol w:w="196"/>
        <w:gridCol w:w="196"/>
        <w:gridCol w:w="196"/>
        <w:gridCol w:w="271"/>
        <w:gridCol w:w="271"/>
        <w:gridCol w:w="271"/>
        <w:gridCol w:w="597"/>
        <w:gridCol w:w="597"/>
        <w:gridCol w:w="87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SoundHound AI,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Keyvan Mohajer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Keyvan Mohajer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SoundHound AI Reports Record First Quarter, Up 151% With $29.1 Million in Revenue</w:t>
      </w:r>
    </w:p>
    <w:p>
      <w:pPr>
        <w:pStyle w:val="TextBody"/>
        <w:bidi w:val="0"/>
        <w:spacing w:lineRule="auto" w:line="288" w:before="100" w:after="360"/>
        <w:jc w:val="both"/>
        <w:rPr>
          <w:rFonts w:ascii="Times New Roman;sans-serif" w:hAnsi="Times New Roman;sans-serif"/>
          <w:b w:val="false"/>
          <w:i/>
          <w:color w:val="000000"/>
          <w:sz w:val="24"/>
        </w:rPr>
      </w:pPr>
      <w:r>
        <w:rPr>
          <w:rFonts w:ascii="Times New Roman;sans-serif" w:hAnsi="Times New Roman;sans-serif"/>
          <w:b w:val="false"/>
          <w:i/>
          <w:color w:val="000000"/>
          <w:sz w:val="24"/>
        </w:rPr>
        <w:t>The company ended the quarter with a strong cash position of $246 million and no debt</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SANTA CLARA, Calif.--</w:t>
      </w:r>
      <w:r>
        <w:rPr>
          <w:rFonts w:ascii="Times New Roman;sans-serif" w:hAnsi="Times New Roman;sans-serif"/>
          <w:b w:val="false"/>
          <w:color w:val="444444"/>
          <w:sz w:val="24"/>
          <w:shd w:fill="FEFEFE" w:val="clear"/>
        </w:rPr>
        <w:t>(</w:t>
      </w:r>
      <w:r>
        <w:rPr>
          <w:rFonts w:ascii="Times New Roman;sans-serif" w:hAnsi="Times New Roman;sans-serif"/>
          <w:b w:val="false"/>
          <w:color w:val="000000"/>
          <w:sz w:val="24"/>
          <w:u w:val="single"/>
          <w:shd w:fill="FFFFFF" w:val="clear"/>
        </w:rPr>
        <w:t>BUSINESS WIRE</w:t>
      </w:r>
      <w:r>
        <w:rPr>
          <w:rFonts w:ascii="Times New Roman;sans-serif" w:hAnsi="Times New Roman;sans-serif"/>
          <w:b w:val="false"/>
          <w:color w:val="444444"/>
          <w:sz w:val="24"/>
          <w:shd w:fill="FEFEFE" w:val="clear"/>
        </w:rPr>
        <w:t>)</w:t>
      </w:r>
      <w:r>
        <w:rPr>
          <w:rFonts w:ascii="Times New Roman;sans-serif" w:hAnsi="Times New Roman;sans-serif"/>
          <w:b w:val="false"/>
          <w:color w:val="000000"/>
          <w:sz w:val="24"/>
          <w:shd w:fill="FEFEFE" w:val="clear"/>
        </w:rPr>
        <w:t xml:space="preserve">--SoundHound AI, Inc. (Nasdaq: SOUN), a global leader in voice artificial intelligence, today reported its financial results for the </w:t>
      </w:r>
      <w:r>
        <w:rPr>
          <w:rFonts w:ascii="Times New Roman;sans-serif" w:hAnsi="Times New Roman;sans-serif"/>
          <w:b w:val="false"/>
          <w:color w:val="000000"/>
          <w:sz w:val="24"/>
        </w:rPr>
        <w:t>first</w:t>
      </w:r>
      <w:r>
        <w:rPr>
          <w:color w:val="000000"/>
          <w:shd w:fill="FEFEFE" w:val="clear"/>
        </w:rPr>
        <w:t xml:space="preserve"> </w:t>
      </w:r>
      <w:r>
        <w:rPr>
          <w:rFonts w:ascii="Times New Roman;sans-serif" w:hAnsi="Times New Roman;sans-serif"/>
          <w:b w:val="false"/>
          <w:color w:val="000000"/>
          <w:sz w:val="24"/>
          <w:shd w:fill="FEFEFE" w:val="clear"/>
        </w:rPr>
        <w:t xml:space="preserve">quarter 2025. </w:t>
      </w:r>
    </w:p>
    <w:p>
      <w:pPr>
        <w:pStyle w:val="TextBody"/>
        <w:bidi w:val="0"/>
        <w:spacing w:lineRule="auto" w:line="276" w:before="0" w:after="360"/>
        <w:jc w:val="both"/>
        <w:rPr/>
      </w:pPr>
      <w:r>
        <w:rPr>
          <w:color w:val="000000"/>
        </w:rPr>
        <w:t>“</w:t>
      </w:r>
      <w:r>
        <w:rPr>
          <w:rFonts w:ascii="Times New Roman;sans-serif" w:hAnsi="Times New Roman;sans-serif"/>
          <w:b w:val="false"/>
          <w:i/>
          <w:color w:val="000000"/>
          <w:sz w:val="24"/>
        </w:rPr>
        <w:t xml:space="preserve">SoundHound continues to extend its reach and create new possibilities for real world AI applications. The release of our complete AI agent platform delivers full, voice-enabled Agentic AI for customers across all industries,” </w:t>
      </w:r>
      <w:r>
        <w:rPr>
          <w:rFonts w:ascii="Times New Roman;sans-serif" w:hAnsi="Times New Roman;sans-serif"/>
          <w:b w:val="false"/>
          <w:color w:val="000000"/>
          <w:sz w:val="24"/>
        </w:rPr>
        <w:t>said Keyvan Mohajer, CEO and Co-Founder of SoundHound AI.</w:t>
      </w:r>
      <w:r>
        <w:rPr>
          <w:color w:val="000000"/>
        </w:rPr>
        <w:t xml:space="preserve"> “</w:t>
      </w:r>
      <w:r>
        <w:rPr>
          <w:rFonts w:ascii="Times New Roman;sans-serif" w:hAnsi="Times New Roman;sans-serif"/>
          <w:b w:val="false"/>
          <w:i/>
          <w:color w:val="000000"/>
          <w:sz w:val="24"/>
        </w:rPr>
        <w:t xml:space="preserve">At the same time, our bold growth initiatives are paying dividends, and we’re realizing significant cross-sell and upsell opportunities following our acquisitions.” </w:t>
      </w:r>
    </w:p>
    <w:p>
      <w:pPr>
        <w:pStyle w:val="TextBody"/>
        <w:bidi w:val="0"/>
        <w:spacing w:lineRule="auto" w:line="288" w:before="100" w:after="160"/>
        <w:jc w:val="both"/>
        <w:rPr>
          <w:rFonts w:ascii="Times New Roman;sans-serif" w:hAnsi="Times New Roman;sans-serif"/>
          <w:b/>
          <w:color w:val="1D2228"/>
          <w:sz w:val="24"/>
          <w:shd w:fill="FEFEFE" w:val="clear"/>
        </w:rPr>
      </w:pPr>
      <w:r>
        <w:rPr>
          <w:rFonts w:ascii="Times New Roman;sans-serif" w:hAnsi="Times New Roman;sans-serif"/>
          <w:b/>
          <w:color w:val="1D2228"/>
          <w:sz w:val="24"/>
          <w:shd w:fill="FEFEFE" w:val="clear"/>
        </w:rPr>
        <w:t>First Quarter Financial Highlights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1D2228"/>
          <w:sz w:val="24"/>
          <w:shd w:fill="FEFEFE" w:val="clear"/>
        </w:rPr>
        <w:t>Reported</w:t>
      </w:r>
      <w:r>
        <w:rPr>
          <w:color w:val="000000"/>
        </w:rPr>
        <w:t xml:space="preserve"> </w:t>
      </w:r>
      <w:r>
        <w:rPr>
          <w:rFonts w:ascii="Times New Roman;sans-serif" w:hAnsi="Times New Roman;sans-serif"/>
          <w:b w:val="false"/>
          <w:color w:val="000000"/>
          <w:sz w:val="24"/>
        </w:rPr>
        <w:t>revenue was $29.1 million, an increase of 151% year-over-year; no customer accounted for more than 10% of our revenue in the quarter, showing continued diversification of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gross margin was 36.5%; non-GAAP gross margin was 50.8%</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diluted earnings per share was $0.31; non-GAAP diluted earnings per share was a loss of $(0.06)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net income was $129.9 million; non-GAAP net loss was $(22.3)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Adjusted EBITDA was $(22.2)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GAAP results include a gain from the calculated fair value of contingent acquisition liabilities where future earnout shares are marked-to-market on a quarterly basis based on the company’s stock price. Non-GAAP measures exclude this non-operating/non-cash impact.</w:t>
      </w:r>
    </w:p>
    <w:p>
      <w:pPr>
        <w:pStyle w:val="TextBody"/>
        <w:bidi w:val="0"/>
        <w:spacing w:lineRule="auto" w:line="288" w:before="0" w:after="0"/>
        <w:jc w:val="both"/>
        <w:rPr/>
      </w:pPr>
      <w:r>
        <w:rPr>
          <w:rFonts w:ascii="Times New Roman;sans-serif" w:hAnsi="Times New Roman;sans-serif"/>
          <w:b w:val="false"/>
          <w:i/>
          <w:color w:val="000000"/>
          <w:sz w:val="24"/>
        </w:rPr>
        <w:br/>
        <w:t xml:space="preserve">“Our distinctive value proposition in conversational voice AI across an increasingly diverse industry base is manifesting real returns and outcome-based results for our end customers ," </w:t>
      </w:r>
      <w:r>
        <w:rPr>
          <w:rFonts w:ascii="Times New Roman;sans-serif" w:hAnsi="Times New Roman;sans-serif"/>
          <w:b w:val="false"/>
          <w:color w:val="000000"/>
          <w:sz w:val="24"/>
        </w:rPr>
        <w:t>said Nitesh Sharan, CFO of SoundHound AI.</w:t>
      </w:r>
      <w:r>
        <w:rPr>
          <w:color w:val="000000"/>
        </w:rPr>
        <w:t xml:space="preserve"> </w:t>
      </w:r>
      <w:r>
        <w:rPr>
          <w:rFonts w:ascii="Times New Roman;sans-serif" w:hAnsi="Times New Roman;sans-serif"/>
          <w:b w:val="false"/>
          <w:i/>
          <w:color w:val="000000"/>
          <w:sz w:val="24"/>
        </w:rPr>
        <w:t>"Our addressable and serviceable market continues to expand meaningfully, and we are capturing more of it with accelerating momentum.”</w:t>
      </w:r>
    </w:p>
    <w:p>
      <w:pPr>
        <w:pStyle w:val="TextBody"/>
        <w:bidi w:val="0"/>
        <w:spacing w:before="0" w:after="0"/>
        <w:jc w:val="both"/>
        <w:rPr/>
      </w:pPr>
      <w:r>
        <w:rPr/>
      </w:r>
    </w:p>
    <w:p>
      <w:pPr>
        <w:pStyle w:val="TextBody"/>
        <w:bidi w:val="0"/>
        <w:spacing w:lineRule="auto" w:line="288" w:before="100" w:after="160"/>
        <w:jc w:val="both"/>
        <w:rPr>
          <w:rFonts w:ascii="Times New Roman;sans-serif" w:hAnsi="Times New Roman;sans-serif"/>
          <w:b/>
          <w:color w:val="000000"/>
          <w:sz w:val="24"/>
        </w:rPr>
      </w:pPr>
      <w:r>
        <w:rPr>
          <w:rFonts w:ascii="Times New Roman;sans-serif" w:hAnsi="Times New Roman;sans-serif"/>
          <w:b/>
          <w:color w:val="000000"/>
          <w:sz w:val="24"/>
        </w:rPr>
        <w:t>Business Highlights</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 xml:space="preserve">Agentic AI: </w:t>
      </w:r>
      <w:r>
        <w:rPr>
          <w:rFonts w:ascii="Times New Roman;sans-serif" w:hAnsi="Times New Roman;sans-serif"/>
          <w:b w:val="false"/>
          <w:color w:val="000000"/>
          <w:sz w:val="24"/>
        </w:rPr>
        <w:t>Unveiled Amelia 7.0, allowing businesses to harness the power of full Agentic AI with category-leading voice technology. The platform marks a leap forward, with smart AI agents that reason and perform complex tasks with humanlike interactions.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 xml:space="preserve">Voice Commerce: </w:t>
      </w:r>
      <w:r>
        <w:rPr>
          <w:rFonts w:ascii="Times New Roman;sans-serif" w:hAnsi="Times New Roman;sans-serif"/>
          <w:b w:val="false"/>
          <w:color w:val="000000"/>
          <w:sz w:val="24"/>
        </w:rPr>
        <w:t xml:space="preserve">Voice commerce solution has now integrated dozens of restaurant brands and is running pilots and POCs with multiple automakers, including the innovation team at one of the world’s largest automotive brands. </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Restaurants:</w:t>
      </w:r>
      <w:r>
        <w:rPr>
          <w:color w:val="000000"/>
        </w:rPr>
        <w:t xml:space="preserve"> </w:t>
      </w:r>
      <w:r>
        <w:rPr>
          <w:rFonts w:ascii="Times New Roman;sans-serif" w:hAnsi="Times New Roman;sans-serif"/>
          <w:b w:val="false"/>
          <w:color w:val="000000"/>
          <w:sz w:val="24"/>
        </w:rPr>
        <w:t xml:space="preserve">Expanded partnership with one of the largest pizza chains in the US, providing our phone answering and AI solutions to thousands of locations.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 xml:space="preserve">Added locations with existing brands, such as Habit Burger, Casey’s, Firehouse Subs, Five Guys, White Castle and McAlister’s, among others. Continued expansion across Burger King UK locations together with strategic partner, Acrelec. </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Automotive:</w:t>
      </w:r>
      <w:r>
        <w:rPr>
          <w:color w:val="000000"/>
        </w:rPr>
        <w:t xml:space="preserve"> </w:t>
      </w:r>
      <w:r>
        <w:rPr>
          <w:rFonts w:ascii="Times New Roman;sans-serif" w:hAnsi="Times New Roman;sans-serif"/>
          <w:b w:val="false"/>
          <w:color w:val="000000"/>
          <w:sz w:val="24"/>
        </w:rPr>
        <w:t>Joined forces with Tencent Intelligent Mobility to bring world class conversational AI to the Intelligent Cockpits of global auto brands. Participated in NVIDIA GTC 2025, expanding its joint offering of SoundHound’s voice assistant leveraging generative AI on the edge running on NVIDIA Drive AGX™.</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Healthcare:</w:t>
      </w:r>
      <w:r>
        <w:rPr>
          <w:color w:val="000000"/>
        </w:rPr>
        <w:t xml:space="preserve"> </w:t>
      </w:r>
      <w:r>
        <w:rPr>
          <w:rFonts w:ascii="Times New Roman;sans-serif" w:hAnsi="Times New Roman;sans-serif"/>
          <w:b w:val="false"/>
          <w:color w:val="000000"/>
          <w:sz w:val="24"/>
        </w:rPr>
        <w:t xml:space="preserve">Renewed or expanded with three customers this quarter, including a prominent medical billing company, a healthcare provider that brings test results to the patient at home, and a healthcare provider in the midwest that owns and operates a dozen hospitals. Three of the new healthcare deals won in Q4 2024 are now live. </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Retail:</w:t>
      </w:r>
      <w:r>
        <w:rPr>
          <w:color w:val="000000"/>
        </w:rPr>
        <w:t xml:space="preserve"> </w:t>
      </w:r>
      <w:r>
        <w:rPr>
          <w:rFonts w:ascii="Times New Roman;sans-serif" w:hAnsi="Times New Roman;sans-serif"/>
          <w:b w:val="false"/>
          <w:color w:val="000000"/>
          <w:sz w:val="24"/>
        </w:rPr>
        <w:t xml:space="preserve">Signed strategic pilots with multiple top U.S. fitness chains and leading home services franchises, unlocking potential for thousands of locations and positioning Soundhound Smart Answering as a leading solution for multi-unit operations. </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 xml:space="preserve">Energy: </w:t>
      </w:r>
      <w:r>
        <w:rPr>
          <w:rFonts w:ascii="Times New Roman;sans-serif" w:hAnsi="Times New Roman;sans-serif"/>
          <w:b w:val="false"/>
          <w:color w:val="000000"/>
          <w:sz w:val="24"/>
        </w:rPr>
        <w:t>Launched a new AI Agent to transform the customer experience of a large utilities company we signed in Q4 2024. Joined forces with PowerConnect.AI to bring voice AI agents to the more utilities businesses.</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Information Technology:</w:t>
      </w:r>
      <w:r>
        <w:rPr>
          <w:color w:val="000000"/>
        </w:rPr>
        <w:t xml:space="preserve"> </w:t>
      </w:r>
      <w:r>
        <w:rPr>
          <w:rFonts w:ascii="Times New Roman;sans-serif" w:hAnsi="Times New Roman;sans-serif"/>
          <w:b w:val="false"/>
          <w:color w:val="000000"/>
          <w:sz w:val="24"/>
        </w:rPr>
        <w:t>Renewed contracts with a Tokyo-based multinational company that offers services across various industries, and another large Tokyo-based company that delivers IT services, system integration, cloud computing, and information security.</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Telecom:</w:t>
      </w:r>
      <w:r>
        <w:rPr>
          <w:color w:val="000000"/>
        </w:rPr>
        <w:t xml:space="preserve"> </w:t>
      </w:r>
      <w:r>
        <w:rPr>
          <w:rFonts w:ascii="Times New Roman;sans-serif" w:hAnsi="Times New Roman;sans-serif"/>
          <w:b w:val="false"/>
          <w:color w:val="000000"/>
          <w:sz w:val="24"/>
        </w:rPr>
        <w:t>Renewed contracts with a large British multinational telecommunications company, helping to power its employee IT support desk with our best-in-class AI agents.</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Travel and Hospitality:</w:t>
      </w:r>
      <w:r>
        <w:rPr>
          <w:color w:val="000000"/>
        </w:rPr>
        <w:t xml:space="preserve"> </w:t>
      </w:r>
      <w:r>
        <w:rPr>
          <w:rFonts w:ascii="Times New Roman;sans-serif" w:hAnsi="Times New Roman;sans-serif"/>
          <w:b w:val="false"/>
          <w:color w:val="000000"/>
          <w:sz w:val="24"/>
        </w:rPr>
        <w:t>Signed a deal with the leading luxury resort developer in Latin America, offering an AI agent concierge for inbound and outreach services. The company also expanded with one the largest hotel chains in the world offering full-service hotels and resorts.</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Financial Services:</w:t>
      </w:r>
      <w:r>
        <w:rPr>
          <w:color w:val="000000"/>
        </w:rPr>
        <w:t xml:space="preserve"> </w:t>
      </w:r>
      <w:r>
        <w:rPr>
          <w:rFonts w:ascii="Times New Roman;sans-serif" w:hAnsi="Times New Roman;sans-serif"/>
          <w:b w:val="false"/>
          <w:color w:val="000000"/>
          <w:sz w:val="24"/>
        </w:rPr>
        <w:t>Continued traction with some of the largest financial institutions in the world, including significant renewals across four financial institutions. Also signed one of the one of world's largest insurance companies in Europe.</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4"/>
        </w:rPr>
        <w:t>Channel Partners:</w:t>
      </w:r>
      <w:r>
        <w:rPr>
          <w:color w:val="000000"/>
        </w:rPr>
        <w:t xml:space="preserve"> </w:t>
      </w:r>
      <w:r>
        <w:rPr>
          <w:rFonts w:ascii="Times New Roman;sans-serif" w:hAnsi="Times New Roman;sans-serif"/>
          <w:b w:val="false"/>
          <w:color w:val="000000"/>
          <w:sz w:val="24"/>
        </w:rPr>
        <w:t>Worked together with channel partners, winning a large global agriculture OEM, a global tax preparation company, and a North American travel and hospitality company. Additionally, the company expanded with a large systems integrator and renewed with a large Japan-based multinational IT and services corporation with reseller agreements.</w:t>
      </w:r>
    </w:p>
    <w:p>
      <w:pPr>
        <w:pStyle w:val="TextBody"/>
        <w:bidi w:val="0"/>
        <w:spacing w:before="0" w:after="0"/>
        <w:jc w:val="both"/>
        <w:rPr/>
      </w:pPr>
      <w:r>
        <w:rPr/>
      </w:r>
    </w:p>
    <w:p>
      <w:pPr>
        <w:pStyle w:val="TextBody"/>
        <w:bidi w:val="0"/>
        <w:spacing w:lineRule="auto" w:line="288" w:before="100" w:after="160"/>
        <w:jc w:val="left"/>
        <w:rPr>
          <w:rFonts w:ascii="Times New Roman;sans-serif" w:hAnsi="Times New Roman;sans-serif"/>
          <w:b/>
          <w:color w:val="000000"/>
          <w:sz w:val="24"/>
        </w:rPr>
      </w:pPr>
      <w:r>
        <w:rPr>
          <w:rFonts w:ascii="Times New Roman;sans-serif" w:hAnsi="Times New Roman;sans-serif"/>
          <w:b/>
          <w:color w:val="000000"/>
          <w:sz w:val="24"/>
        </w:rPr>
        <w:t>Other Notable Highlights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Partnered with Pindrop to bring powerful security and authentication tools to voice-powered AI agents.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SoundHound AI was named an “exemplary” market leader for AIOps by ISG Research, outperforming industry leaders in overall performance.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 xml:space="preserve">Participated in NVIDIA GTC 2025, featuring demos that spotlight voice innovation, including SoundHound’s new voice commerce technology.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Unveiled its next-generation AI platform for restaurants, enhancing Dynamic Drive-Thru with omnichannel ordering</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SoundHound Chat AI Automotive introduced a new Brand Personalities feature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4"/>
        </w:rPr>
        <w:t xml:space="preserve">Unveiled the first ever in-vehicle voice commerce platform that enables seamless voice-controlled food ordering on the go at CES 2025. </w:t>
      </w:r>
    </w:p>
    <w:p>
      <w:pPr>
        <w:pStyle w:val="TextBody"/>
        <w:bidi w:val="0"/>
        <w:spacing w:lineRule="auto" w:line="288" w:before="100" w:after="160"/>
        <w:jc w:val="both"/>
        <w:rPr/>
      </w:pPr>
      <w:r>
        <w:rPr>
          <w:rFonts w:ascii="Times New Roman;sans-serif" w:hAnsi="Times New Roman;sans-serif"/>
          <w:b/>
          <w:color w:val="000000"/>
          <w:sz w:val="24"/>
          <w:shd w:fill="FEFEFE" w:val="clear"/>
        </w:rPr>
        <w:br/>
        <w:t>First Quarter 2025 Financial Measures</w:t>
      </w:r>
      <w:r>
        <w:rPr>
          <w:rFonts w:ascii="Times New Roman;sans-serif" w:hAnsi="Times New Roman;sans-serif"/>
          <w:b w:val="false"/>
          <w:color w:val="000000"/>
          <w:sz w:val="16"/>
        </w:rPr>
        <w:t>1</w:t>
      </w:r>
    </w:p>
    <w:tbl>
      <w:tblPr>
        <w:tblW w:w="9758" w:type="dxa"/>
        <w:jc w:val="left"/>
        <w:tblInd w:w="0" w:type="dxa"/>
        <w:tblLayout w:type="fixed"/>
        <w:tblCellMar>
          <w:top w:w="28" w:type="dxa"/>
          <w:left w:w="28" w:type="dxa"/>
          <w:bottom w:w="28" w:type="dxa"/>
          <w:right w:w="28" w:type="dxa"/>
        </w:tblCellMar>
      </w:tblPr>
      <w:tblGrid>
        <w:gridCol w:w="1320"/>
        <w:gridCol w:w="1160"/>
        <w:gridCol w:w="1165"/>
        <w:gridCol w:w="109"/>
        <w:gridCol w:w="109"/>
        <w:gridCol w:w="109"/>
        <w:gridCol w:w="496"/>
        <w:gridCol w:w="238"/>
        <w:gridCol w:w="238"/>
        <w:gridCol w:w="238"/>
        <w:gridCol w:w="238"/>
        <w:gridCol w:w="245"/>
        <w:gridCol w:w="109"/>
        <w:gridCol w:w="109"/>
        <w:gridCol w:w="109"/>
        <w:gridCol w:w="496"/>
        <w:gridCol w:w="238"/>
        <w:gridCol w:w="238"/>
        <w:gridCol w:w="238"/>
        <w:gridCol w:w="238"/>
        <w:gridCol w:w="245"/>
        <w:gridCol w:w="109"/>
        <w:gridCol w:w="109"/>
        <w:gridCol w:w="109"/>
        <w:gridCol w:w="270"/>
        <w:gridCol w:w="130"/>
        <w:gridCol w:w="130"/>
        <w:gridCol w:w="337"/>
        <w:gridCol w:w="338"/>
        <w:gridCol w:w="541"/>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p>
          <w:p>
            <w:pPr>
              <w:pStyle w:val="TableContents"/>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Change</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9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9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53 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(23.2)</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4"/>
              </w:rPr>
              <w:t>pp</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9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95 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(14.7)</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pp</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GAAP operating income (loss)</w:t>
            </w: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128,097 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(28,529)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549 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(22,172)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(15,404)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GAAP net income (loss)</w:t>
            </w: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129,932 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(33,009)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494 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(22,331)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(20,227)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 net income (loss) per share ²·³</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0.31 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3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0.43 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Non-GAAP net loss per share ³</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5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35"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1)Please see tables below for a reconciliation from GAAP to non-GAAP. </w:t>
      </w:r>
    </w:p>
    <w:p>
      <w:pPr>
        <w:pStyle w:val="TextBody"/>
        <w:bidi w:val="0"/>
        <w:spacing w:lineRule="auto" w:line="276"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2)GAAP-only operating income includes a significant impact from the calculated fair value of contingent acquisition liabilities where future earn-out shares are marked-to-market on a quarterly basis, and with the decrease in stock price at quarter-end the gain associated with this item was $176 million in the first quarter. Non-GAAP measures exclude this non-operating/non-cash impact.</w:t>
      </w:r>
    </w:p>
    <w:p>
      <w:pPr>
        <w:pStyle w:val="TextBody"/>
        <w:bidi w:val="0"/>
        <w:spacing w:lineRule="auto" w:line="276"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3)GAAP EPS above is reported on a diluted basis (Basic GAAP EPS is $0.33). Non-GAAP EPS above is reported on both a basic and diluted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Liquidity and Cash Flows</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 xml:space="preserve">The company’s total cash and cash equivalents was </w:t>
      </w:r>
      <w:r>
        <w:rPr>
          <w:rFonts w:ascii="Times New Roman;sans-serif" w:hAnsi="Times New Roman;sans-serif"/>
          <w:b w:val="false"/>
          <w:color w:val="000000"/>
          <w:sz w:val="24"/>
        </w:rPr>
        <w:t>$246 million</w:t>
      </w:r>
      <w:r>
        <w:rPr>
          <w:color w:val="000000"/>
          <w:shd w:fill="FEFEFE" w:val="clear"/>
        </w:rPr>
        <w:t xml:space="preserve"> </w:t>
      </w:r>
      <w:r>
        <w:rPr>
          <w:rFonts w:ascii="Times New Roman;sans-serif" w:hAnsi="Times New Roman;sans-serif"/>
          <w:b w:val="false"/>
          <w:color w:val="000000"/>
          <w:sz w:val="24"/>
          <w:shd w:fill="FEFEFE" w:val="clear"/>
        </w:rPr>
        <w:t xml:space="preserve">at </w:t>
      </w:r>
      <w:r>
        <w:rPr>
          <w:rFonts w:ascii="Times New Roman;sans-serif" w:hAnsi="Times New Roman;sans-serif"/>
          <w:b w:val="false"/>
          <w:color w:val="000000"/>
          <w:sz w:val="24"/>
        </w:rPr>
        <w:t>March 31, 2025, with no debt</w:t>
      </w:r>
      <w:r>
        <w:rPr>
          <w:rFonts w:ascii="Times New Roman;sans-serif" w:hAnsi="Times New Roman;sans-serif"/>
          <w:b w:val="false"/>
          <w:color w:val="000000"/>
          <w:sz w:val="24"/>
          <w:shd w:fill="FEFEFE" w:val="clear"/>
        </w:rPr>
        <w:t>.</w:t>
      </w:r>
    </w:p>
    <w:p>
      <w:pPr>
        <w:pStyle w:val="TextBody"/>
        <w:bidi w:val="0"/>
        <w:spacing w:lineRule="auto" w:line="288" w:before="100" w:after="160"/>
        <w:jc w:val="both"/>
        <w:rPr>
          <w:rFonts w:ascii="Times New Roman;sans-serif" w:hAnsi="Times New Roman;sans-serif"/>
          <w:b/>
          <w:color w:val="1D2228"/>
          <w:sz w:val="24"/>
          <w:shd w:fill="FEFEFE" w:val="clear"/>
        </w:rPr>
      </w:pPr>
      <w:r>
        <w:rPr>
          <w:rFonts w:ascii="Times New Roman;sans-serif" w:hAnsi="Times New Roman;sans-serif"/>
          <w:b/>
          <w:color w:val="1D2228"/>
          <w:sz w:val="24"/>
          <w:shd w:fill="FEFEFE" w:val="clear"/>
        </w:rPr>
        <w:t>Condensed Cash Flow Statement</w:t>
      </w:r>
    </w:p>
    <w:tbl>
      <w:tblPr>
        <w:tblW w:w="9042" w:type="dxa"/>
        <w:jc w:val="left"/>
        <w:tblInd w:w="0" w:type="dxa"/>
        <w:tblLayout w:type="fixed"/>
        <w:tblCellMar>
          <w:top w:w="28" w:type="dxa"/>
          <w:left w:w="28" w:type="dxa"/>
          <w:bottom w:w="28" w:type="dxa"/>
          <w:right w:w="28" w:type="dxa"/>
        </w:tblCellMar>
      </w:tblPr>
      <w:tblGrid>
        <w:gridCol w:w="1493"/>
        <w:gridCol w:w="1312"/>
        <w:gridCol w:w="1319"/>
        <w:gridCol w:w="109"/>
        <w:gridCol w:w="109"/>
        <w:gridCol w:w="109"/>
        <w:gridCol w:w="496"/>
        <w:gridCol w:w="238"/>
        <w:gridCol w:w="238"/>
        <w:gridCol w:w="537"/>
        <w:gridCol w:w="289"/>
        <w:gridCol w:w="245"/>
        <w:gridCol w:w="109"/>
        <w:gridCol w:w="109"/>
        <w:gridCol w:w="109"/>
        <w:gridCol w:w="480"/>
        <w:gridCol w:w="231"/>
        <w:gridCol w:w="231"/>
        <w:gridCol w:w="575"/>
        <w:gridCol w:w="371"/>
        <w:gridCol w:w="333"/>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2024</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30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(19,185)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408"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(21,948)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(3,788)</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67,010 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142,698 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w:t>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103 </w:t>
            </w:r>
          </w:p>
        </w:tc>
        <w:tc>
          <w:tcPr>
            <w:tcW w:w="33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302"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47,569</w:t>
            </w:r>
            <w:r>
              <w:rPr>
                <w:color w:val="000000"/>
              </w:rPr>
              <w:t>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08"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117,065</w:t>
            </w:r>
            <w:r>
              <w:rPr>
                <w:color w:val="000000"/>
              </w:rPr>
              <w:t>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Business Outlook</w:t>
      </w:r>
    </w:p>
    <w:p>
      <w:pPr>
        <w:pStyle w:val="TextBody"/>
        <w:bidi w:val="0"/>
        <w:spacing w:lineRule="auto" w:line="288" w:before="100" w:after="360"/>
        <w:jc w:val="both"/>
        <w:rPr>
          <w:rFonts w:ascii="Times New Roman;sans-serif" w:hAnsi="Times New Roman;sans-serif"/>
          <w:b w:val="false"/>
          <w:color w:val="000000"/>
          <w:sz w:val="24"/>
        </w:rPr>
      </w:pPr>
      <w:r>
        <w:rPr>
          <w:rFonts w:ascii="Times New Roman;sans-serif" w:hAnsi="Times New Roman;sans-serif"/>
          <w:b w:val="false"/>
          <w:color w:val="000000"/>
          <w:sz w:val="24"/>
        </w:rPr>
        <w:t>SoundHound reaffirms its full year 2025 revenue outlook to be in a range of $157 - $177 million.</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Additional Information</w:t>
      </w:r>
    </w:p>
    <w:p>
      <w:pPr>
        <w:pStyle w:val="TextBody"/>
        <w:bidi w:val="0"/>
        <w:spacing w:lineRule="auto" w:line="288" w:before="100" w:after="360"/>
        <w:jc w:val="both"/>
        <w:rPr/>
      </w:pPr>
      <w:r>
        <w:rPr>
          <w:rFonts w:ascii="Times New Roman;sans-serif" w:hAnsi="Times New Roman;sans-serif"/>
          <w:b w:val="false"/>
          <w:color w:val="000000"/>
          <w:sz w:val="24"/>
          <w:shd w:fill="FEFEFE" w:val="clear"/>
        </w:rPr>
        <w:t xml:space="preserve">For more information please see the company’s SEC filings which can be obtained on the company’s website at </w:t>
      </w:r>
      <w:r>
        <w:rPr>
          <w:rFonts w:ascii="Times New Roman;sans-serif" w:hAnsi="Times New Roman;sans-serif"/>
          <w:b w:val="false"/>
          <w:color w:val="000000"/>
          <w:sz w:val="24"/>
          <w:u w:val="single"/>
          <w:shd w:fill="FFFFFF" w:val="clear"/>
        </w:rPr>
        <w:t>investors.soundhound.com</w:t>
      </w:r>
      <w:r>
        <w:rPr>
          <w:rFonts w:ascii="Times New Roman;sans-serif" w:hAnsi="Times New Roman;sans-serif"/>
          <w:b w:val="false"/>
          <w:color w:val="000000"/>
          <w:sz w:val="24"/>
          <w:shd w:fill="FEFEFE" w:val="clear"/>
        </w:rPr>
        <w:t>. The financial statements will be posted on the website, and will be included when the company files its 8-K. The financial data presented in this press release should be considered preliminary until the company files its 10-Q.</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Conference Call and Webcast</w:t>
      </w:r>
    </w:p>
    <w:p>
      <w:pPr>
        <w:pStyle w:val="TextBody"/>
        <w:bidi w:val="0"/>
        <w:spacing w:lineRule="auto" w:line="288" w:before="100" w:after="360"/>
        <w:jc w:val="both"/>
        <w:rPr/>
      </w:pPr>
      <w:r>
        <w:rPr>
          <w:rFonts w:ascii="Times New Roman;sans-serif" w:hAnsi="Times New Roman;sans-serif"/>
          <w:b w:val="false"/>
          <w:color w:val="000000"/>
          <w:sz w:val="24"/>
        </w:rPr>
        <w:t xml:space="preserve">Keyvan Mohajer, Co-Founder and CEO, and Nitesh Sharan, CFO will host a live audio conference call and webcast today at 2:00 p.m. Pacific Time/5:00 p.m. Eastern Time. A live webcast and replay will be accessible </w:t>
      </w:r>
      <w:r>
        <w:rPr>
          <w:rFonts w:ascii="Times New Roman;sans-serif" w:hAnsi="Times New Roman;sans-serif"/>
          <w:b w:val="false"/>
          <w:color w:val="000000"/>
          <w:sz w:val="24"/>
          <w:shd w:fill="FFFFFF" w:val="clear"/>
        </w:rPr>
        <w:t xml:space="preserve">at </w:t>
      </w:r>
      <w:r>
        <w:rPr>
          <w:rFonts w:ascii="Times New Roman;sans-serif" w:hAnsi="Times New Roman;sans-serif"/>
          <w:b w:val="false"/>
          <w:color w:val="000000"/>
          <w:sz w:val="24"/>
          <w:u w:val="single"/>
          <w:shd w:fill="FFFFFF" w:val="clear"/>
        </w:rPr>
        <w:t>investors.soundhound.com</w:t>
      </w:r>
      <w:r>
        <w:rPr>
          <w:rFonts w:ascii="Times New Roman;sans-serif" w:hAnsi="Times New Roman;sans-serif"/>
          <w:b w:val="false"/>
          <w:color w:val="000000"/>
          <w:sz w:val="24"/>
          <w:shd w:fill="FFFFFF" w:val="clear"/>
        </w:rPr>
        <w:t>.</w:t>
      </w:r>
      <w:r>
        <w:rPr>
          <w:color w:val="000000"/>
        </w:rPr>
        <w:t xml:space="preserve"> </w:t>
      </w:r>
    </w:p>
    <w:p>
      <w:pPr>
        <w:pStyle w:val="TextBody"/>
        <w:bidi w:val="0"/>
        <w:spacing w:lineRule="auto" w:line="288" w:before="100" w:after="160"/>
        <w:jc w:val="both"/>
        <w:rPr>
          <w:rFonts w:ascii="Times New Roman;sans-serif" w:hAnsi="Times New Roman;sans-serif"/>
          <w:b/>
          <w:color w:val="000000"/>
          <w:sz w:val="24"/>
        </w:rPr>
      </w:pPr>
      <w:r>
        <w:rPr>
          <w:rFonts w:ascii="Times New Roman;sans-serif" w:hAnsi="Times New Roman;sans-serif"/>
          <w:b/>
          <w:color w:val="000000"/>
          <w:sz w:val="24"/>
        </w:rPr>
        <w:t xml:space="preserve">About SoundHound AI </w:t>
      </w:r>
    </w:p>
    <w:p>
      <w:pPr>
        <w:pStyle w:val="TextBody"/>
        <w:bidi w:val="0"/>
        <w:spacing w:lineRule="auto" w:line="288" w:before="100" w:after="360"/>
        <w:jc w:val="both"/>
        <w:rPr/>
      </w:pPr>
      <w:r>
        <w:rPr>
          <w:rFonts w:ascii="Times New Roman;sans-serif" w:hAnsi="Times New Roman;sans-serif"/>
          <w:b w:val="false"/>
          <w:color w:val="000000"/>
          <w:sz w:val="24"/>
        </w:rPr>
        <w:t xml:space="preserve">SoundHound (Nasdaq: SOUN), a global leader in conversational intelligence, offers voice and conversational AI solutions that let businesses offer incredible experiences to their customers. Built on proprietary technology, SoundHound’s voice AI delivers best-in-class speed and accuracy in numerous languages to product creators and service providers across retail, financial services, healthcare, automotive, smart devices, and restaurants via groundbreaking AI-driven products like Smart Answering, Smart Ordering, Dynamic Drive Thru, and Amelia AI Agents. Along with SoundHound Chat AI, a powerful voice assistant with integrated Generative AI, SoundHound powers millions of products and services, and processes billions of interactions each year for world class businesses. </w:t>
      </w:r>
      <w:r>
        <w:rPr>
          <w:rFonts w:ascii="Times New Roman;sans-serif" w:hAnsi="Times New Roman;sans-serif"/>
          <w:b w:val="false"/>
          <w:color w:val="000000"/>
          <w:sz w:val="24"/>
          <w:u w:val="single"/>
        </w:rPr>
        <w:t>www.soundhound.com</w:t>
      </w:r>
    </w:p>
    <w:p>
      <w:pPr>
        <w:pStyle w:val="TextBody"/>
        <w:bidi w:val="0"/>
        <w:spacing w:lineRule="auto" w:line="288" w:before="100" w:after="160"/>
        <w:jc w:val="both"/>
        <w:rPr>
          <w:rFonts w:ascii="Times New Roman;sans-serif" w:hAnsi="Times New Roman;sans-serif"/>
          <w:b/>
          <w:color w:val="000000"/>
          <w:sz w:val="24"/>
        </w:rPr>
      </w:pPr>
      <w:r>
        <w:rPr>
          <w:rFonts w:ascii="Times New Roman;sans-serif" w:hAnsi="Times New Roman;sans-serif"/>
          <w:b/>
          <w:color w:val="000000"/>
          <w:sz w:val="24"/>
        </w:rPr>
        <w:t>Forward Looking Statements</w:t>
      </w:r>
    </w:p>
    <w:p>
      <w:pPr>
        <w:pStyle w:val="TextBody"/>
        <w:bidi w:val="0"/>
        <w:spacing w:lineRule="auto" w:line="288" w:before="100" w:after="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and guidance for financial results for 2025. Such forward-looking statements are necessarily based upon estimates and assumptions that, while considered reasonable by us and our management, are inherently uncertain. As a result, readers are cautioned not to place undue reliance on these forward-looking statements. </w:t>
      </w:r>
    </w:p>
    <w:p>
      <w:pPr>
        <w:pStyle w:val="TextBody"/>
        <w:bidi w:val="0"/>
        <w:spacing w:lineRule="auto" w:line="288" w:before="100" w:after="360"/>
        <w:jc w:val="both"/>
        <w:rPr>
          <w:rFonts w:ascii="Times New Roman;sans-serif" w:hAnsi="Times New Roman;sans-serif"/>
          <w:b w:val="false"/>
          <w:color w:val="000000"/>
          <w:sz w:val="24"/>
        </w:rPr>
      </w:pPr>
      <w:r>
        <w:rPr>
          <w:rFonts w:ascii="Times New Roman;sans-serif" w:hAnsi="Times New Roman;sans-serif"/>
          <w:b w:val="false"/>
          <w:color w:val="000000"/>
          <w:sz w:val="24"/>
        </w:rPr>
        <w:t>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unexpected costs, charges or expenses resulting from our 2024 acquisitions, the ability of our 2024 acquisitions to be accretive on the company's financial results,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pStyle w:val="TextBody"/>
        <w:bidi w:val="0"/>
        <w:spacing w:lineRule="auto" w:line="288" w:before="100" w:after="16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Non-GAAP Measures of Financial Performance</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defines its non-GAAP measures by excluding certain items:</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The company arrives at non-GAAP gross profit and non-GAAP gross margin by excluding (i) amortization of intangibles (including acquired intangible assets) and (ii) stock-based compensation. </w:t>
      </w:r>
    </w:p>
    <w:p>
      <w:pPr>
        <w:pStyle w:val="TextBody"/>
        <w:bidi w:val="0"/>
        <w:spacing w:lineRule="auto" w:line="288" w:before="10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arrives at adjusted EBITDA by excluding (i) total interest and other income/(expense), net, (ii) income taxes (benefits), (iii) depreciation and amortization expense (including acquired intangible assets), (iv) stock-based compensation, (v) change in fair value of contingent consideration for business acquisition, and (vi) acquisition-related costs.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arrives at non-GAAP net loss and non-GAAP net loss per share by excluding (i) depreciation and amortization expense (including acquired intangible assets), (ii) stock-based compensation, (iii) change in fair value of contingent consideration for business acquisition, (iv) change in fair value of derivative, and (v) acquisition-related costs. </w:t>
      </w:r>
    </w:p>
    <w:p>
      <w:pPr>
        <w:pStyle w:val="TextBody"/>
        <w:bidi w:val="0"/>
        <w:spacing w:lineRule="auto" w:line="288" w:before="100" w:after="1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100" w:after="3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First Quarter Reconciliation of GAAP Gross Profit to Non-GAAP Gross Profit and GAAP Gross Margin to Non-GAAP Gross Margin</w:t>
      </w:r>
    </w:p>
    <w:tbl>
      <w:tblPr>
        <w:tblW w:w="7670" w:type="dxa"/>
        <w:jc w:val="left"/>
        <w:tblInd w:w="0" w:type="dxa"/>
        <w:tblLayout w:type="fixed"/>
        <w:tblCellMar>
          <w:top w:w="28" w:type="dxa"/>
          <w:left w:w="28" w:type="dxa"/>
          <w:bottom w:w="28" w:type="dxa"/>
          <w:right w:w="28" w:type="dxa"/>
        </w:tblCellMar>
      </w:tblPr>
      <w:tblGrid>
        <w:gridCol w:w="1260"/>
        <w:gridCol w:w="1107"/>
        <w:gridCol w:w="1112"/>
        <w:gridCol w:w="109"/>
        <w:gridCol w:w="109"/>
        <w:gridCol w:w="109"/>
        <w:gridCol w:w="496"/>
        <w:gridCol w:w="238"/>
        <w:gridCol w:w="238"/>
        <w:gridCol w:w="252"/>
        <w:gridCol w:w="252"/>
        <w:gridCol w:w="260"/>
        <w:gridCol w:w="109"/>
        <w:gridCol w:w="109"/>
        <w:gridCol w:w="109"/>
        <w:gridCol w:w="480"/>
        <w:gridCol w:w="231"/>
        <w:gridCol w:w="231"/>
        <w:gridCol w:w="263"/>
        <w:gridCol w:w="263"/>
        <w:gridCol w:w="333"/>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2024</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GAAP gross profit</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40"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10,618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32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6,925</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521 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152 </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240"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14,807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32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7,598</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59.7%</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65.5%</w:t>
            </w:r>
          </w:p>
        </w:tc>
      </w:tr>
    </w:tbl>
    <w:p>
      <w:pPr>
        <w:pStyle w:val="TextBody"/>
        <w:bidi w:val="0"/>
        <w:spacing w:lineRule="auto" w:line="288" w:before="100" w:after="36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shd w:fill="FEFEFE" w:val="clear"/>
        </w:rPr>
        <w:t>GAAP gross profit is calculated by subtracting the cost of revenues from revenues.</w:t>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First Quarter Reconciliation of GAAP Net Loss to Non-GAAP Adjusted EBITDA</w:t>
      </w:r>
    </w:p>
    <w:tbl>
      <w:tblPr>
        <w:tblW w:w="10205" w:type="dxa"/>
        <w:jc w:val="left"/>
        <w:tblInd w:w="0" w:type="dxa"/>
        <w:tblLayout w:type="fixed"/>
        <w:tblCellMar>
          <w:top w:w="28" w:type="dxa"/>
          <w:left w:w="28" w:type="dxa"/>
          <w:bottom w:w="28" w:type="dxa"/>
          <w:right w:w="28" w:type="dxa"/>
        </w:tblCellMar>
      </w:tblPr>
      <w:tblGrid>
        <w:gridCol w:w="1925"/>
        <w:gridCol w:w="1691"/>
        <w:gridCol w:w="1701"/>
        <w:gridCol w:w="109"/>
        <w:gridCol w:w="109"/>
        <w:gridCol w:w="109"/>
        <w:gridCol w:w="495"/>
        <w:gridCol w:w="238"/>
        <w:gridCol w:w="238"/>
        <w:gridCol w:w="522"/>
        <w:gridCol w:w="511"/>
        <w:gridCol w:w="244"/>
        <w:gridCol w:w="109"/>
        <w:gridCol w:w="109"/>
        <w:gridCol w:w="109"/>
        <w:gridCol w:w="479"/>
        <w:gridCol w:w="231"/>
        <w:gridCol w:w="231"/>
        <w:gridCol w:w="430"/>
        <w:gridCol w:w="276"/>
        <w:gridCol w:w="339"/>
      </w:tblGrid>
      <w:tr>
        <w:trPr/>
        <w:tc>
          <w:tcPr>
            <w:tcW w:w="192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3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2024</w:t>
            </w:r>
          </w:p>
        </w:tc>
      </w:tr>
      <w:tr>
        <w:trPr/>
        <w:tc>
          <w:tcPr>
            <w:tcW w:w="5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509"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129,932</w:t>
            </w: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8"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(33,009)</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Total other income (expense), net</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(2,654)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4,185 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Income taxes/(benefits)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7,755 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1,471 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17,440 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6,979 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(176,100)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4,162 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636 </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513 </w:t>
            </w:r>
          </w:p>
        </w:tc>
        <w:tc>
          <w:tcPr>
            <w:tcW w:w="3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509"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(22,172)</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8"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(15,404)</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36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shd w:fill="FEFEFE" w:val="clear"/>
        </w:rPr>
        <w:t>Includes other income</w:t>
      </w:r>
      <w:r>
        <w:rPr>
          <w:rFonts w:ascii="Times New Roman;sans-serif" w:hAnsi="Times New Roman;sans-serif"/>
          <w:b w:val="false"/>
          <w:color w:val="000000"/>
          <w:sz w:val="16"/>
        </w:rPr>
        <w:t>, net of $2.9 and $1.5 million for the three months ended March 31, 2025 and 2024, respectively.</w:t>
      </w:r>
    </w:p>
    <w:p>
      <w:pPr>
        <w:pStyle w:val="TextBody"/>
        <w:bidi w:val="0"/>
        <w:spacing w:before="100" w:after="160"/>
        <w:jc w:val="both"/>
        <w:rPr/>
      </w:pPr>
      <w:r>
        <w:rPr/>
      </w:r>
    </w:p>
    <w:p>
      <w:pPr>
        <w:pStyle w:val="TextBody"/>
        <w:bidi w:val="0"/>
        <w:spacing w:lineRule="auto" w:line="288" w:before="100" w:after="160"/>
        <w:jc w:val="both"/>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First Quarter Reconciliation of GAAP Net Loss to Non-GAAP Net Loss and Non-GAAP Net Loss Per Share</w:t>
      </w:r>
    </w:p>
    <w:tbl>
      <w:tblPr>
        <w:tblW w:w="10205" w:type="dxa"/>
        <w:jc w:val="left"/>
        <w:tblInd w:w="0" w:type="dxa"/>
        <w:tblLayout w:type="fixed"/>
        <w:tblCellMar>
          <w:top w:w="28" w:type="dxa"/>
          <w:left w:w="28" w:type="dxa"/>
          <w:bottom w:w="28" w:type="dxa"/>
          <w:right w:w="28" w:type="dxa"/>
        </w:tblCellMar>
      </w:tblPr>
      <w:tblGrid>
        <w:gridCol w:w="2210"/>
        <w:gridCol w:w="1711"/>
        <w:gridCol w:w="1719"/>
        <w:gridCol w:w="109"/>
        <w:gridCol w:w="109"/>
        <w:gridCol w:w="109"/>
        <w:gridCol w:w="400"/>
        <w:gridCol w:w="238"/>
        <w:gridCol w:w="238"/>
        <w:gridCol w:w="508"/>
        <w:gridCol w:w="499"/>
        <w:gridCol w:w="197"/>
        <w:gridCol w:w="109"/>
        <w:gridCol w:w="109"/>
        <w:gridCol w:w="109"/>
        <w:gridCol w:w="389"/>
        <w:gridCol w:w="231"/>
        <w:gridCol w:w="231"/>
        <w:gridCol w:w="430"/>
        <w:gridCol w:w="276"/>
        <w:gridCol w:w="274"/>
      </w:tblGrid>
      <w:tr>
        <w:trPr/>
        <w:tc>
          <w:tcPr>
            <w:tcW w:w="2210"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ans-serif" w:hAnsi="Times New Roman;sans-serif"/>
                <w:b/>
                <w:color w:val="000000"/>
                <w:sz w:val="24"/>
              </w:rPr>
            </w:pPr>
            <w:r>
              <w:rPr>
                <w:rFonts w:ascii="Times New Roman;sans-serif" w:hAnsi="Times New Roman;sans-serif"/>
                <w:b/>
                <w:color w:val="000000"/>
                <w:sz w:val="24"/>
              </w:rPr>
              <w:t>Three Months Ended</w:t>
            </w:r>
          </w:p>
          <w:p>
            <w:pPr>
              <w:pStyle w:val="TableContents"/>
              <w:bidi w:val="0"/>
              <w:spacing w:lineRule="auto" w:line="288" w:before="0" w:after="0"/>
              <w:ind w:left="0" w:right="0" w:hanging="0"/>
              <w:jc w:val="left"/>
              <w:rPr>
                <w:rFonts w:ascii="Times New Roman;sans-serif" w:hAnsi="Times New Roman;sans-serif"/>
                <w:b w:val="false"/>
                <w:color w:val="000000"/>
                <w:sz w:val="24"/>
              </w:rPr>
            </w:pPr>
            <w:r>
              <w:rPr>
                <w:rFonts w:ascii="Times New Roman;sans-serif" w:hAnsi="Times New Roman;sans-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March 31, 2024</w:t>
            </w:r>
          </w:p>
        </w:tc>
      </w:tr>
      <w:tr>
        <w:trPr/>
        <w:tc>
          <w:tcPr>
            <w:tcW w:w="5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GAAP net income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83"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129,227</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8"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(33,352)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1,471 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17,440 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6,979 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(176,100)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4,162 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fair value of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(1,289)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636 </w:t>
            </w:r>
          </w:p>
        </w:tc>
        <w:tc>
          <w:tcPr>
            <w:tcW w:w="1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513 </w:t>
            </w:r>
          </w:p>
        </w:tc>
        <w:tc>
          <w:tcPr>
            <w:tcW w:w="2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Non-GAAP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483"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(22,331)</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168"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(20,227)</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GAAP net income (loss) per share</w:t>
            </w:r>
            <w:r>
              <w:rPr>
                <w:rFonts w:ascii="Times New Roman;sans-serif" w:hAnsi="Times New Roman;sans-serif"/>
                <w:b/>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0.33</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(0.12)</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(0.39)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Non-GAAP net loss per share</w:t>
            </w:r>
            <w:r>
              <w:rPr>
                <w:rFonts w:ascii="Times New Roman;sans-serif" w:hAnsi="Times New Roman;sans-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(0.07)</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GAAP net income (loss) per share</w:t>
            </w:r>
            <w:r>
              <w:rPr>
                <w:rFonts w:ascii="Times New Roman;sans-serif" w:hAnsi="Times New Roman;sans-serif"/>
                <w:b/>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4"/>
              </w:rPr>
              <w:t>0.31</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(0.12)</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(0.37)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0.05 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4"/>
              </w:rPr>
              <w:t>Non-GAAP net loss per share</w:t>
            </w:r>
            <w:r>
              <w:rPr>
                <w:rFonts w:ascii="Times New Roman;sans-serif" w:hAnsi="Times New Roman;sans-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10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(0.06)</w:t>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(0.07)</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1)Weighted average common shares outstanding (basic) for the three months ended March 31, 2025 and 2024, were 393,893,313 and 286,596,559, respectively. Weighted average common shares outstanding (diluted) for the three months ended March 31, 2025 and 2024, were 414,156,455 and 286,596,559,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2)Weighted average common shares outstanding (basic) for the three months ended March 31, 2025 and 2024, were 393,893,313 and 286,596,559, respectively. Weighted average common shares outstanding (diluted) for the three months ended March 31, 2025 and 2024, were 393,893,313 and 286,596,559, respectively.</w:t>
      </w:r>
    </w:p>
    <w:p>
      <w:pPr>
        <w:pStyle w:val="TextBody"/>
        <w:bidi w:val="0"/>
        <w:spacing w:before="100" w:after="1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Investors:</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Scott Smith</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408-724-1498</w:t>
      </w:r>
    </w:p>
    <w:p>
      <w:pPr>
        <w:pStyle w:val="TextBody"/>
        <w:bidi w:val="0"/>
        <w:spacing w:lineRule="auto" w:line="288" w:before="0" w:after="36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IR@SoundHound.com</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Media:</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Fiona McEvoy</w: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415-610-6590</w:t>
      </w:r>
    </w:p>
    <w:p>
      <w:pPr>
        <w:pStyle w:val="TextBody"/>
        <w:bidi w:val="0"/>
        <w:spacing w:lineRule="auto" w:line="288"/>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PR@SoundHound.com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74"/>
        <w:gridCol w:w="2565"/>
        <w:gridCol w:w="2564"/>
        <w:gridCol w:w="166"/>
        <w:gridCol w:w="526"/>
        <w:gridCol w:w="109"/>
        <w:gridCol w:w="109"/>
        <w:gridCol w:w="109"/>
        <w:gridCol w:w="109"/>
        <w:gridCol w:w="171"/>
        <w:gridCol w:w="543"/>
        <w:gridCol w:w="160"/>
      </w:tblGrid>
      <w:tr>
        <w:trPr/>
        <w:tc>
          <w:tcPr>
            <w:tcW w:w="3074"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w:t>
              <w:br/>
              <w:t>2024</w:t>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ASSETS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198,240 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 of allowances of $1,538 and $726 as of March 31, 2025 and December 31, 2024,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23,159 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and unbilled receivable,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assets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295,051 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255,520 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 equivalents, non-current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Right-of-use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Goodwill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101,704 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Intangible assets,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174,943 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tax asset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Contract assets and unbilled receivable, non-current,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assets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587,536 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553,953 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LIABILITIES AND STOCKHOLDERS’ EQUITY</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liabilities: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26,291 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Finance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23,876 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67,742 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Contingent acquisition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286,898 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 liability,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non-current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371,300 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Commitments and contingencies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Stockholders’ equity:</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Series A Preferred Stock, $0.0001 par value; 1,000,000 shares authorized; 0 and 0 shares issued and outstanding, aggregate liquidation preference of $— and $— as of March 31, 2025 and December 31, 2024,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$0.0001 par value; 455,000,000 shares authorized; 368,869,290 and 361,096,457 shares issued and outstanding as of March 31, 2025 and December 31, 2024,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Class B Common Stock, $0.0001 par value; 44,000,000 shares authorized; 32,535,408 and 32,535,408 shares issued and outstanding as of March 31, 2025 and December 31, 2024,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Additional paid-in capital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1,209,871 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1,125,470 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deficit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(813,128)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(943,060)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Accumulated other comprehensive income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stockholders’ equity</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182,653 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liabilities and stockholders’ equity</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587,536 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553,953 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In thousands, except share and per share data)</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8632" w:type="dxa"/>
        <w:jc w:val="center"/>
        <w:tblInd w:w="0" w:type="dxa"/>
        <w:tblLayout w:type="fixed"/>
        <w:tblCellMar>
          <w:top w:w="28" w:type="dxa"/>
          <w:left w:w="28" w:type="dxa"/>
          <w:bottom w:w="28" w:type="dxa"/>
          <w:right w:w="28" w:type="dxa"/>
        </w:tblCellMar>
      </w:tblPr>
      <w:tblGrid>
        <w:gridCol w:w="2053"/>
        <w:gridCol w:w="1797"/>
        <w:gridCol w:w="1820"/>
        <w:gridCol w:w="241"/>
        <w:gridCol w:w="945"/>
        <w:gridCol w:w="109"/>
        <w:gridCol w:w="109"/>
        <w:gridCol w:w="109"/>
        <w:gridCol w:w="109"/>
        <w:gridCol w:w="264"/>
        <w:gridCol w:w="922"/>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acquisition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participating Class A Common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dividends attributable to Series A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SoundHound common shareholders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investments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393,893,313 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286,596,559 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414,156,455 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286,596,559 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8664" w:type="dxa"/>
        <w:jc w:val="center"/>
        <w:tblInd w:w="0" w:type="dxa"/>
        <w:tblLayout w:type="fixed"/>
        <w:tblCellMar>
          <w:top w:w="28" w:type="dxa"/>
          <w:left w:w="28" w:type="dxa"/>
          <w:bottom w:w="28" w:type="dxa"/>
          <w:right w:w="28" w:type="dxa"/>
        </w:tblCellMar>
      </w:tblPr>
      <w:tblGrid>
        <w:gridCol w:w="2182"/>
        <w:gridCol w:w="1921"/>
        <w:gridCol w:w="1927"/>
        <w:gridCol w:w="211"/>
        <w:gridCol w:w="826"/>
        <w:gridCol w:w="109"/>
        <w:gridCol w:w="109"/>
        <w:gridCol w:w="109"/>
        <w:gridCol w:w="109"/>
        <w:gridCol w:w="211"/>
        <w:gridCol w:w="796"/>
        <w:gridCol w:w="154"/>
      </w:tblGrid>
      <w:tr>
        <w:trPr/>
        <w:tc>
          <w:tcPr>
            <w:tcW w:w="218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 from remeasurement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acquisition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related to acquisition,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rFonts w:ascii="Arial;sans-serif" w:hAnsi="Arial;sans-serif"/>
          <w:b w:val="false"/>
          <w:color w:val="000000"/>
          <w:sz w:val="24"/>
        </w:rPr>
      </w:pPr>
      <w:r>
        <w:rPr>
          <w:rFonts w:ascii="Arial;sans-serif" w:hAnsi="Arial;sans-serif"/>
          <w:b w:val="false"/>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SOUNDHOUND AI,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8"/>
        <w:gridCol w:w="2362"/>
        <w:gridCol w:w="2370"/>
        <w:gridCol w:w="211"/>
        <w:gridCol w:w="826"/>
        <w:gridCol w:w="109"/>
        <w:gridCol w:w="109"/>
        <w:gridCol w:w="109"/>
        <w:gridCol w:w="109"/>
        <w:gridCol w:w="211"/>
        <w:gridCol w:w="826"/>
        <w:gridCol w:w="155"/>
      </w:tblGrid>
      <w:tr>
        <w:trPr/>
        <w:tc>
          <w:tcPr>
            <w:tcW w:w="2808"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Proceeds from sales of Class A common stock under the Sales Agreement and </w:t>
            </w:r>
            <w:r>
              <w:rPr>
                <w:rFonts w:ascii="Times New Roman;sans-serif" w:hAnsi="Times New Roman;sans-serif"/>
                <w:b w:val="false"/>
                <w:color w:val="000000"/>
                <w:sz w:val="20"/>
                <w:shd w:fill="FFFFFF" w:val="clear"/>
              </w:rPr>
              <w:t>Second Equity Distribution Agreement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warrants exercised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financing costs associated with the Sales Agreement and Second Equity Distribution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to amounts on the condensed consolidated balance sheets: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restricted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equivalents shown in the condensed consolidated statements of cash flows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Series A Preferred Stock to Class A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reclassified to additional paid-in capital</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under accrued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 and deferred equity consideration issued to acquire SYNQ3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earnout consideration to acquire SYNQ3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holdback consideration to acquire SYNQ3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deferred cash consideration under SYNQ3 acquisition</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Unpaid deferred offering cost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4013</Words>
  <Characters>23526</Characters>
  <CharactersWithSpaces>27027</CharactersWithSpaces>
  <Paragraphs>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