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0"/>
        <w:spacing w:after="0"/>
        <w:rPr>
          <w:sz w:val="20"/>
          <w:szCs w:val="20"/>
          <w:color w:val="auto"/>
        </w:rPr>
      </w:pPr>
      <w:r>
        <w:rPr>
          <w:rFonts w:ascii="Times New Roman" w:cs="Times New Roman" w:eastAsia="Times New Roman" w:hAnsi="Times New Roman"/>
          <w:sz w:val="18"/>
          <w:szCs w:val="18"/>
          <w:b w:val="1"/>
          <w:bCs w:val="1"/>
          <w:color w:val="auto"/>
        </w:rPr>
        <w:t>As filed with the United States Securities and Exchange Commission on May 16, 2022.</w:t>
      </w:r>
    </w:p>
    <w:p>
      <w:pPr>
        <w:spacing w:after="0" w:line="77" w:lineRule="exact"/>
        <w:rPr>
          <w:sz w:val="24"/>
          <w:szCs w:val="24"/>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71120</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114300</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9"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SOUNDHOUND AI, INC.</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203" w:lineRule="exact"/>
        <w:rPr>
          <w:sz w:val="24"/>
          <w:szCs w:val="24"/>
          <w:color w:val="auto"/>
        </w:rPr>
      </w:pPr>
    </w:p>
    <w:tbl>
      <w:tblPr>
        <w:tblLayout w:type="fixed"/>
        <w:tblInd w:w="460" w:type="dxa"/>
        <w:tblCellMar>
          <w:top w:w="0" w:type="dxa"/>
          <w:left w:w="0" w:type="dxa"/>
          <w:bottom w:w="0" w:type="dxa"/>
          <w:right w:w="0" w:type="dxa"/>
        </w:tblCellMar>
      </w:tblPr>
      <w:tr>
        <w:trPr>
          <w:trHeight w:val="238"/>
        </w:trPr>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7372</w:t>
            </w:r>
          </w:p>
        </w:tc>
        <w:tc>
          <w:tcPr>
            <w:tcW w:w="8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86-1286799</w:t>
            </w:r>
          </w:p>
        </w:tc>
        <w:tc>
          <w:tcPr>
            <w:tcW w:w="0" w:type="dxa"/>
            <w:vAlign w:val="bottom"/>
          </w:tcPr>
          <w:p>
            <w:pPr>
              <w:spacing w:after="0"/>
              <w:rPr>
                <w:sz w:val="1"/>
                <w:szCs w:val="1"/>
                <w:color w:val="auto"/>
              </w:rPr>
            </w:pPr>
          </w:p>
        </w:tc>
      </w:tr>
      <w:tr>
        <w:trPr>
          <w:trHeight w:val="41"/>
        </w:trPr>
        <w:tc>
          <w:tcPr>
            <w:tcW w:w="26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6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80" w:type="dxa"/>
            <w:vAlign w:val="bottom"/>
            <w:vMerge w:val="continue"/>
          </w:tcPr>
          <w:p>
            <w:pPr>
              <w:spacing w:after="0"/>
              <w:rPr>
                <w:sz w:val="16"/>
                <w:szCs w:val="16"/>
                <w:color w:val="auto"/>
              </w:rPr>
            </w:pPr>
          </w:p>
        </w:tc>
        <w:tc>
          <w:tcPr>
            <w:tcW w:w="26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26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Classification Code Number)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c>
          <w:tcPr>
            <w:tcW w:w="0" w:type="dxa"/>
            <w:vAlign w:val="bottom"/>
          </w:tcPr>
          <w:p>
            <w:pPr>
              <w:spacing w:after="0"/>
              <w:rPr>
                <w:sz w:val="1"/>
                <w:szCs w:val="1"/>
                <w:color w:val="auto"/>
              </w:rPr>
            </w:pPr>
          </w:p>
        </w:tc>
      </w:tr>
      <w:tr>
        <w:trPr>
          <w:trHeight w:val="410"/>
        </w:trPr>
        <w:tc>
          <w:tcPr>
            <w:tcW w:w="2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5400 Betsy Ross Drive</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Santa Clara, CA 95054</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Telephone: (408) 441-3200</w:t>
            </w: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center"/>
        <w:ind w:left="460" w:right="459"/>
        <w:spacing w:after="0" w:line="250" w:lineRule="auto"/>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1"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 Keyvan Mohajer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5400 Betsy Ross Drive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Santa Clara, CA 95054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(408) 441-3200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9"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of all communications, including communications sent to agent for service, should be sent to:</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Douglas Ellenoff,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Jeffrey Rubin,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Ellenoff Grossman &amp; Schole LLP</w:t>
      </w:r>
    </w:p>
    <w:p>
      <w:pPr>
        <w:jc w:val="center"/>
        <w:spacing w:after="0" w:line="236" w:lineRule="auto"/>
        <w:rPr>
          <w:sz w:val="20"/>
          <w:szCs w:val="20"/>
          <w:color w:val="auto"/>
        </w:rPr>
      </w:pPr>
      <w:r>
        <w:rPr>
          <w:rFonts w:ascii="Times New Roman" w:cs="Times New Roman" w:eastAsia="Times New Roman" w:hAnsi="Times New Roman"/>
          <w:sz w:val="18"/>
          <w:szCs w:val="18"/>
          <w:b w:val="1"/>
          <w:bCs w:val="1"/>
          <w:color w:val="auto"/>
        </w:rPr>
        <w:t>1345 Avenue of the Americas, 11</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10105</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(212) 370-1300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Fax: (212) 370-7889</w:t>
      </w:r>
    </w:p>
    <w:p>
      <w:pPr>
        <w:spacing w:after="0" w:line="9"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27" w:lineRule="exact"/>
        <w:rPr>
          <w:sz w:val="24"/>
          <w:szCs w:val="24"/>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4"/>
          <w:szCs w:val="14"/>
          <w:color w:val="auto"/>
        </w:rPr>
        <w:t>Approximate date of commencement of proposed sale to the public: As soon as practicable after the effective date of this registration statement.</w:t>
      </w:r>
    </w:p>
    <w:p>
      <w:pPr>
        <w:spacing w:after="0" w:line="1" w:lineRule="exact"/>
        <w:rPr>
          <w:sz w:val="24"/>
          <w:szCs w:val="24"/>
          <w:color w:val="auto"/>
        </w:rPr>
      </w:pPr>
    </w:p>
    <w:p>
      <w:pPr>
        <w:jc w:val="both"/>
        <w:ind w:left="460" w:right="479" w:firstLine="432"/>
        <w:spacing w:after="0" w:line="193"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1" w:lineRule="exact"/>
        <w:rPr>
          <w:sz w:val="24"/>
          <w:szCs w:val="24"/>
          <w:color w:val="auto"/>
        </w:rPr>
      </w:pPr>
    </w:p>
    <w:p>
      <w:pPr>
        <w:jc w:val="both"/>
        <w:ind w:left="460" w:right="459" w:firstLine="432"/>
        <w:spacing w:after="0" w:line="233" w:lineRule="auto"/>
        <w:rPr>
          <w:sz w:val="20"/>
          <w:szCs w:val="20"/>
          <w:color w:val="auto"/>
        </w:rPr>
      </w:pPr>
      <w:r>
        <w:rPr>
          <w:rFonts w:ascii="Times New Roman" w:cs="Times New Roman" w:eastAsia="Times New Roman" w:hAnsi="Times New Roman"/>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w:t>
      </w:r>
    </w:p>
    <w:p>
      <w:pPr>
        <w:spacing w:after="0" w:line="1" w:lineRule="exact"/>
        <w:rPr>
          <w:sz w:val="24"/>
          <w:szCs w:val="24"/>
          <w:color w:val="auto"/>
        </w:rPr>
      </w:pPr>
    </w:p>
    <w:p>
      <w:pPr>
        <w:ind w:left="460"/>
        <w:spacing w:after="0" w:line="141" w:lineRule="exact"/>
        <w:rPr>
          <w:sz w:val="20"/>
          <w:szCs w:val="20"/>
          <w:color w:val="auto"/>
        </w:rPr>
      </w:pPr>
      <w:r>
        <w:rPr>
          <w:rFonts w:ascii="MS PGothic" w:cs="MS PGothic" w:eastAsia="MS PGothic" w:hAnsi="MS PGothic"/>
          <w:sz w:val="14"/>
          <w:szCs w:val="14"/>
          <w:color w:val="auto"/>
        </w:rPr>
        <w:t>☐</w:t>
      </w:r>
    </w:p>
    <w:p>
      <w:pPr>
        <w:spacing w:after="0" w:line="52" w:lineRule="exact"/>
        <w:rPr>
          <w:sz w:val="24"/>
          <w:szCs w:val="24"/>
          <w:color w:val="auto"/>
        </w:rPr>
      </w:pPr>
    </w:p>
    <w:p>
      <w:pPr>
        <w:jc w:val="both"/>
        <w:ind w:left="460" w:right="459" w:firstLine="432"/>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jc w:val="both"/>
        <w:ind w:left="460" w:right="479" w:firstLine="432"/>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880"/>
        <w:spacing w:after="0" w:line="161" w:lineRule="exact"/>
        <w:rPr>
          <w:sz w:val="20"/>
          <w:szCs w:val="20"/>
          <w:color w:val="auto"/>
        </w:rPr>
      </w:pPr>
      <w:r>
        <w:rPr>
          <w:rFonts w:ascii="Times New Roman" w:cs="Times New Roman" w:eastAsia="Times New Roman" w:hAnsi="Times New Roman"/>
          <w:sz w:val="14"/>
          <w:szCs w:val="14"/>
          <w:color w:val="auto"/>
        </w:rPr>
        <w:t xml:space="preserve">If delivery of the Prospectus is expected to be made pursuant to Rule 434, check the following box. </w:t>
      </w:r>
      <w:r>
        <w:rPr>
          <w:rFonts w:ascii="MS PGothic" w:cs="MS PGothic" w:eastAsia="MS PGothic" w:hAnsi="MS PGothic"/>
          <w:sz w:val="14"/>
          <w:szCs w:val="14"/>
          <w:color w:val="auto"/>
        </w:rPr>
        <w:t>☐</w:t>
      </w:r>
    </w:p>
    <w:p>
      <w:pPr>
        <w:spacing w:after="0" w:line="55" w:lineRule="exact"/>
        <w:rPr>
          <w:sz w:val="24"/>
          <w:szCs w:val="24"/>
          <w:color w:val="auto"/>
        </w:rPr>
      </w:pPr>
    </w:p>
    <w:p>
      <w:pPr>
        <w:jc w:val="both"/>
        <w:ind w:left="460" w:right="459" w:firstLine="432"/>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0" w:lineRule="exact"/>
        <w:rPr>
          <w:sz w:val="24"/>
          <w:szCs w:val="24"/>
          <w:color w:val="auto"/>
        </w:rPr>
      </w:pPr>
    </w:p>
    <w:tbl>
      <w:tblPr>
        <w:tblLayout w:type="fixed"/>
        <w:tblInd w:w="820" w:type="dxa"/>
        <w:tblCellMar>
          <w:top w:w="0" w:type="dxa"/>
          <w:left w:w="0" w:type="dxa"/>
          <w:bottom w:w="0" w:type="dxa"/>
          <w:right w:w="0" w:type="dxa"/>
        </w:tblCellMar>
      </w:tblPr>
      <w:tr>
        <w:trPr>
          <w:trHeight w:val="226"/>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20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246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Accelerated filer</w:t>
            </w:r>
          </w:p>
        </w:tc>
        <w:tc>
          <w:tcPr>
            <w:tcW w:w="220" w:type="dxa"/>
            <w:vAlign w:val="bottom"/>
          </w:tcPr>
          <w:p>
            <w:pPr>
              <w:ind w:left="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05"/>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2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246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20" w:type="dxa"/>
            <w:vAlign w:val="bottom"/>
          </w:tcPr>
          <w:p>
            <w:pPr>
              <w:ind w:left="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6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Emerging growth company</w:t>
            </w:r>
          </w:p>
        </w:tc>
        <w:tc>
          <w:tcPr>
            <w:tcW w:w="220" w:type="dxa"/>
            <w:vAlign w:val="bottom"/>
          </w:tcPr>
          <w:p>
            <w:pPr>
              <w:ind w:left="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22" w:lineRule="exact"/>
        <w:rPr>
          <w:sz w:val="24"/>
          <w:szCs w:val="24"/>
          <w:color w:val="auto"/>
        </w:rPr>
      </w:pPr>
    </w:p>
    <w:p>
      <w:pPr>
        <w:jc w:val="both"/>
        <w:ind w:left="460" w:right="479" w:firstLine="432"/>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 w:lineRule="exact"/>
        <w:rPr>
          <w:sz w:val="24"/>
          <w:szCs w:val="24"/>
          <w:color w:val="auto"/>
        </w:rPr>
      </w:pPr>
    </w:p>
    <w:p>
      <w:pPr>
        <w:jc w:val="both"/>
        <w:ind w:left="460" w:right="459" w:firstLine="432"/>
        <w:spacing w:after="0" w:line="236"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41275</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83820</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358140</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49" w:right="1440" w:bottom="1160" w:gutter="0" w:footer="0" w:header="0"/>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7" w:lineRule="exact"/>
        <w:rPr>
          <w:sz w:val="20"/>
          <w:szCs w:val="20"/>
          <w:color w:val="auto"/>
        </w:rPr>
      </w:pPr>
    </w:p>
    <w:p>
      <w:pPr>
        <w:jc w:val="both"/>
        <w:ind w:left="460" w:right="459"/>
        <w:spacing w:after="0" w:line="276" w:lineRule="auto"/>
        <w:rPr>
          <w:sz w:val="20"/>
          <w:szCs w:val="20"/>
          <w:color w:val="auto"/>
        </w:rPr>
      </w:pPr>
      <w:r>
        <w:rPr>
          <w:rFonts w:ascii="Times New Roman" w:cs="Times New Roman" w:eastAsia="Times New Roman" w:hAnsi="Times New Roman"/>
          <w:sz w:val="16"/>
          <w:szCs w:val="16"/>
          <w:b w:val="1"/>
          <w:bCs w:val="1"/>
          <w:color w:val="D2232A"/>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173" w:lineRule="exact"/>
        <w:rPr>
          <w:sz w:val="20"/>
          <w:szCs w:val="20"/>
          <w:color w:val="auto"/>
        </w:rPr>
      </w:pPr>
    </w:p>
    <w:p>
      <w:pPr>
        <w:ind w:left="46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D2232A"/>
        </w:rPr>
        <w:t>PRELIMINARY PROSPECTUS SUBJECT TO COMPLETION</w:t>
      </w:r>
      <w:r>
        <w:rPr>
          <w:sz w:val="20"/>
          <w:szCs w:val="20"/>
          <w:color w:val="auto"/>
        </w:rPr>
        <w:tab/>
      </w:r>
      <w:r>
        <w:rPr>
          <w:rFonts w:ascii="Times New Roman" w:cs="Times New Roman" w:eastAsia="Times New Roman" w:hAnsi="Times New Roman"/>
          <w:sz w:val="17"/>
          <w:szCs w:val="17"/>
          <w:b w:val="1"/>
          <w:bCs w:val="1"/>
          <w:color w:val="D2232A"/>
        </w:rPr>
        <w:t>DATED MAY 16, 2022</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SOUNDHOUND AI, INC.</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56,834,904 Shares of Class A Common Stock</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40,396,600 Shares of Class A Common Stock Underlying Shares of Class B Common</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Stock</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208,000 Placement Warrants</w:t>
      </w:r>
    </w:p>
    <w:p>
      <w:pPr>
        <w:jc w:val="center"/>
        <w:spacing w:after="0"/>
        <w:rPr>
          <w:sz w:val="20"/>
          <w:szCs w:val="20"/>
          <w:color w:val="auto"/>
        </w:rPr>
      </w:pPr>
      <w:r>
        <w:rPr>
          <w:rFonts w:ascii="Times New Roman" w:cs="Times New Roman" w:eastAsia="Times New Roman" w:hAnsi="Times New Roman"/>
          <w:sz w:val="22"/>
          <w:szCs w:val="22"/>
          <w:b w:val="1"/>
          <w:bCs w:val="1"/>
          <w:color w:val="auto"/>
        </w:rPr>
        <w:t>6,858,000 Shares of Class A Common Stock Underlying Warrants</w:t>
      </w:r>
    </w:p>
    <w:p>
      <w:pPr>
        <w:spacing w:after="0" w:line="128"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6"/>
          <w:szCs w:val="16"/>
          <w:color w:val="auto"/>
        </w:rPr>
        <w:t>This prospectus relates to the offer and resale of an aggregate of up to (i) 56,834,904 shares of Class A common stock, par value $0.0001 per share (the “Class A Shares” or “Class A Common Stock”), of SoundHound AI, Inc. (“SoundHound AI,” “the Company,” “we,” “us” or “our”) held by selling securityholders named in this prospectus (each a “Selling Securityholder” and, collectively, the “Selling Securityholders”), including the PIPE Shares (as defined below) and securities held by our officers, directors, EarlyBirdCapital and their and our affiliates, including shares of Class A Common Stock exercisable under options held by certain of the Selling Securityholders, (ii) the resale by certain of our affiliates from time to time of up to 40,396,600 Class A Shares issuable upon conversion of shares of Class B common stock, par value $0.0001 per share (the “Class B Shares” or “Class B Common Stock”), (iii) the resale from time to time of up to 208,000 warrants, each exercisable for one share of Class A Common Stock at a price of $11.50, subject to adjustment (the “Placement Warrants”) and (iv) the issuance by us of up to 6,858,000 Class A Shares upon the exercise of outstanding warrants to purchase our Class A Shares (the “Warrants,” as further defined below).</w:t>
      </w:r>
    </w:p>
    <w:p>
      <w:pPr>
        <w:spacing w:after="0" w:line="124" w:lineRule="exact"/>
        <w:rPr>
          <w:sz w:val="20"/>
          <w:szCs w:val="20"/>
          <w:color w:val="auto"/>
        </w:rPr>
      </w:pPr>
    </w:p>
    <w:p>
      <w:pPr>
        <w:jc w:val="both"/>
        <w:ind w:left="460" w:right="459" w:firstLine="432"/>
        <w:spacing w:after="0" w:line="269" w:lineRule="auto"/>
        <w:rPr>
          <w:sz w:val="20"/>
          <w:szCs w:val="20"/>
          <w:color w:val="auto"/>
        </w:rPr>
      </w:pPr>
      <w:r>
        <w:rPr>
          <w:rFonts w:ascii="Times New Roman" w:cs="Times New Roman" w:eastAsia="Times New Roman" w:hAnsi="Times New Roman"/>
          <w:sz w:val="16"/>
          <w:szCs w:val="16"/>
          <w:color w:val="auto"/>
        </w:rPr>
        <w:t>On April 26, 2022, pursuant to the merger agreement (the “Merger Agreement”) dated as of November 15, 2021 by and among Archimedes Tech SPAC Partners Co. (“ATSP”), ATSPC Merger Sub, Inc. and SoundHound, Inc., the parties consummated the merger of ATSPC Merger Sub, Inc. with and into SoundHound, Inc., with SoundHound, Inc. continuing as the surviving corporation (the “Merger”), as well as the other transactions contemplated by the Merger Agreement (the Merger and such other transactions, the “Business Combination”). As a result of the Business Combination, SoundHound became a wholly owned subsidiary of ATSP and ATSP changed its name to “SoundHound AI, Inc.” SoundHound AI currently owns 100% of the outstanding common stock of SoundHound, Inc.</w:t>
      </w:r>
    </w:p>
    <w:p>
      <w:pPr>
        <w:spacing w:after="0" w:line="109" w:lineRule="exact"/>
        <w:rPr>
          <w:sz w:val="20"/>
          <w:szCs w:val="20"/>
          <w:color w:val="auto"/>
        </w:rPr>
      </w:pPr>
    </w:p>
    <w:p>
      <w:pPr>
        <w:jc w:val="both"/>
        <w:ind w:left="460" w:right="459" w:firstLine="432"/>
        <w:spacing w:after="0" w:line="269" w:lineRule="auto"/>
        <w:rPr>
          <w:sz w:val="20"/>
          <w:szCs w:val="20"/>
          <w:color w:val="auto"/>
        </w:rPr>
      </w:pPr>
      <w:r>
        <w:rPr>
          <w:rFonts w:ascii="Times New Roman" w:cs="Times New Roman" w:eastAsia="Times New Roman" w:hAnsi="Times New Roman"/>
          <w:sz w:val="16"/>
          <w:szCs w:val="16"/>
          <w:color w:val="auto"/>
        </w:rPr>
        <w:t>In connection with the Merger Agreement, ATSP entered into subscription agreements (collectively, the “Subscription Agreements”) with certain accredited investors (the “Subscribers”) pursuant to which the Subscribers agreed to purchase, and ATSP agreed to sell to the Subscribers, an aggregate of 11,300,000 shares of Class A Common Stock (“PIPE Shares”), for a purchase price of $10.00 per share and an aggregate purchase price of $113,000,000 (the “PIPE Investment”). The PIPE Shares are identical to the shares of Class A Common Stock that were held by the Company’s public stockholders at the time of the closing of the Merger Agreement, except that the PIPE Shares were not entitled to any redemption rights, were not registered under the Securities Act of 1933, as amended, and are restricted shares. The sale of PIPE Shares was consummated concurrently with the closing of the Merger Agreement.</w:t>
      </w:r>
    </w:p>
    <w:p>
      <w:pPr>
        <w:spacing w:after="0" w:line="119" w:lineRule="exact"/>
        <w:rPr>
          <w:sz w:val="20"/>
          <w:szCs w:val="20"/>
          <w:color w:val="auto"/>
        </w:rPr>
      </w:pPr>
    </w:p>
    <w:p>
      <w:pPr>
        <w:jc w:val="both"/>
        <w:ind w:left="460" w:right="479" w:firstLine="432"/>
        <w:spacing w:after="0" w:line="298" w:lineRule="auto"/>
        <w:rPr>
          <w:sz w:val="20"/>
          <w:szCs w:val="20"/>
          <w:color w:val="auto"/>
        </w:rPr>
      </w:pPr>
      <w:r>
        <w:rPr>
          <w:rFonts w:ascii="Times New Roman" w:cs="Times New Roman" w:eastAsia="Times New Roman" w:hAnsi="Times New Roman"/>
          <w:sz w:val="16"/>
          <w:szCs w:val="16"/>
          <w:color w:val="auto"/>
        </w:rPr>
        <w:t>We are also registering the issuance of shares of Class A Common Stock issuable upon exercise of certain warrants as provided in the Warrant Agreement (as defined below).</w:t>
      </w:r>
    </w:p>
    <w:p>
      <w:pPr>
        <w:spacing w:after="0" w:line="97" w:lineRule="exact"/>
        <w:rPr>
          <w:sz w:val="20"/>
          <w:szCs w:val="20"/>
          <w:color w:val="auto"/>
        </w:rPr>
      </w:pPr>
    </w:p>
    <w:p>
      <w:pPr>
        <w:jc w:val="both"/>
        <w:ind w:left="460" w:right="479" w:firstLine="432"/>
        <w:spacing w:after="0" w:line="281" w:lineRule="auto"/>
        <w:rPr>
          <w:sz w:val="20"/>
          <w:szCs w:val="20"/>
          <w:color w:val="auto"/>
        </w:rPr>
      </w:pPr>
      <w:r>
        <w:rPr>
          <w:rFonts w:ascii="Times New Roman" w:cs="Times New Roman" w:eastAsia="Times New Roman" w:hAnsi="Times New Roman"/>
          <w:sz w:val="16"/>
          <w:szCs w:val="16"/>
          <w:color w:val="auto"/>
        </w:rPr>
        <w:t>This prospectus also covers any additional shares of Class A Common Stock that may become issuable upon any anti-dilution adjustment pursuant to the terms of the Warrants by reason of stock splits, stock dividends, and other events described therein.</w:t>
      </w:r>
    </w:p>
    <w:p>
      <w:pPr>
        <w:spacing w:after="0" w:line="96" w:lineRule="exact"/>
        <w:rPr>
          <w:sz w:val="20"/>
          <w:szCs w:val="20"/>
          <w:color w:val="auto"/>
        </w:rPr>
      </w:pPr>
    </w:p>
    <w:p>
      <w:pPr>
        <w:jc w:val="both"/>
        <w:ind w:left="460" w:right="459" w:firstLine="432"/>
        <w:spacing w:after="0" w:line="269" w:lineRule="auto"/>
        <w:rPr>
          <w:sz w:val="20"/>
          <w:szCs w:val="20"/>
          <w:color w:val="auto"/>
        </w:rPr>
      </w:pPr>
      <w:r>
        <w:rPr>
          <w:rFonts w:ascii="Times New Roman" w:cs="Times New Roman" w:eastAsia="Times New Roman" w:hAnsi="Times New Roman"/>
          <w:sz w:val="16"/>
          <w:szCs w:val="16"/>
          <w:color w:val="auto"/>
        </w:rPr>
        <w:t>The Selling Securityholders, or their respective transferees, pledgees, donees or other successors-in-interest, may sell their securities through public or private transactions at prevailing market prices, at prices related to prevailing market prices or at privately negotiated prices. The Selling Securityholders may sell any, all or none of the securities offered by this prospectus, and we do not know when or in what amount the Selling Securityholders may sell their Shares or Warrant Shares hereunder following the effective date of the registration statement of which this prospectus forms a part. We provide more information about how a Selling Securityholder may sell Shares or Warrant Shares in the section titled “Plan of Distribution” on page 118.</w:t>
      </w:r>
    </w:p>
    <w:p>
      <w:pPr>
        <w:spacing w:after="0" w:line="122" w:lineRule="exact"/>
        <w:rPr>
          <w:sz w:val="20"/>
          <w:szCs w:val="20"/>
          <w:color w:val="auto"/>
        </w:rPr>
      </w:pPr>
    </w:p>
    <w:p>
      <w:pPr>
        <w:jc w:val="both"/>
        <w:ind w:left="460" w:right="459" w:firstLine="432"/>
        <w:spacing w:after="0" w:line="269" w:lineRule="auto"/>
        <w:rPr>
          <w:sz w:val="20"/>
          <w:szCs w:val="20"/>
          <w:color w:val="auto"/>
        </w:rPr>
      </w:pPr>
      <w:r>
        <w:rPr>
          <w:rFonts w:ascii="Times New Roman" w:cs="Times New Roman" w:eastAsia="Times New Roman" w:hAnsi="Times New Roman"/>
          <w:sz w:val="16"/>
          <w:szCs w:val="16"/>
          <w:color w:val="auto"/>
        </w:rPr>
        <w:t>We are registering the securities on behalf of the Selling Securityholders, to be offered and sold by them from time to time as well as on behalf of the Company with respect to the Warrant Shares. We will not receive any proceeds from the sale of our Shares or Warrants by the Selling Securityholders in the offering described in this prospectus, but we will receive proceeds resulting from any exercise of the Warrants. We cannot predict when and in what amounts or if the Warrants will be exercised. We have agreed to bear all of the expenses incurred in connection with the registration of the Shares and the Warrants. The Selling Securityholders will be responsible for the payment of all discounts, commissions and fees of underwriters, selling brokers or dealer managers and similar expenses, if any, incurred in connection with the sale of the Shares and the Warrants.</w:t>
      </w:r>
    </w:p>
    <w:p>
      <w:pPr>
        <w:spacing w:after="0" w:line="119" w:lineRule="exact"/>
        <w:rPr>
          <w:sz w:val="20"/>
          <w:szCs w:val="20"/>
          <w:color w:val="auto"/>
        </w:rPr>
      </w:pPr>
    </w:p>
    <w:p>
      <w:pPr>
        <w:jc w:val="both"/>
        <w:ind w:left="460" w:right="459" w:firstLine="432"/>
        <w:spacing w:after="0" w:line="281" w:lineRule="auto"/>
        <w:rPr>
          <w:sz w:val="20"/>
          <w:szCs w:val="20"/>
          <w:color w:val="auto"/>
        </w:rPr>
      </w:pPr>
      <w:r>
        <w:rPr>
          <w:rFonts w:ascii="Times New Roman" w:cs="Times New Roman" w:eastAsia="Times New Roman" w:hAnsi="Times New Roman"/>
          <w:sz w:val="16"/>
          <w:szCs w:val="16"/>
          <w:color w:val="auto"/>
        </w:rPr>
        <w:t>We are an “emerging growth company” and a “smaller reporting company” as such terms are defined under federal securities laws, and, as such have elected to take advantage of certain reduced public company reporting requirements for this prospectus and may elect to do so in future filings.</w:t>
      </w:r>
    </w:p>
    <w:p>
      <w:pPr>
        <w:spacing w:after="0" w:line="96" w:lineRule="exact"/>
        <w:rPr>
          <w:sz w:val="20"/>
          <w:szCs w:val="20"/>
          <w:color w:val="auto"/>
        </w:rPr>
      </w:pPr>
    </w:p>
    <w:p>
      <w:pPr>
        <w:jc w:val="both"/>
        <w:ind w:left="460" w:right="459" w:firstLine="432"/>
        <w:spacing w:after="0" w:line="281" w:lineRule="auto"/>
        <w:rPr>
          <w:sz w:val="20"/>
          <w:szCs w:val="20"/>
          <w:color w:val="auto"/>
        </w:rPr>
      </w:pPr>
      <w:r>
        <w:rPr>
          <w:rFonts w:ascii="Times New Roman" w:cs="Times New Roman" w:eastAsia="Times New Roman" w:hAnsi="Times New Roman"/>
          <w:sz w:val="16"/>
          <w:szCs w:val="16"/>
          <w:color w:val="auto"/>
        </w:rPr>
        <w:t>Our Class A Shares and Warrants are listed on The Nasdaq Global Market under the symbols “SOUN” and “SOUNW,” respectively. On May 13, 2022, the last reported sales price of the Class A Common Stock was $6.79 per share and the last reported sales price of our Warrants was $0.52 per warrant.</w:t>
      </w:r>
    </w:p>
    <w:p>
      <w:pPr>
        <w:spacing w:after="0" w:line="110" w:lineRule="exact"/>
        <w:rPr>
          <w:sz w:val="20"/>
          <w:szCs w:val="20"/>
          <w:color w:val="auto"/>
        </w:rPr>
      </w:pPr>
    </w:p>
    <w:p>
      <w:pPr>
        <w:jc w:val="both"/>
        <w:ind w:left="460" w:right="479" w:firstLine="432"/>
        <w:spacing w:after="0" w:line="281" w:lineRule="auto"/>
        <w:rPr>
          <w:sz w:val="20"/>
          <w:szCs w:val="20"/>
          <w:color w:val="auto"/>
        </w:rPr>
      </w:pPr>
      <w:r>
        <w:rPr>
          <w:rFonts w:ascii="Times New Roman" w:cs="Times New Roman" w:eastAsia="Times New Roman" w:hAnsi="Times New Roman"/>
          <w:sz w:val="16"/>
          <w:szCs w:val="16"/>
          <w:color w:val="auto"/>
        </w:rPr>
        <w:t>We may amend or supplement this prospectus from time to time by filing amendments or supplements as required. You should read this entire prospectus and any amendments or supplements carefully before you make your investment decision.</w:t>
      </w:r>
    </w:p>
    <w:p>
      <w:pPr>
        <w:sectPr>
          <w:pgSz w:w="11900" w:h="16838" w:orient="portrait"/>
          <w:cols w:equalWidth="0" w:num="1">
            <w:col w:w="9019"/>
          </w:cols>
          <w:pgMar w:left="1440" w:top="270" w:right="1440" w:bottom="0" w:gutter="0" w:footer="0" w:header="0"/>
        </w:sectPr>
      </w:pPr>
    </w:p>
    <w:bookmarkStart w:id="2" w:name="page3"/>
    <w:bookmarkEnd w:id="2"/>
    <w:p>
      <w:pPr>
        <w:jc w:val="both"/>
        <w:ind w:left="460" w:right="479" w:firstLine="432"/>
        <w:spacing w:after="0" w:line="301" w:lineRule="auto"/>
        <w:rPr>
          <w:sz w:val="20"/>
          <w:szCs w:val="20"/>
          <w:color w:val="auto"/>
        </w:rPr>
      </w:pPr>
      <w:r>
        <w:rPr>
          <w:rFonts w:ascii="Times New Roman" w:cs="Times New Roman" w:eastAsia="Times New Roman" w:hAnsi="Times New Roman"/>
          <w:sz w:val="16"/>
          <w:szCs w:val="16"/>
          <w:b w:val="1"/>
          <w:bCs w:val="1"/>
          <w:color w:val="auto"/>
        </w:rPr>
        <w:t>Investing in our securities involves a high degree of risk. Please read “Risk Factors” beginning on page 12 of this prospectus.</w:t>
      </w:r>
    </w:p>
    <w:p>
      <w:pPr>
        <w:spacing w:after="0" w:line="10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840" w:type="dxa"/>
            <w:vAlign w:val="bottom"/>
          </w:tcPr>
          <w:p>
            <w:pPr>
              <w:ind w:left="2600"/>
              <w:spacing w:after="0"/>
              <w:rPr>
                <w:sz w:val="20"/>
                <w:szCs w:val="20"/>
                <w:color w:val="auto"/>
              </w:rPr>
            </w:pPr>
            <w:r>
              <w:rPr>
                <w:rFonts w:ascii="Times New Roman" w:cs="Times New Roman" w:eastAsia="Times New Roman" w:hAnsi="Times New Roman"/>
                <w:sz w:val="16"/>
                <w:szCs w:val="16"/>
                <w:b w:val="1"/>
                <w:bCs w:val="1"/>
                <w:color w:val="auto"/>
              </w:rPr>
              <w:t>The date of this prospectus is</w:t>
            </w:r>
          </w:p>
        </w:tc>
        <w:tc>
          <w:tcPr>
            <w:tcW w:w="3260" w:type="dxa"/>
            <w:vAlign w:val="bottom"/>
          </w:tcPr>
          <w:p>
            <w:pPr>
              <w:jc w:val="right"/>
              <w:ind w:right="2519"/>
              <w:spacing w:after="0"/>
              <w:rPr>
                <w:sz w:val="20"/>
                <w:szCs w:val="20"/>
                <w:color w:val="auto"/>
              </w:rPr>
            </w:pPr>
            <w:r>
              <w:rPr>
                <w:rFonts w:ascii="Times New Roman" w:cs="Times New Roman" w:eastAsia="Times New Roman" w:hAnsi="Times New Roman"/>
                <w:sz w:val="16"/>
                <w:szCs w:val="16"/>
                <w:b w:val="1"/>
                <w:bCs w:val="1"/>
                <w:color w:val="auto"/>
              </w:rPr>
              <w:t>, 2022</w:t>
            </w:r>
          </w:p>
        </w:tc>
      </w:tr>
      <w:tr>
        <w:trPr>
          <w:trHeight w:val="411"/>
        </w:trPr>
        <w:tc>
          <w:tcPr>
            <w:tcW w:w="48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4" w:right="1440" w:bottom="1440" w:gutter="0" w:footer="0" w:header="0"/>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7"/>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5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29"/>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ABOUT THIS PROSPECTUS</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MARKET AND INDUSTRY DATA</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4</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5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PROSPECTUS SUMMARY</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7</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DETERMINATION OF OFFERING PRICE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MARKET INFORMATION FOR CLASS A STOCK AND DIVIDEND POLICY</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5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6"/>
        </w:trPr>
        <w:tc>
          <w:tcPr>
            <w:tcW w:w="6680" w:type="dxa"/>
            <w:vAlign w:val="bottom"/>
            <w:tcBorders>
              <w:bottom w:val="single" w:sz="8" w:color="0000EE"/>
            </w:tcBorders>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w:t>
            </w:r>
          </w:p>
        </w:tc>
        <w:tc>
          <w:tcPr>
            <w:tcW w:w="600" w:type="dxa"/>
            <w:vAlign w:val="bottom"/>
            <w:tcBorders>
              <w:bottom w:val="single" w:sz="8" w:color="CCEEFF"/>
            </w:tcBorders>
            <w:gridSpan w:val="2"/>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2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RESULTS OF OPERATIONS OF ATSP</w:t>
            </w:r>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6"/>
        </w:trPr>
        <w:tc>
          <w:tcPr>
            <w:tcW w:w="6680" w:type="dxa"/>
            <w:vAlign w:val="bottom"/>
            <w:tcBorders>
              <w:bottom w:val="single" w:sz="8" w:color="0000EE"/>
            </w:tcBorders>
            <w:gridSpan w:val="27"/>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w:t>
            </w:r>
          </w:p>
        </w:tc>
        <w:tc>
          <w:tcPr>
            <w:tcW w:w="60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RESULTS OF OPERATIONS OF SOUNDHOUND</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42</w:t>
            </w:r>
          </w:p>
        </w:tc>
      </w:tr>
      <w:tr>
        <w:trPr>
          <w:trHeight w:val="61"/>
        </w:trPr>
        <w:tc>
          <w:tcPr>
            <w:tcW w:w="18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BUSINESS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MANAGEMENT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74</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EXECUTIVE COMPENSATION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DIRECTOR COMPENSATION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85</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EXECUTIVE COMPENSATION ARRANGEMENTS — POST-CLOSING ARRANGEMENTS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5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95</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5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PRINCIPAL STOCKHOLDERS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SELLING SECURITYHOLDERS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102</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SECURITIES ACT RESTRICTIONS ON RESALE OF OUR SECURITIES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5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CERTAIN UNITED STATES FEDERAL INCOME TAX CONSIDERATIONS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5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PLAN OF DISTRIBUTION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118</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2"/>
        </w:trPr>
        <w:tc>
          <w:tcPr>
            <w:tcW w:w="728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121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121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3040" w:type="dxa"/>
            <w:vAlign w:val="bottom"/>
            <w:tcBorders>
              <w:bottom w:val="single" w:sz="8" w:color="0000EE"/>
            </w:tcBorders>
            <w:gridSpan w:val="17"/>
          </w:tcPr>
          <w:p>
            <w:pPr>
              <w:spacing w:after="0" w:line="202" w:lineRule="exact"/>
              <w:rPr>
                <w:sz w:val="20"/>
                <w:szCs w:val="20"/>
                <w:color w:val="auto"/>
              </w:rPr>
            </w:pPr>
            <w:r>
              <w:rPr>
                <w:rFonts w:ascii="Times New Roman" w:cs="Times New Roman" w:eastAsia="Times New Roman" w:hAnsi="Times New Roman"/>
                <w:sz w:val="18"/>
                <w:szCs w:val="18"/>
                <w:color w:val="0000EE"/>
                <w:w w:val="98"/>
              </w:rPr>
              <w:t>INDEX TO FINANCIAL STATEMENTS</w:t>
            </w:r>
          </w:p>
        </w:tc>
        <w:tc>
          <w:tcPr>
            <w:tcW w:w="4240" w:type="dxa"/>
            <w:vAlign w:val="bottom"/>
            <w:gridSpan w:val="12"/>
          </w:tcPr>
          <w:p>
            <w:pPr>
              <w:spacing w:after="0"/>
              <w:rPr>
                <w:sz w:val="17"/>
                <w:szCs w:val="17"/>
                <w:color w:val="auto"/>
              </w:rPr>
            </w:pP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F-1</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Securities and Exchange Commission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shares of Class A Common Stock issuable upon exercise of certain warrants as provided in the Warrant Agreement (as defined below). We will receive proceeds from any exercise of the Warrants for cash.</w:t>
      </w:r>
    </w:p>
    <w:p>
      <w:pPr>
        <w:spacing w:after="0" w:line="121"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any of the Selling Securityholders takes responsibility for, nor can we or they provide any assurance as to the reliability of, any other information that others may give you. Neither we nor the Selling Securityholders will make an offer to sell these securities in any jurisdiction where the offer or sale is not permitted.</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t>
      </w:r>
      <w:r>
        <w:rPr>
          <w:rFonts w:ascii="Times New Roman" w:cs="Times New Roman" w:eastAsia="Times New Roman" w:hAnsi="Times New Roman"/>
          <w:sz w:val="18"/>
          <w:szCs w:val="18"/>
          <w:i w:val="1"/>
          <w:iCs w:val="1"/>
          <w:color w:val="auto"/>
        </w:rPr>
        <w:t>Where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You Can Find More Information.”</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either we or the Selling Securityholders will issue, offer or sell, as applicable, any of the securities. The Selling Securityholders may offer, sell or distribute all or a portion of the securities hereby registered publicly or through private transactions at prevailing market prices or at negotiated prices. We will not receive any of the proceeds from such sales of the securities hereunder, except with respect to amounts received by us upon the exercise of the Warrants. We will bear all costs, expenses and fees in connection with the registration of these securities, including with regard to compliance with state securities or “blue sky” laws. The Selling Securityholders will bear all commissions and discounts, if any, attributable to their sale of Shares or Warrants. See “Plan of Distribution” beginning on page 118 of this prospectus.</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Neither the delivery of this prospectus nor any distribution of Shares or Warrants pursuant to this prospectus shall, under any circumstances, create any implication that there has been no change in the information set forth or incorporated by reference into this prospectus or in our affairs since the date of this prospectus. Our business, financial condition, results of operations and prospects may have changed since such date.</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the terms “SoundHound AI,” “Company,” “we,” “us” and “our” refer to SoundHound AI, Inc., a Delaware corporation, and its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Unless otherwise stated in this prospectus, the terms, “we,” “us,” “our” “the Company” or “SoundHound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AI” refer to , a Delaware corporation. Further, in this document:</w:t>
      </w:r>
    </w:p>
    <w:p>
      <w:pPr>
        <w:spacing w:after="0" w:line="139" w:lineRule="exact"/>
        <w:rPr>
          <w:sz w:val="20"/>
          <w:szCs w:val="20"/>
          <w:color w:val="auto"/>
        </w:rPr>
      </w:pPr>
    </w:p>
    <w:p>
      <w:pPr>
        <w:jc w:val="both"/>
        <w:ind w:left="1320" w:right="459" w:hanging="434"/>
        <w:spacing w:after="0" w:line="266" w:lineRule="auto"/>
        <w:tabs>
          <w:tab w:leader="none" w:pos="145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Charter” means the Second Amended &amp; Restated Certificate of Incorporation of the Company, which took effect upon the filing thereof in the State of Delaware. Among other things, pursuant to the Amended Charter, ATSP changed its name to SoundHound AI, Inc.</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1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Bylaws” means the Amended &amp; Restated Bylaws of the Company, which took effect upon the effectiveness of the Amended Charter.</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52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“A&amp;R Registration Rights Agreement” means the Amended and Restated Registration Rights Agreement entered into prior to the Closing by the Company, certain stockholders of the Company and certain stockholders of SoundHound, Inc. who became affiliates of the Company immediately after the Closing.</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00" w:hanging="41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means the board of directors of the Company.</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means the merger contemplated by the Merger Agreement.</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or “Class A Shares” mean the Class A common stock, $0.0001 par value per share, of the Company.</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3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Common Stock” or “Class B Shares” mean the Class B common stock, $0.0001 par value per share, of the Company, issued at the closing to the SoundHound Founders, having the rights and terms set forth in the Amended Charter, which are generally the same as the rights and terms as shares of Class A Common Stock, except that each share of Class B Common Stock is entitled to ten votes per share and except that shares of Class B Common Stock may be converted into, or under some circumstances shall be mandatorily converted into, shares of Class A Common Stock.</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Provisions” means the provisions contained in the Amended Charter which authorize the issuance of Class B Common Stock and set forth the rights and terms applicable to shares of Class B Common Stock.</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means the consummation of the Business Combination.</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Date” means April 26, 2022, the date of the Closing.</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Company” means the Company and its subsidiaries (including SoundHound), after the Business Combination.</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or “common stock” means the shares of common stock, par value $0.0001 per share, of ATSP prior to the Closing, and the Class A Common Stock and Class B Common Stock of the Company following the Closing, as applicable.</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“Continental” means Continental Stock Transfer &amp; Trust Company, our transfer agent and warrant agent.</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9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 shares” means the 3,325,000 outstanding shares of common stock initially purchased by the Sponsor for an aggregate purchase price of $25,000 on January 4, 2021.</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means accounting principles generally accepted in the United States of America.</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Stockholders” means the Sponsor and other initial holders of common stock and Private Units, excluding the holders of the Representative Shares.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“IPO” refers to the initial public offering of 13,300,000 Units of the Company consummated in March 2021, inclusive of the partial exercise of the over-allotment option.</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means the United States Internal Revenue Service.</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Agreement” means that certain Merger Agreement, dated as of November 15, 2021, by and among ATSP, Merger Sub and SoundHound, as it may be amended or supplemented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means ATSPC Merger Sub, Inc., a Delaware corporation, which was, prior to the Closing, a wholly-owned subsidiary of the Company.</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Documents” means organizational or governing documents of an applicable entity.</w:t>
      </w:r>
    </w:p>
    <w:p>
      <w:pPr>
        <w:spacing w:after="0" w:line="14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 Investment” means the issuance of 11.3 million shares of Class A Common Stock to certain investors for an aggregate purchase price of $113.0 million in a private placement immediately prior to the Closing of the Business Combination.</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7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“Placement Warrants” means 175,750 Warrants sold in private placement consummated concurrently with the IPO as well as 33,250 Warrants held by EarlyBirdCapital or its transferees or designees.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43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Units” mean the 416,000 Units issued to the Sponsor and EarlyBirdCapital in a private placement concurrently with the IPO.</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stockholders” means holders of Public Subunits.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Subunits” means Subunits sold in the IPO as part of the Public Units, whether they were purchased in the IPO or thereafter in the open market.</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Units” means Units sold in the IPO, whether they were purchased in the IPO or thereafter in the open market.</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7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Warrants” means Warrants sold as part of the securities in the IPO, whether they were purchased in the IPO or thereafter in the open market.</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“Representative” or “EarlyBirdCapital” means EarlyBirdCapital, Inc., the representative of the underwriters in the IPO.</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“Representative Shares” means the 420,000 shares of common stock issued to EarlyBirdCapital, the representative of the underwriters in the IPO.</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means the U.S. Securities and Exchange Commission.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means the Securities Act of 1933, as amended.</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means SoundHound, Inc., a Delaware corporation, which is a wholly owned subsidiary of the Company.</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Board” means the board of directors of SoundHound.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Founders” means Dr. Keyvan Mohajer, Dr. Majid Emami and James Hom.</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means Archimedes Tech SPAC Sponsors LLC., a Delaware limited liability company.</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6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Agreements” means the Subscription Agreements with investors (the “PIPE Investors”) subscribing to participate in the PIPE Investment.</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“Subunits” means the subunits issued as part of the Units in the IPO, each consisting of one share of common stock and one-quarter of one redeemable Warrant.</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Account” means the Company’s trust account maintained by Continental prior to the Closing.</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means the units of the Company, each consisting of one Subunit and one-quarter of one redeemable Warrant.</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Agreement” refers to that certain Amended and Restated Warrant Agreement, dated as of April 26, 2022, between ATSP and Continental Stock Transfer &amp; Trust Company, as warrant agent.</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refer to the Placement Warrants and the Public Warrants, in each case redeemable and entitling the holder thereof to purchase one share of Class A Common Stock at a price of $11.50 per share (subject to adjustment).</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Shares” refer to the Class A Shares issuable upon exercise of the Placement Warrants and the Public Warrants,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 w:name="page8"/>
    <w:bookmarkEnd w:id="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This prospectus includes industry position and industry data and forecasts that SoundHound AI obtained or derived from internal company reports, independent third party publications and other industry data. Some data are also based on good faith estimates, which are derived from internal company analyses or review of internal company reports as well as the independent sources referred to above.</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Although SoundHound AI believes that the information on which it has based these estimates of industry position and industry data are generally reliable, the accuracy and completeness of this information is not guaranteed and SoundHound AI has not independently verified any of the data from third-party sources nor have they ascertained the underlying economic assumptions relied upon therein. Statements as to industry position are based on market data currently available. While SoundHound AI is not aware of any misstatements regarding the industry data presented herein, these estimates involve risks and uncertainties and are subject to change based on various factors, including those discussed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 w:name="page9"/>
    <w:bookmarkEnd w:id="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contains forward-looking statements within the meaning of Section 27A of the Securities Act of 1933, as amended (the “Securities Act”), and Section 21E of the Securities Exchange Act of 1934, as amended (the “Exchange Act”), that are forward-looking and as such are not historical facts. These forward-looking statements include, without limitation, statements regarding the benefits of the Business Combination, future financial performance, business strategies, expansion plans, future operations, future operating results, estimated revenues, losses, projected costs, prospects, plans and objectives of management. These forward-looking statements are based on our management’s current expectations, estimates, projections and beliefs, as well as a number of assumptions concerning future events, and are not guarantees of performance. Such statements can be identified by the fact that they do not relate strictly to historical or current facts. When used in this prospectus and any accompanying prospectus supplement, words such as “outlook,” “believes,” “expects,” “potential,” “continues,” “may,” “will,” “should,” “would,” “could,” “seeks,” “approximately,” “predicts,” “intends,” “plans,” “estimates,” “anticipates,” “projects” or the negative version of these words or other comparable words or phrases, may identify forward-looking statements, but the absence of these words does not mean that a statement is not forward-looking. The following factors among others, could cause actual results and future events to differ materially from those set forth or contemplated in the forward-looking statements:</w:t>
      </w:r>
    </w:p>
    <w:p>
      <w:pPr>
        <w:spacing w:after="0" w:line="127" w:lineRule="exact"/>
        <w:rPr>
          <w:sz w:val="20"/>
          <w:szCs w:val="20"/>
          <w:color w:val="auto"/>
        </w:rPr>
      </w:pPr>
    </w:p>
    <w:p>
      <w:pPr>
        <w:ind w:left="1300" w:hanging="41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SoundHound AI Class A Common Stock on Nasdaq;</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recognize the anticipated benefits of the Business Combination, which may be affected by, among other things, competition and the ability of SoundHound AI to manage its growth;</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SoundHound AI to protect intellectual property and trade secrets;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extensive and evolving government regulations that impact the Company’s operations and business;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or maintain a qualified workforce;</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7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product service failures that could lead SoundHound AI customers to use competitors’ services;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and/or other regulatory or legal proceedings;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COVID-19 pandemic or any similar public health developments on SoundHound AI’s business;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SoundHound AI may be adversely affected by other economic, business, and/or competitive factors; and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under the section titled “Risk Factors” of this prospectus.</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Moreover, we operate in a very competitive and rapidly changing environment. New risks and uncertainties emerge from time to time and it is not possible for us to predict all such risk factors, nor can we assess the effect of all such risk factors on our business or the extent to which any factor or combination of factors may cause actual results to differ materially from those contained in any forward-looking statements. Should one or more of these risks or uncertainties materialize, or should any of the assumptions prove incorrect, actual results may vary in material respects from those projected in these forward-looking statements.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 w:name="page10"/>
    <w:bookmarkEnd w:id="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forward-looking statements made by us in this prospectus and any accompanying prospectus supplement speak only as of the date of this prospectus and the accompanying prospectus supplement. Except to the extent required under the federal securities laws and rules and regulations of the SEC, we disclaim any obligation to update any forward-looking statement to reflect events or circumstances after the date on which the statement is made or to reflect the occurrence of unanticipated events. In light of these risks and uncertainties, there is no assurance that the events or results suggested by the forward-looking statements will in fact occur, and you should not place undue reliance on these forward-looking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 w:name="page11"/>
    <w:bookmarkEnd w:id="10"/>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24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852487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and does not contain all of the information that you should consider before investing in our common stock. This summary is qualified in its entirety by, and should be read in conjunction with, the more detailed information appearing elsewhere in this prospectus. You should read this entire prospectus carefully, including the information set forth in the sections titled “Risk Factors” and “Management’s Discussion and Analysis of Financial Condition and Results of Operations” and our financial statements and related notes thereto included elsewhere in this prospectus, before making an investment decision. Unless the context requires otherwise, references in this prospectus to “we,” “us,” “our,” “our company,” the “Company” or similar terminology refer to SoundHound AI, Inc..</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62"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SoundHound AI’s mission is to voice-enable the world with conversational intelligence through an independent AI platform enabling humans to interact with products and services like they interact with each other — by speaking naturally.</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48"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SoundHound AI is a leading innovator of conversational intelligence, offering an independent Voice AI platform that enables businesses across industries to deliver high quality conversational experiences to their customers. Built on proprietary Speech-to-Meaning</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and Deep Meaning Understanding</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technologies developed over the past 16 years, our advanced Voice AI platform provides exceptional speed and accuracy.</w:t>
      </w:r>
    </w:p>
    <w:p>
      <w:pPr>
        <w:spacing w:after="0" w:line="119"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We envision a future where people interact with products on a daily basis through voice-enabled AI. Our technology provides a conversational voice-enabled user interface, allowing a more natural and more productive way of interacting with the products and services we use. SoundHound AI is also committed to enabling product creators to design, customize, differentiate, innovate, and monetize the voice interfaces to their own products and services, as opposed to outsourcing to a third-party assistant.</w:t>
      </w:r>
    </w:p>
    <w:p>
      <w:pPr>
        <w:spacing w:after="0" w:line="116"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More often than not, we currently interact with voice-enabled third-party assistants using halted speech patterns, consciously dividing queries into limited, broken, and unnatural instructions. By contrast, using SoundHound AI,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“internet of things” (“IoT”) devices. Additionally, SoundHound AI’s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07"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SoundHound AI’s technology is currently being used globally by customers that include Hyundai, Mercedes-Benz, Pandora, Deutsche Telekom, Snap, VIZIO, KIA, and Stellantis. We have seen significant inflection in customer adoption of our technology, as measured through monthly queries on our Houndify platform, which doubled over the first six months of 2021 and are now in excess of 100 million queries per month. Our current customers, which in many cases have contractual obligations that average multiple years (often between three to five years), span multiple industries and geographies, and together have an estimated combined reach of over two billion end users. We consider our long-term customers our “partners” and, by growing these strategic relationships, SoundHound AI’s revenues have grown by more than 50% year over year each fiscal year over the past three years. The cumulative value of contracts with our existing partners has already exceeded $100M and based on the strength of our existing customer base and strategic partnerships, we expect to be able achieve annual gross revenues in excess of $1 billion within the next five years as we expand with existing customers, scale with new products, customers, and verticals.</w:t>
      </w:r>
    </w:p>
    <w:p>
      <w:pPr>
        <w:spacing w:after="0" w:line="190" w:lineRule="exact"/>
        <w:rPr>
          <w:sz w:val="20"/>
          <w:szCs w:val="20"/>
          <w:color w:val="auto"/>
        </w:rPr>
      </w:pPr>
    </w:p>
    <w:p>
      <w:pPr>
        <w:jc w:val="both"/>
        <w:ind w:left="540" w:right="559" w:firstLine="432"/>
        <w:spacing w:after="0" w:line="251" w:lineRule="auto"/>
        <w:rPr>
          <w:sz w:val="20"/>
          <w:szCs w:val="20"/>
          <w:color w:val="auto"/>
        </w:rPr>
      </w:pPr>
      <w:r>
        <w:rPr>
          <w:rFonts w:ascii="Times New Roman" w:cs="Times New Roman" w:eastAsia="Times New Roman" w:hAnsi="Times New Roman"/>
          <w:sz w:val="18"/>
          <w:szCs w:val="18"/>
          <w:color w:val="auto"/>
        </w:rPr>
        <w:t>We support our customers by providing them access to Houndify</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 an open-access platform that allows developers to leverage SoundHound AI’s Voice AI technology and a library of over 100 content domains, including commonly used domains for points of interest, weather, flight status, sports, and more. To ensure that our content domains continue to evolve and grow, our platform is built on our breakthrough</w:t>
      </w:r>
    </w:p>
    <w:p>
      <w:pPr>
        <w:spacing w:after="0" w:line="42" w:lineRule="exact"/>
        <w:rPr>
          <w:sz w:val="20"/>
          <w:szCs w:val="20"/>
          <w:color w:val="auto"/>
        </w:rPr>
      </w:pPr>
    </w:p>
    <w:p>
      <w:pPr>
        <w:jc w:val="both"/>
        <w:ind w:left="540" w:right="559"/>
        <w:spacing w:after="0" w:line="252" w:lineRule="auto"/>
        <w:rPr>
          <w:sz w:val="20"/>
          <w:szCs w:val="20"/>
          <w:color w:val="auto"/>
        </w:rPr>
      </w:pPr>
      <w:r>
        <w:rPr>
          <w:rFonts w:ascii="Times New Roman" w:cs="Times New Roman" w:eastAsia="Times New Roman" w:hAnsi="Times New Roman"/>
          <w:sz w:val="18"/>
          <w:szCs w:val="18"/>
          <w:color w:val="auto"/>
        </w:rPr>
        <w:t>Collective AI</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 an architecture for connecting domain knowledge, which encourages collaboration and contribution among developers, is always learning, and is greater than the sum of its parts. This architecture allows us to improve the understanding capability of</w:t>
      </w:r>
    </w:p>
    <w:p>
      <w:pPr>
        <w:sectPr>
          <w:pgSz w:w="11900" w:h="16838" w:orient="portrait"/>
          <w:cols w:equalWidth="0" w:num="1">
            <w:col w:w="9019"/>
          </w:cols>
          <w:pgMar w:left="1440" w:top="270" w:right="1440" w:bottom="1440" w:gutter="0" w:footer="0" w:header="0"/>
          <w:type w:val="continuous"/>
        </w:sect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 w:name="page12"/>
    <w:bookmarkEnd w:id="11"/>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0276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80276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our platform super-linearly and even exponentially based on linear contributions because of how the domains interact with one another. They can be inter-connected and can learn from each other and, as developers contribute to the platform, its understanding capability can grow exponentially.</w:t>
      </w:r>
    </w:p>
    <w:p>
      <w:pPr>
        <w:spacing w:after="0" w:line="108"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Our technology is backed by SoundHound AI’s investments in intellectual property, with over 227 patents granted or pending, spanning multiple fields including speech recognition, natural language, machine learning, monetization, and more. We have achieved this critical momentum in part thanks to a leadership team with deep expertise and proven ability to attract and retain talent.</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148"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The Company was incorporated in Delaware on September 15, 2020 and was formed for the purpose of entering into a merger, share exchange, asset acquisition, stock purchase, recapitalization, reorganization or other similar business combination with one or more businesses or entities. On March 15, 2021, the Company closed its IPO. Following the closing of the IPO and the underwriters’ partial exercise of over-allotment option on March 19, 2021, $133,000,000 from the net proceeds of the sale of the public units in the IPO and the sale of the private units was placed in a trust account maintained by Continental Stock Transfer &amp; Trust Company, acting as trustee.</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16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On November 15, 2021, a Merger Agreement was signed by and among ATSP, ATSPC Merger Sub, Inc. and SoundHound, Inc., which provided for the merger of ATSP Merger Sub, Inc. with and into SoundHound, Inc., with SoundHound, Inc. continuing as the surviving corporation (the “Merger”), as well as the other transactions contemplated by the Merger Agreement (the Merger and such other transactions, the “Business Combination”). On April 26, 2022, the parties consummated the Business Combination, as well as the other transactions contemplated by the Merger Agreement. As a result of the Merger, the registrant owns 100% of the outstanding common stock of SoundHound AI, Inc. In connection with the closing of the Business Combination, the registrant changed its name from “Archimedes Tech SPAC Partners Co.” to “SoundHound AI, Inc.” In connection with the Closing, each share of common stock of ATSP was redesignated as Class A Common Stock.</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62"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JOBS Act. For as long as we remain an emerging growth company, we may take advantage of certain exemptions from various reporting requirements that are applicable to other public companies. These provisions include, but are not limited to:</w:t>
      </w:r>
    </w:p>
    <w:p>
      <w:pPr>
        <w:spacing w:after="0" w:line="95" w:lineRule="exact"/>
        <w:rPr>
          <w:sz w:val="20"/>
          <w:szCs w:val="20"/>
          <w:color w:val="auto"/>
        </w:rPr>
      </w:pPr>
    </w:p>
    <w:p>
      <w:pPr>
        <w:jc w:val="both"/>
        <w:ind w:left="1400" w:right="559" w:hanging="424"/>
        <w:spacing w:after="0" w:line="266" w:lineRule="auto"/>
        <w:tabs>
          <w:tab w:leader="none" w:pos="15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have only two years of audited financial statements and only two years of related selected financial data and management’s discussion and analysis of financial condition and results of operations disclosure;</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4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auditor attestation requirement in the assessment of our internal control over financial reporting pursuant to Section 404 of the Sarbanes-Oxley Act of 2002, as amended, or the Sarbanes-Oxley Act;</w:t>
      </w:r>
    </w:p>
    <w:p>
      <w:pPr>
        <w:spacing w:after="0" w:line="108"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7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executive compensation arrangements in our periodic reports, registration statements and proxy statements; and</w:t>
      </w:r>
    </w:p>
    <w:p>
      <w:pPr>
        <w:spacing w:after="0" w:line="80"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to seek non-binding advisory votes on executive compensation or golden parachute arrangements.</w:t>
      </w:r>
    </w:p>
    <w:p>
      <w:pPr>
        <w:spacing w:after="0" w:line="94" w:lineRule="exact"/>
        <w:rPr>
          <w:sz w:val="20"/>
          <w:szCs w:val="20"/>
          <w:color w:val="auto"/>
        </w:rPr>
      </w:pPr>
    </w:p>
    <w:p>
      <w:pPr>
        <w:jc w:val="both"/>
        <w:ind w:left="540" w:right="559" w:firstLine="432"/>
        <w:spacing w:after="0" w:line="257" w:lineRule="auto"/>
        <w:rPr>
          <w:sz w:val="20"/>
          <w:szCs w:val="20"/>
          <w:color w:val="auto"/>
        </w:rPr>
      </w:pPr>
      <w:r>
        <w:rPr>
          <w:rFonts w:ascii="Times New Roman" w:cs="Times New Roman" w:eastAsia="Times New Roman" w:hAnsi="Times New Roman"/>
          <w:sz w:val="18"/>
          <w:szCs w:val="18"/>
          <w:color w:val="auto"/>
        </w:rPr>
        <w:t>In addition, the JOBS Act permits emerging growth companies to take advantage of an extended transition period to comply with new or revised accounting standards applicable to public companies. We are not choosing to “opt out” of this provision. We will remain an emerging growth company until the earliest of</w:t>
      </w:r>
    </w:p>
    <w:p>
      <w:pPr>
        <w:spacing w:after="0" w:line="1" w:lineRule="exact"/>
        <w:rPr>
          <w:sz w:val="20"/>
          <w:szCs w:val="20"/>
          <w:color w:val="auto"/>
        </w:rPr>
      </w:pPr>
    </w:p>
    <w:p>
      <w:pPr>
        <w:jc w:val="both"/>
        <w:ind w:left="540" w:right="559" w:firstLine="4"/>
        <w:spacing w:after="0" w:line="253" w:lineRule="auto"/>
        <w:tabs>
          <w:tab w:leader="none" w:pos="7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following the fifth anniversary of the completion of our IPO, (ii) the last day of the first fiscal year in which our annual gross revenues exceed $1.07 billion, (iii) the date on which we have, during the immediately preceding three-year period, issued more than $1.0 billion in non-convertible debt securities and (iv) the end of any fiscal year in</w:t>
      </w:r>
    </w:p>
    <w:p>
      <w:pPr>
        <w:sectPr>
          <w:pgSz w:w="11900" w:h="16838" w:orient="portrait"/>
          <w:cols w:equalWidth="0" w:num="1">
            <w:col w:w="9019"/>
          </w:cols>
          <w:pgMar w:left="1440" w:top="270" w:right="1440" w:bottom="1440" w:gutter="0" w:footer="0" w:header="0"/>
          <w:type w:val="continuous"/>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 w:name="page13"/>
    <w:bookmarkEnd w:id="12"/>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01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83019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which the market value of our common stock held by non-affiliates exceeds $700 million as of the end of the second quarter of that fiscal year. We have elected to take advantage of certain of the reduced disclosure obligations in the registration statement of which this prospectus forms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20"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as defined in the Securities Exchange Act of 1934, as amended, or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more than $700 million measured on the last business day of our second fiscal quarter.</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Summary of Risks Related to Our Business</w:t>
      </w:r>
    </w:p>
    <w:p>
      <w:pPr>
        <w:spacing w:after="0" w:line="148"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Our business is subject to a number of risks, including risks that may prevent us from achieving our business objectives or may adversely affect our business, financial condition, results of operations, cash flows and prospects that you should consider before making a decision to invest in our common stock. These risks are discussed more fully in “Risk Factors” beginning on page 12 of this prospectus. These risks include, but are not limited to, the following:</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Risks Related to SoundHound AI’s Business</w:t>
      </w:r>
    </w:p>
    <w:p>
      <w:pPr>
        <w:spacing w:after="0" w:line="162" w:lineRule="exact"/>
        <w:rPr>
          <w:sz w:val="20"/>
          <w:szCs w:val="20"/>
          <w:color w:val="auto"/>
        </w:rPr>
      </w:pPr>
    </w:p>
    <w:p>
      <w:pPr>
        <w:ind w:left="1400" w:right="559" w:hanging="424"/>
        <w:spacing w:after="0" w:line="282" w:lineRule="auto"/>
        <w:tabs>
          <w:tab w:leader="none" w:pos="14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Voice AI market is a relatively new and rapidly changing market, and we may be unable to compete successfully.</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5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SoundHound AI does not maintain a customer base that will generate a recurring stream of revenues, its operating results may be adversely affected.</w:t>
      </w:r>
    </w:p>
    <w:p>
      <w:pPr>
        <w:spacing w:after="0" w:line="80"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SoundHound AI fails to grow its business as anticipated, its revenues and gross margin will be adversely affected.</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4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SoundHound AI does not successfully anticipate market needs, enhance its existing products, execute on delivering quality products and services, or develop new products and services, it may not be able to compete effectively and its ability to generate revenues will suffer.</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6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alleged failure to comply with data privacy laws and regulations could damage SoundHound AI’s reputation, result in government action and have an adverse impact on its operating results.</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and retain key personnel in the future could harm SoundHound AI’s business and negatively affect our ability to successfully grow our business.</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60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AI’s use of open source technology could impose limitations on its ability to commercialize its software.</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5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use of SoundHound AI’s proprietary technology and intellectual property could adversely affect its business and results of operations.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48" w:lineRule="exact"/>
        <w:rPr>
          <w:sz w:val="20"/>
          <w:szCs w:val="20"/>
          <w:color w:val="auto"/>
        </w:rPr>
      </w:pPr>
    </w:p>
    <w:p>
      <w:pPr>
        <w:jc w:val="both"/>
        <w:ind w:left="1400" w:right="559" w:hanging="424"/>
        <w:spacing w:after="0" w:line="266" w:lineRule="auto"/>
        <w:tabs>
          <w:tab w:leader="none" w:pos="149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applicable anti-corruption legislation and other governmental laws and regulations could result in fines, criminal penalties and materially adversely affect its business, financial condition and results of operations.</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6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or worsening of the COVID-19 pandemic, or other similar public health developments, could have an adverse effect on business, results of operations, and financial condition.</w:t>
      </w:r>
    </w:p>
    <w:p>
      <w:pPr>
        <w:sectPr>
          <w:pgSz w:w="11900" w:h="16838" w:orient="portrait"/>
          <w:cols w:equalWidth="0" w:num="1">
            <w:col w:w="9019"/>
          </w:cols>
          <w:pgMar w:left="1440" w:top="270" w:right="1440" w:bottom="1440" w:gutter="0" w:footer="0" w:header="0"/>
          <w:type w:val="continuous"/>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 w:name="page14"/>
    <w:bookmarkEnd w:id="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2764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2764155"/>
                    </a:xfrm>
                    <a:prstGeom prst="rect">
                      <a:avLst/>
                    </a:prstGeom>
                    <a:noFill/>
                  </pic:spPr>
                </pic:pic>
              </a:graphicData>
            </a:graphic>
          </wp:anchor>
        </w:drawing>
      </w:r>
    </w:p>
    <w:p>
      <w:pPr>
        <w:spacing w:after="0" w:line="327" w:lineRule="exact"/>
        <w:rPr>
          <w:sz w:val="20"/>
          <w:szCs w:val="20"/>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has limited experience in operating a public company.</w:t>
      </w:r>
    </w:p>
    <w:p>
      <w:pPr>
        <w:spacing w:after="0" w:line="157"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55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an uncertain regulatory environment and may from time to time be subject to governmental investigations or other inquiries by state, federal and local governmental authorities.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148" w:lineRule="exact"/>
        <w:rPr>
          <w:sz w:val="20"/>
          <w:szCs w:val="20"/>
          <w:color w:val="auto"/>
        </w:rPr>
      </w:pPr>
    </w:p>
    <w:p>
      <w:pPr>
        <w:ind w:left="1400" w:right="559" w:hanging="424"/>
        <w:spacing w:after="0" w:line="282" w:lineRule="auto"/>
        <w:tabs>
          <w:tab w:leader="none" w:pos="141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securities is likely to be highly volatile, and you may lose some or all of your investment.</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share price could subject us to securities class action litigation.</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We were incorporated in Delaware on September 15, 2021 under the name Archimedes Tech SPAC Partners Co. Our principal executive offices are located at 5400 Betsy Ross Drive, Santa Clara, CA 95054, and our telephone number is (408) 441-3200. Our corporate website address is </w:t>
      </w:r>
      <w:r>
        <w:rPr>
          <w:rFonts w:ascii="Times New Roman" w:cs="Times New Roman" w:eastAsia="Times New Roman" w:hAnsi="Times New Roman"/>
          <w:sz w:val="18"/>
          <w:szCs w:val="18"/>
          <w:i w:val="1"/>
          <w:iCs w:val="1"/>
          <w:color w:val="auto"/>
        </w:rPr>
        <w:t>www.soundhound.com</w:t>
      </w:r>
      <w:r>
        <w:rPr>
          <w:rFonts w:ascii="Times New Roman" w:cs="Times New Roman" w:eastAsia="Times New Roman" w:hAnsi="Times New Roman"/>
          <w:sz w:val="18"/>
          <w:szCs w:val="18"/>
          <w:color w:val="auto"/>
        </w:rPr>
        <w:t>. The information contained on or accessible through our website is not a part of this prospectus.</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 w:name="page15"/>
    <w:bookmarkEnd w:id="14"/>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867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886777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2" w:lineRule="exact"/>
        <w:rPr>
          <w:sz w:val="20"/>
          <w:szCs w:val="20"/>
          <w:color w:val="auto"/>
        </w:rPr>
      </w:pPr>
    </w:p>
    <w:p>
      <w:pPr>
        <w:ind w:left="540"/>
        <w:spacing w:after="0"/>
        <w:tabs>
          <w:tab w:leader="none" w:pos="3760" w:val="left"/>
        </w:tabs>
        <w:rPr>
          <w:sz w:val="20"/>
          <w:szCs w:val="20"/>
          <w:color w:val="auto"/>
        </w:rPr>
      </w:pPr>
      <w:r>
        <w:rPr>
          <w:rFonts w:ascii="Times New Roman" w:cs="Times New Roman" w:eastAsia="Times New Roman" w:hAnsi="Times New Roman"/>
          <w:sz w:val="18"/>
          <w:szCs w:val="18"/>
          <w:color w:val="auto"/>
        </w:rPr>
        <w:t>Issuer</w:t>
      </w:r>
      <w:r>
        <w:rPr>
          <w:sz w:val="20"/>
          <w:szCs w:val="20"/>
          <w:color w:val="auto"/>
        </w:rPr>
        <w:tab/>
      </w:r>
      <w:r>
        <w:rPr>
          <w:rFonts w:ascii="Times New Roman" w:cs="Times New Roman" w:eastAsia="Times New Roman" w:hAnsi="Times New Roman"/>
          <w:sz w:val="18"/>
          <w:szCs w:val="18"/>
          <w:color w:val="auto"/>
        </w:rPr>
        <w:t>SoundHound AI, Inc.</w:t>
      </w:r>
    </w:p>
    <w:p>
      <w:pPr>
        <w:spacing w:after="0" w:line="20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Resale of Class A Common Stock</w:t>
      </w:r>
    </w:p>
    <w:p>
      <w:pPr>
        <w:spacing w:after="0" w:line="2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Class A Common Stock Offered by the</w:t>
      </w:r>
    </w:p>
    <w:p>
      <w:pPr>
        <w:spacing w:after="0" w:line="27" w:lineRule="exact"/>
        <w:rPr>
          <w:sz w:val="20"/>
          <w:szCs w:val="20"/>
          <w:color w:val="auto"/>
        </w:rPr>
      </w:pPr>
    </w:p>
    <w:p>
      <w:pPr>
        <w:ind w:left="720"/>
        <w:spacing w:after="0"/>
        <w:tabs>
          <w:tab w:leader="none" w:pos="3760" w:val="left"/>
        </w:tabs>
        <w:rPr>
          <w:sz w:val="20"/>
          <w:szCs w:val="20"/>
          <w:color w:val="auto"/>
        </w:rPr>
      </w:pPr>
      <w:r>
        <w:rPr>
          <w:rFonts w:ascii="Times New Roman" w:cs="Times New Roman" w:eastAsia="Times New Roman" w:hAnsi="Times New Roman"/>
          <w:sz w:val="18"/>
          <w:szCs w:val="18"/>
          <w:color w:val="auto"/>
        </w:rPr>
        <w:t>Selling Securityholders</w:t>
      </w:r>
      <w:r>
        <w:rPr>
          <w:sz w:val="20"/>
          <w:szCs w:val="20"/>
          <w:color w:val="auto"/>
        </w:rPr>
        <w:tab/>
      </w:r>
      <w:r>
        <w:rPr>
          <w:rFonts w:ascii="Times New Roman" w:cs="Times New Roman" w:eastAsia="Times New Roman" w:hAnsi="Times New Roman"/>
          <w:sz w:val="17"/>
          <w:szCs w:val="17"/>
          <w:color w:val="auto"/>
        </w:rPr>
        <w:t>Up to 56,834,904 shares.</w:t>
      </w:r>
    </w:p>
    <w:p>
      <w:pPr>
        <w:spacing w:after="0" w:line="180" w:lineRule="exact"/>
        <w:rPr>
          <w:sz w:val="20"/>
          <w:szCs w:val="20"/>
          <w:color w:val="auto"/>
        </w:rPr>
      </w:pPr>
    </w:p>
    <w:p>
      <w:pPr>
        <w:ind w:left="540"/>
        <w:spacing w:after="0"/>
        <w:tabs>
          <w:tab w:leader="none" w:pos="376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8"/>
          <w:szCs w:val="18"/>
          <w:color w:val="auto"/>
        </w:rPr>
        <w:t>We will not receive any proceeds from the sale of the Class A</w:t>
      </w:r>
    </w:p>
    <w:p>
      <w:pPr>
        <w:spacing w:after="0" w:line="2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Common Stock by the Selling Securityholders</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Issuance of Class A Common Stock</w:t>
      </w:r>
    </w:p>
    <w:p>
      <w:pPr>
        <w:sectPr>
          <w:pgSz w:w="11900" w:h="16838" w:orient="portrait"/>
          <w:cols w:equalWidth="0" w:num="1">
            <w:col w:w="9019"/>
          </w:cols>
          <w:pgMar w:left="1440" w:top="270" w:right="1440" w:bottom="1440" w:gutter="0" w:footer="0" w:header="0"/>
          <w:type w:val="continuous"/>
        </w:sectPr>
      </w:pPr>
    </w:p>
    <w:p>
      <w:pPr>
        <w:spacing w:after="0" w:line="202" w:lineRule="exact"/>
        <w:rPr>
          <w:sz w:val="20"/>
          <w:szCs w:val="20"/>
          <w:color w:val="auto"/>
        </w:rPr>
      </w:pPr>
    </w:p>
    <w:p>
      <w:pPr>
        <w:ind w:left="720" w:hanging="179"/>
        <w:spacing w:after="0" w:line="282" w:lineRule="auto"/>
        <w:rPr>
          <w:sz w:val="20"/>
          <w:szCs w:val="20"/>
          <w:color w:val="auto"/>
        </w:rPr>
      </w:pPr>
      <w:r>
        <w:rPr>
          <w:rFonts w:ascii="Times New Roman" w:cs="Times New Roman" w:eastAsia="Times New Roman" w:hAnsi="Times New Roman"/>
          <w:sz w:val="18"/>
          <w:szCs w:val="18"/>
          <w:color w:val="auto"/>
        </w:rPr>
        <w:t>Shares of Class A Common Stock Offered by Us</w:t>
      </w:r>
    </w:p>
    <w:p>
      <w:pPr>
        <w:spacing w:after="0" w:line="3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Exercise Price of the Warrants</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20" w:right="60" w:hanging="179"/>
        <w:spacing w:after="0" w:line="266" w:lineRule="auto"/>
        <w:rPr>
          <w:sz w:val="20"/>
          <w:szCs w:val="20"/>
          <w:color w:val="auto"/>
        </w:rPr>
      </w:pPr>
      <w:r>
        <w:rPr>
          <w:rFonts w:ascii="Times New Roman" w:cs="Times New Roman" w:eastAsia="Times New Roman" w:hAnsi="Times New Roman"/>
          <w:sz w:val="18"/>
          <w:szCs w:val="18"/>
          <w:color w:val="auto"/>
        </w:rPr>
        <w:t>Class A Common Stock Issuable on Conversion of Class B Common Stock Held by Certain Affiliates</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Resale of Warrants</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jc w:val="both"/>
        <w:ind w:right="579"/>
        <w:spacing w:after="0" w:line="282" w:lineRule="auto"/>
        <w:rPr>
          <w:sz w:val="20"/>
          <w:szCs w:val="20"/>
          <w:color w:val="auto"/>
        </w:rPr>
      </w:pPr>
      <w:r>
        <w:rPr>
          <w:rFonts w:ascii="Times New Roman" w:cs="Times New Roman" w:eastAsia="Times New Roman" w:hAnsi="Times New Roman"/>
          <w:sz w:val="18"/>
          <w:szCs w:val="18"/>
          <w:color w:val="auto"/>
        </w:rPr>
        <w:t>Up to 6,858,000 shares of Class A Common Stock upon the exercise of outstanding Warrants.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$11.50 per warrant, subject to adjustment</w:t>
      </w:r>
    </w:p>
    <w:p>
      <w:pPr>
        <w:spacing w:after="0" w:line="198" w:lineRule="exact"/>
        <w:rPr>
          <w:sz w:val="20"/>
          <w:szCs w:val="20"/>
          <w:color w:val="auto"/>
        </w:rPr>
      </w:pPr>
    </w:p>
    <w:p>
      <w:pPr>
        <w:jc w:val="both"/>
        <w:ind w:right="559"/>
        <w:spacing w:after="0" w:line="254" w:lineRule="auto"/>
        <w:rPr>
          <w:sz w:val="20"/>
          <w:szCs w:val="20"/>
          <w:color w:val="auto"/>
        </w:rPr>
      </w:pPr>
      <w:r>
        <w:rPr>
          <w:rFonts w:ascii="Times New Roman" w:cs="Times New Roman" w:eastAsia="Times New Roman" w:hAnsi="Times New Roman"/>
          <w:sz w:val="18"/>
          <w:szCs w:val="18"/>
          <w:color w:val="auto"/>
        </w:rPr>
        <w:t>We will receive proceeds equal to the aggregate exercise price from any exercises of the Warrants, assuming the exercise of the Warrants for cash. We expect to use the net proceeds from the exercise of the Warrants for general corporate purposes, including working capital, operating expenses and capital expenditures. To the extent that any Warrants are exercised on a “cashless basis,” the amount of cash we would receive from the exercise of the Warrants will decrease.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“Use of Proceeds.”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40,396,600 shares</w:t>
      </w:r>
    </w:p>
    <w:p>
      <w:pPr>
        <w:spacing w:after="0" w:line="198" w:lineRule="exact"/>
        <w:rPr>
          <w:sz w:val="20"/>
          <w:szCs w:val="20"/>
          <w:color w:val="auto"/>
        </w:rPr>
      </w:pPr>
    </w:p>
    <w:p>
      <w:pPr>
        <w:jc w:val="both"/>
        <w:ind w:right="559"/>
        <w:spacing w:after="0" w:line="282" w:lineRule="auto"/>
        <w:rPr>
          <w:sz w:val="20"/>
          <w:szCs w:val="20"/>
          <w:color w:val="auto"/>
        </w:rPr>
      </w:pPr>
      <w:r>
        <w:rPr>
          <w:rFonts w:ascii="Times New Roman" w:cs="Times New Roman" w:eastAsia="Times New Roman" w:hAnsi="Times New Roman"/>
          <w:sz w:val="18"/>
          <w:szCs w:val="18"/>
          <w:color w:val="auto"/>
        </w:rPr>
        <w:t>No proceeds will be payable to us on the conversion of the Class B Common Stock into Class A Common Stock.</w:t>
      </w:r>
    </w:p>
    <w:p>
      <w:pPr>
        <w:spacing w:after="0" w:line="537" w:lineRule="exact"/>
        <w:rPr>
          <w:sz w:val="20"/>
          <w:szCs w:val="20"/>
          <w:color w:val="auto"/>
        </w:rPr>
      </w:pPr>
    </w:p>
    <w:p>
      <w:pPr>
        <w:sectPr>
          <w:pgSz w:w="11900" w:h="16838" w:orient="portrait"/>
          <w:cols w:equalWidth="0" w:num="2">
            <w:col w:w="3580" w:space="200"/>
            <w:col w:w="5239"/>
          </w:cols>
          <w:pgMar w:left="1440" w:top="270" w:right="1440" w:bottom="1440" w:gutter="0" w:footer="0" w:header="0"/>
          <w:type w:val="continuous"/>
        </w:sectPr>
      </w:pPr>
    </w:p>
    <w:p>
      <w:pPr>
        <w:spacing w:after="0" w:line="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Warrants Offered by the Selling</w:t>
      </w:r>
    </w:p>
    <w:p>
      <w:pPr>
        <w:spacing w:after="0" w:line="27" w:lineRule="exact"/>
        <w:rPr>
          <w:sz w:val="20"/>
          <w:szCs w:val="20"/>
          <w:color w:val="auto"/>
        </w:rPr>
      </w:pPr>
    </w:p>
    <w:p>
      <w:pPr>
        <w:ind w:left="720"/>
        <w:spacing w:after="0"/>
        <w:tabs>
          <w:tab w:leader="none" w:pos="3760" w:val="left"/>
        </w:tabs>
        <w:rPr>
          <w:sz w:val="20"/>
          <w:szCs w:val="20"/>
          <w:color w:val="auto"/>
        </w:rPr>
      </w:pPr>
      <w:r>
        <w:rPr>
          <w:rFonts w:ascii="Times New Roman" w:cs="Times New Roman" w:eastAsia="Times New Roman" w:hAnsi="Times New Roman"/>
          <w:sz w:val="18"/>
          <w:szCs w:val="18"/>
          <w:color w:val="auto"/>
        </w:rPr>
        <w:t>Warrantholders</w:t>
      </w:r>
      <w:r>
        <w:rPr>
          <w:sz w:val="20"/>
          <w:szCs w:val="20"/>
          <w:color w:val="auto"/>
        </w:rPr>
        <w:tab/>
      </w:r>
      <w:r>
        <w:rPr>
          <w:rFonts w:ascii="Times New Roman" w:cs="Times New Roman" w:eastAsia="Times New Roman" w:hAnsi="Times New Roman"/>
          <w:sz w:val="18"/>
          <w:szCs w:val="18"/>
          <w:color w:val="auto"/>
        </w:rPr>
        <w:t>Up to 208,000 Warrants</w:t>
      </w:r>
    </w:p>
    <w:p>
      <w:pPr>
        <w:spacing w:after="0" w:line="180" w:lineRule="exact"/>
        <w:rPr>
          <w:sz w:val="20"/>
          <w:szCs w:val="20"/>
          <w:color w:val="auto"/>
        </w:rPr>
      </w:pPr>
    </w:p>
    <w:p>
      <w:pPr>
        <w:ind w:left="540"/>
        <w:spacing w:after="0"/>
        <w:tabs>
          <w:tab w:leader="none" w:pos="376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8"/>
          <w:szCs w:val="18"/>
          <w:color w:val="auto"/>
        </w:rPr>
        <w:t>We will not receive any of the proceeds from the sale of the</w:t>
      </w:r>
    </w:p>
    <w:p>
      <w:pPr>
        <w:spacing w:after="0" w:line="2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Warrants by the Selling Securityholders.</w:t>
      </w:r>
    </w:p>
    <w:p>
      <w:pPr>
        <w:spacing w:after="0" w:line="180" w:lineRule="exact"/>
        <w:rPr>
          <w:sz w:val="20"/>
          <w:szCs w:val="20"/>
          <w:color w:val="auto"/>
        </w:rPr>
      </w:pPr>
    </w:p>
    <w:p>
      <w:pPr>
        <w:ind w:left="540"/>
        <w:spacing w:after="0"/>
        <w:tabs>
          <w:tab w:leader="none" w:pos="3760" w:val="left"/>
        </w:tabs>
        <w:rPr>
          <w:sz w:val="20"/>
          <w:szCs w:val="20"/>
          <w:color w:val="auto"/>
        </w:rPr>
      </w:pPr>
      <w:r>
        <w:rPr>
          <w:rFonts w:ascii="Times New Roman" w:cs="Times New Roman" w:eastAsia="Times New Roman" w:hAnsi="Times New Roman"/>
          <w:sz w:val="18"/>
          <w:szCs w:val="18"/>
          <w:color w:val="auto"/>
        </w:rPr>
        <w:t>Transfer Agent</w:t>
      </w:r>
      <w:r>
        <w:rPr>
          <w:sz w:val="20"/>
          <w:szCs w:val="20"/>
          <w:color w:val="auto"/>
        </w:rPr>
        <w:tab/>
      </w:r>
      <w:r>
        <w:rPr>
          <w:rFonts w:ascii="Times New Roman" w:cs="Times New Roman" w:eastAsia="Times New Roman" w:hAnsi="Times New Roman"/>
          <w:sz w:val="17"/>
          <w:szCs w:val="17"/>
          <w:color w:val="auto"/>
        </w:rPr>
        <w:t>Continental Stock Transfer &amp; Trust Company</w:t>
      </w:r>
    </w:p>
    <w:p>
      <w:pPr>
        <w:spacing w:after="0" w:line="198" w:lineRule="exact"/>
        <w:rPr>
          <w:sz w:val="20"/>
          <w:szCs w:val="20"/>
          <w:color w:val="auto"/>
        </w:rPr>
      </w:pPr>
    </w:p>
    <w:p>
      <w:pPr>
        <w:ind w:left="540"/>
        <w:spacing w:after="0"/>
        <w:tabs>
          <w:tab w:leader="none" w:pos="3760" w:val="left"/>
        </w:tabs>
        <w:rPr>
          <w:sz w:val="20"/>
          <w:szCs w:val="20"/>
          <w:color w:val="auto"/>
        </w:rPr>
      </w:pPr>
      <w:r>
        <w:rPr>
          <w:rFonts w:ascii="Times New Roman" w:cs="Times New Roman" w:eastAsia="Times New Roman" w:hAnsi="Times New Roman"/>
          <w:sz w:val="18"/>
          <w:szCs w:val="18"/>
          <w:color w:val="auto"/>
        </w:rPr>
        <w:t>Nasdaq Global Market Symbols</w:t>
      </w:r>
      <w:r>
        <w:rPr>
          <w:sz w:val="20"/>
          <w:szCs w:val="20"/>
          <w:color w:val="auto"/>
        </w:rPr>
        <w:tab/>
      </w:r>
      <w:r>
        <w:rPr>
          <w:rFonts w:ascii="Times New Roman" w:cs="Times New Roman" w:eastAsia="Times New Roman" w:hAnsi="Times New Roman"/>
          <w:sz w:val="18"/>
          <w:szCs w:val="18"/>
          <w:color w:val="auto"/>
        </w:rPr>
        <w:t>Our  Class  A  Common  Stock  is  listed  under  the  symbol</w:t>
      </w:r>
    </w:p>
    <w:p>
      <w:pPr>
        <w:spacing w:after="0" w:line="2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“SOUN”. Our Warrants are listed under the symbol “SOUNW”.</w:t>
      </w:r>
    </w:p>
    <w:p>
      <w:pPr>
        <w:spacing w:after="0" w:line="180" w:lineRule="exact"/>
        <w:rPr>
          <w:sz w:val="20"/>
          <w:szCs w:val="20"/>
          <w:color w:val="auto"/>
        </w:rPr>
      </w:pPr>
    </w:p>
    <w:p>
      <w:pPr>
        <w:ind w:left="540"/>
        <w:spacing w:after="0"/>
        <w:tabs>
          <w:tab w:leader="none" w:pos="376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8"/>
          <w:szCs w:val="18"/>
          <w:color w:val="auto"/>
        </w:rPr>
        <w:t>An investment in our Class A Shares involves a high degree of</w:t>
      </w:r>
    </w:p>
    <w:p>
      <w:pPr>
        <w:spacing w:after="0" w:line="2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risk. You should read this prospectus carefully, including the</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section titled “Risk Factors” and the combined and condensed</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consolidated financial statements and the related notes to those</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statements included in this prospectus, before investing in our</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common stock</w:t>
      </w:r>
    </w:p>
    <w:p>
      <w:pPr>
        <w:spacing w:after="0" w:line="2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Outstanding Shares of Common Stock</w:t>
      </w:r>
    </w:p>
    <w:p>
      <w:pPr>
        <w:spacing w:after="0" w:line="148"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196,144,941 shares of Company common stock were issued and outstanding as of May 13, 2022, which calculation includes (i) 155,748,341 shares of the Company’s Class A Common Stock and (ii) 40,396,600 shares of the Company’s Class B Common Stock. Such amount does not equal shares issuable on exercise of warrants or options being registered hereunder.</w:t>
      </w:r>
    </w:p>
    <w:p>
      <w:pPr>
        <w:sectPr>
          <w:pgSz w:w="11900" w:h="16838" w:orient="portrait"/>
          <w:cols w:equalWidth="0" w:num="1">
            <w:col w:w="9019"/>
          </w:cols>
          <w:pgMar w:left="1440" w:top="270" w:right="1440" w:bottom="1440" w:gutter="0" w:footer="0" w:header="0"/>
          <w:type w:val="continuous"/>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 w:name="page16"/>
    <w:bookmarkEnd w:id="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following information about these risks, together with the other information appearing elsewhere in this prospectus, including our financial statements, the notes thereto and the section entitled “Management’s Discussion and Analysis of Financial Condition and Results of Operations,” before deciding to invest in our securities. The occurrence of any of the following risks could have a material adverse effect on our business, reputation, financial condition, results of operations and future growth prospects, as well as our ability to accomplish our strategic objectives. As a result, the trading price of our securities could decline and you could lose all or part of your investment. Additional risks and uncertainties not presently known to us or that we currently deem immaterial may also impair our business operations and the market price of our securities.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SoundHound AI’s Business</w:t>
      </w:r>
    </w:p>
    <w:p>
      <w:pPr>
        <w:spacing w:after="0" w:line="22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in which SoundHound AI operates is highly competitive and rapidly changing and SoundHound AI may be unable to compete successfully.</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There are a number of companies that develop or may develop products that compete in the Voice AI market. The market for SoundHound AI’s products and technologies is characterized by intense competition, evolving industry and regulatory standards, emerging business and distribution models, disruptive software technology developments, short product and service life cycles, price sensitivity on the part of customers, and frequent new product introductions, including alternatives to certain of SoundHound AI’s products from other vendors which may be offered at significantly lower costs or free of charge. Current and potential competitors have established, or may establish, cooperative relationships among themselves or with third parties to increase the ability of their technologies to address the needs of SoundHound AI’s current and prospective customers. Furthermore, current or prospective customers may decide to develop competing products or to establish, strategic relationships with SoundHound AI’s competitors.</w:t>
      </w:r>
    </w:p>
    <w:p>
      <w:pPr>
        <w:spacing w:after="0" w:line="127"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Competition in the Voice AI market could adversely affect SoundHound AI’s operating results by reducing the volume of the products and technologies SoundHound AI licenses or sells, the prices SoundHound AI can charge or the obligations of SoundHound AI to incur expenses or capital costs associated with the development, acquisition or promotion of new products or technologies. Some of SoundHound AI’s current or potential competitors are large technology companies that have significantly greater financial, technical and marketing resources than SoundHound AI does, and others are smaller specialized companies that possess specialized expertise or regional focus and may have greater price flexibility than SoundHound AI does in connection with their business models. These competitors may be able to respond more rapidly than SoundHound AI can to new or emerging technologies or changes in customer requirements, or may decide to offer products at low or unsustainable cost to win new business or to retain their existing clients. They may also devote greater resources to the development, promotion and sale of their products than SoundHound AI does, and in certain cases may be able to include or combine their competitive products or technologies with other of their products or technologies in a manner whereby the competitive functionality is available at lower cost or free of charge within the larger offering. To the extent they do so, the penetration of SoundHound AI’s products, and therefore its revenue, may be adversely affected. SoundHound AI’s large competitors may also have greater access to customer data, which provides them with a competitive advantage in developing new products and technologies. SoundHound AI’s success depends substantially upon its ability to enhance its products and technologies, to develop and introduce, on a timely and cost-effective basis, new products and technologies that meet changing customer requirements and incorporate technological enhancements, and to maintain SoundHound AI’s alignment with the technologies and market strategies of its customers, which change and advance over time. If SoundHound AI is unable to develop new products and enhance functionalities or technologies to adapt to these changes and maintain SoundHound AI’s alignment with its customers, its business will suffer.</w:t>
      </w:r>
    </w:p>
    <w:p>
      <w:pPr>
        <w:spacing w:after="0" w:line="20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conditions in the Voice AI market or the global economy more generally could have adverse effects on SoundHound AI’s results of operations.</w:t>
      </w:r>
    </w:p>
    <w:p>
      <w:pPr>
        <w:spacing w:after="0" w:line="7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SoundHound AI’s business depends on, and is directly affected by, the global Voice AI market, as well as the global economy more generally, including global economic trends affecting the automotive, internet of things (“IoT”), mobile application, call center, semiconductor device maker and restaurant and hospitality industries. For example, SoundHound AI’s largest customers are currently in the automotive industry, and automotive production and sales are highly cyclical and depend on general economic conditions and other factors, including consumer spending and</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 w:name="page17"/>
    <w:bookmarkEnd w:id="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preferences, changes in interest rate levels and credit availability, consumer confidence, fuel costs, fuel availability, environmental impact, governmental incentives and regulatory requirements, and political volatility, especially in energy-producing countries and growth markets. Such factors may also negatively impact consumer demand for products, including automobiles, that incorporate or use SoundHound AI products or technologies. In addition, global production and sales trends can be affected by SoundHound AI’s customers’ ability to continue operating in response to challenging economic conditions, and in response to labor relations issues, regulatory requirements, trade agreements and other factors. The volume of global automotive production, in particular, has fluctuated, sometimes significantly, from year to year, and such fluctuations give rise to fluctuations in the demand for SoundHound AI’s products. Any significant adverse change in any of these factors, including, but not limited to, general economic conditions and the resulting bankruptcy of a customer or the closure of a customer manufacturing facility, may result in a reduction in sales and production by SoundHound AI’s customers, and could have a material adverse effect on SoundHound AI’s business, results of operations and financial condition.</w:t>
      </w:r>
    </w:p>
    <w:p>
      <w:pPr>
        <w:spacing w:after="0" w:line="18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SoundHound AI’s strategy to increase cloud connected and embedded products and technologies and expand the number of foreign languages SoundHound AI understands may adversely affect its near-term revenue growth and results of operations.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SoundHound AI has been and is continuing to develop new cloud-connected and embedded products and technologies and expand the number of foreign languages that its products and technologies understand. The design and development of new cloud-connected and embedded products and technologies and the addition of new languages will involve significant expense. SoundHound AI’s research and development costs have greatly increased in recent years and, together with certain expenses associated with delivering SoundHound AI’s connected services, are projected to continue to escalate in the near future. SoundHound AI may encounter difficulties with designing, developing, and releasing new cloud-connected and embedded components, as well as integrating these components with SoundHound AI’s existing technologies. These development issues may further increase costs and may affect SoundHound AI’s ability to innovate in a manner that allows SoundHound AI to remain competitive relative to its peers. As a result, SoundHound AI’s strategy to incorporate more cloud-connected and embedded components may adversely affect its revenue growth and results of operations.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Pricing pressures from SoundHound AI’s customers may adversely affect its results of operations.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SoundHound AI may experience pricing pressure from its customers in the future, including, relative to its automotive industry customers, pricing pressure resulting from the strong purchasing power of major OEMs SoundHound AI may be expected to quote fixed prices or be forced to accept prices with annual price reduction commitments for long-term sales arrangements or discounted reimbursements for SoundHound AI’s work. Any price reductions could impact SoundHound AI’s sales and profit margins. SoundHound AI’s profitability is also influenced by its success in designing and marketing technological improvements in Voice AI systems. If SoundHound AI is unable to offset any price reductions in the future, its business, results of operations and financial condition would be adversely affected.</w:t>
      </w:r>
    </w:p>
    <w:p>
      <w:pPr>
        <w:spacing w:after="0" w:line="188"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Currently, SoundHound AI’s largest customers are OEMs, and while SoundHound AI invests effort and money seeking OEMs’ validation of SoundHound AI’s technology, and there can be no assurance that SoundHound AI will win or be able to renew its contracts with OEM customers, which could adversely affect SoundHound AI’s results of operations.</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Some of SoundHound AI’s largest customers are currently OEMs and SoundHound AI invests effort and money in product research and development in relationship to SoundHound AI’s OEM customers from the time an OEM or a “Tier 1” supplier to OEMs begins designing for an upcoming program through the date on which an OEM or Tier 1 supplier customer chooses SoundHound AI’s technology to be incorporated directly or indirectly into one or more specific vehicle models to be produced by such customer. This selection process is known as a “design win.” SoundHound AI could expend its resources on these and similar efforts without success. After a design win, a product or technology that did not receive the design win may not be able to displace the winner until the customer begins a new selection process because it is very unlikely that a customer will change complex technology until a product model is revamped. In addition, the company with the winning design may have an advantage with the customer going</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 w:name="page18"/>
    <w:bookmarkEnd w:id="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forward because of the established relationship between the winning company and such customer, which could make it more difficult for such company’s competitors to win the designs for other service contracts. Even if SoundHound AI has an established relationship with a customer, any failure to perform under a service contract or innovate in response to their feedback may neutralize its advantage with that customer. If SoundHound AI fails to win a significant number of customer design competitions in the future or to renew a significant number of existing service contracts, SoundHound AI’s operating results would be adversely affected. Moreover, to the extent SoundHound AI is unable to renew existing service contracts, this would negatively impact its revenue. The period of time from winning a contract to implementation is long and SoundHound AI is subject to the risks of cancellation or postponement of the contract or unsuccessful implementation.</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SoundHound AI’s products are technologically complex and incorporate many technological innovations. Prospective customers generally must make significant commitments of resources to test and validate SoundHound AI’s products before including them in a product or vehicle. The development cycles of SoundHound AI’s products with new customers are approximately six months to two years after a design win, depending on the customer and the complexity of the product. These development cycles result in SoundHound AI investing its resources in customers and customer products prior to realizing any revenues from the related customer contracts. Further, SoundHound AI is subject to the risk that a customer cancels or postpones implementation of SoundHound AI’s technology, as well as that SoundHound AI will not be able to implement its technology successfully. Additionally, SoundHound AI’s sales could be less than forecast if the product is unsuccessful, including for reasons unrelated to its technology. Long development cycles and product cancellations or postponements may adversely affect SoundHound AI’s business, results of operations.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AI’s operating results could be materially and adversely affected if it loses any of its largest customers.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loss of business from any of SoundHound AI’s major customers, whether by lower overall demand for the products manufactured by its major customers, cancellation of existing contracts or the failure to award SoundHound AI new business, could have a material adverse effect on SoundHound AI’s operating results. Alternatively, there is a risk that one or more of SoundHound AI’s major customers could be unable to pay its invoices as they become due or that a customer will simply refuse to make such payments given its financial difficulties. If a major customer becomes subject to bankruptcy or similar proceedings whereby contractual commitments are subject to stay of execution and the possibility of legal or other modification, or if a major customer otherwise successfully procures protection against SoundHound AI legally enforcing its obligations, it is likely that SoundHound AI will be forced to record a substantial loss. In addition, certain of SoundHound AI’s customers that are tier 1 suppliers to the automotive industry exclusively sell to certain OEMs, including some of SoundHound AI’s other customers. A bankruptcy of, or other significant disruption to, any of these OEMs could intensify any adverse impact on our business and results of operations.</w:t>
      </w:r>
    </w:p>
    <w:p>
      <w:pPr>
        <w:spacing w:after="0" w:line="10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During the twelve months ended December 31, 2020 and 2021, respectively, two and three customers accounted for the following approximate percentages of SoundHound AI’s total revenues during the applicable period: 43% and 61%. However, the majority of these revenues were from non refundable upfront payments (as opposed to subscription services), where SoundHound AI performed their contractual obligations related to the services prior to December 31, 2021 and the related revenues are recognized over time for GAAP accounting purposes.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addition to upfront payments pursuant to professional services or custom engineering agreements, SoundHound AI generally enters into master service agreements with its largest customers and also provides them with engineering and custom services. Our largest current customers entered into master services agreements with SoundHound AI pursuant to which they are provided Houndify Cloud Services and, in some cases, associated services on an as-needed basis. The license fees that SoundHound AI receives under our master services agreements are either fixed minimum monthly hosting fees with overage charges based on usage, or determined based on the volume of products that our customers sell that utilize SoundHound AI technology. Our master services agreements generally renew automatically for one year terms and are terminable by the customer upon prior written notice of six months to one year. As of the date of this prospectus, SoundHound AI has no reason to believe that its largest customers will discontinue or reduce its usage of SoundHound AI services.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AI’s operating results may fluctuate significantly from period to period, and this may cause its stock price to decline.</w:t>
      </w:r>
    </w:p>
    <w:p>
      <w:pPr>
        <w:spacing w:after="0" w:line="7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SoundHound AI’s operating results may fluctuate materially in the future. These fluctuations may cause SoundHound AI’s results of operations to not meet the expectations of securities analysts or investors which would likely cause the price of its stock to decline. Factors that may contribute to fluctuations in operating results include:</w:t>
      </w:r>
    </w:p>
    <w:p>
      <w:pPr>
        <w:spacing w:after="0" w:line="112" w:lineRule="exact"/>
        <w:rPr>
          <w:sz w:val="20"/>
          <w:szCs w:val="20"/>
          <w:color w:val="auto"/>
        </w:rPr>
      </w:pPr>
    </w:p>
    <w:p>
      <w:pPr>
        <w:ind w:left="1300" w:hanging="41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timing and fulfilment of large customer contracts;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of existing customer contracts and wins of new customer programs;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expenditures incurred pursuing new product or market opportunities;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royalty reports;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sales by SoundHound AI’s customers to their end-users;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counterparties failing to meet their contractual commitments to SoundHound AI;</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by SoundHound AI or its competitors;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or data breaches;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the prices of SoundHound AI’s products in response to competition, market conditions or contractual obligations;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goodwill or intangible assets;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that are not collectible;</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costs related to fixed-price contracts with SoundHound AI’s customers;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costs due to regulatory or trade restrictions;</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litigation matters, whether initiated by SoundHound AI or brought by third-parties against SoundHound AI, and settlements or judgments it is required to pay in connection with disputes;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trends as they affect the customer bases into which SoundHound AI and its customers sell and operate.</w:t>
      </w:r>
    </w:p>
    <w:p>
      <w:pPr>
        <w:spacing w:after="0" w:line="9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Due to the foregoing factors, among others, SoundHound AI’s revenue and operating results may fluctuate significantly from period to period. SoundHound AI’s expense levels are based in significant part on its expectations of future revenue, and SoundHound AI may not be able to reduce its expenses quickly to respond to near-term shortfalls in projected revenue. Therefore, SoundHound AI’s failure to meet revenue expectations would seriously harm its operating results, financial condition, and cash flows.</w:t>
      </w:r>
    </w:p>
    <w:p>
      <w:pPr>
        <w:spacing w:after="0" w:line="17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AI has generated substantial net losses and negative operating cash flows since its inception and expects to continue to do so for the foreseeable future.</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To date, SoundHound AI has generated substantial net losses and negative cash flows from operating activities. SoundHound AI expects that its net losses and its negative operating cash flows will continue for the foreseeable future, as SoundHound AI increases its development activities, and invest in sales and marketing. SoundHound AI also expects to incur the incremental costs of operating as a public company, contributing to SoundHound AI’s losses and operating uses of cash. SoundHound AI’s costs may also increase due to such factors as higher than anticipated financing and other costs; increases in the costs of labor or infrastructure; and major incidents or catastrophic events. If any of these or similar factors occur, SoundHound AI’s net losses and accumulated deficit could increase significantly and the price of shares of its common stock could decline.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AI may not be able to obtain capital when desired on favorable terms, if at all, or without dilution to its stockholders.</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SoundHound AI anticipates that the net proceeds of the Business Combination (including from the PIPE Investment), together with current cash, cash equivalents, cash provided by operating activities and funds available through SoundHound AI’s working capital line of credit, will be sufficient to meet its current and anticipated needs for general corporate purposes. SoundHound AI operates in an emerging market, however, which makes SoundHound AI’s prospects difficult to evaluate. It is possible that SoundHound AI may not generate sufficient cash flow from operations or otherwise have the capital resources to meet SoundHound AI’s future capital needs. If this occurs, SoundHound AI may need additional financing to execute on its current or future business strategies, including to:</w:t>
      </w:r>
    </w:p>
    <w:p>
      <w:pPr>
        <w:spacing w:after="0" w:line="124" w:lineRule="exact"/>
        <w:rPr>
          <w:sz w:val="20"/>
          <w:szCs w:val="20"/>
          <w:color w:val="auto"/>
        </w:rPr>
      </w:pPr>
    </w:p>
    <w:p>
      <w:pPr>
        <w:ind w:left="1300" w:hanging="41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software engineers, sales and marketing professionals, and other personnel;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or enhance existing products and services;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SoundHound AI’s operating infrastructure;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complementary businesses or technologies; or</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respond to competitive pressures.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SoundHound AI raises additional funds through the issuance of equity or convertible debt securities, the percentage ownership of its stockholders could be significantly diluted, and these newly-issued securities may have rights, preferences or privileges senior to those of existing stockholders, including those acquiring shares in this offering. SoundHound AI cannot assure you that additional financing will be available on terms favorable to SoundHound AI, or at all. If adequate funds are not available or are not available on acceptable terms, if and when needed, SoundHound AI’s ability to fund its operations, take advantage of unanticipated opportunities, develop or enhance its products, or otherwise respond to competitive pressures would be significantly limited.</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more key members of SoundHound AI’s management team or personnel, or its failure to attract, integrate and retain additional personnel in the future, could harm its business and negatively affect its ability to successfully grow its business.</w:t>
      </w:r>
    </w:p>
    <w:p>
      <w:pPr>
        <w:spacing w:after="0" w:line="10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SoundHound AI is highly dependent upon the continued service and performance of the key members of SoundHound AI’s management team and other personnel. The loss of any of these individuals, each of whom is “at will” and may terminate his or her employment relationship with us at any time, could disrupt SoundHound AI’s operations and significantly delay or prevent the achievement of our business objectives.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Additionally, if any of SoundHound AI’s key management team members or other employees were to leave, SoundHound AI could face substantial difficulty in hiring qualified successors and could experience a loss in productivity while any successor obtains the necessary training and experience. Although SoundHound AI has arrangements with some of its executive officers designed to promote retention, its employment relationships are generally at-will and SoundHound AI has had key employees leave in the past. SoundHound AI cannot assure you that one or more key employees will not leave in the future. SoundHound AI intends to continue to hire additional highly qualified personnel, including research and development and operational personnel, but may not be able to attract, assimilate or retain qualified personnel in the future or may be required to pay increased compensation in order to do so. Any failure to attract, integrate, motivate and retain such employees could harm SoundHound AI’s business or impair our ability to timely meet business goals and objectives.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SoundHound AI depends on skilled employees and could be impacted by a shortage of critical skills.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Much of SoundHound AI’s future success depends on the continued service and availability of skilled employees, particularly with respect to technical areas. Skilled and experienced personnel in the areas where SoundHound AI competes are in high demand, and competition for their talents is intense. Many of SoundHound AI’s key employees receive a total compensation package that includes equity awards. New regulations or volatility in the stock market could diminish SoundHound AI’s use, and the value, of its equity awards. This would place SoundHound AI at a competitive disadvantage in attracting qualified personnel or force it to offer more cash compensation.</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and data privacy incidents or breaches may damage client relations and inhibit SoundHound AI’s growth.</w:t>
      </w:r>
    </w:p>
    <w:p>
      <w:pPr>
        <w:spacing w:after="0" w:line="7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confidentiality and security of SoundHound AI’s information, and that of third parties, is critical to SoundHound AI’s business. SoundHound AI’s services involve the transmission, use, and storage of customers’ and their customers’ information, which may be confidential or contain personally identifiable information. Any cybersecurity or data privacy incidents could have a material adverse effect on SoundHound AI’s results of operations and financial condition. While SoundHound AI maintains a broad array of information security and privacy measures, policies and practices, its networks may be breached through a variety of means, resulting in someone obtaining unauthorized access to SoundHound AI’s information, to information of SoundHound AI’s customers or their customers, or to SoundHound AI’s intellectual property; disabling or degrading service; or sabotaging systems or information. In addition, hardware, software, systems, or applications SoundHound AI develops or procure from third parties may contain defects in design or manufacture or other problems that could unexpectedly compromise information security. Unauthorized parties may also attempt to gain access to SoundHound AI’s systems or facilities, or those of third parties with whom SoundHound AI does business, through fraud or other forms of deceiving SoundHound AI’s employees, contractors, and vendors. Because the techniques used to obtain unauthorized access, or to sabotage systems, change frequently and generally are not recognized until launched against a target, SoundHound AI may be unable to anticipate these techniques or to implement adequate preventative measures. SoundHound AI will continue to incur significant costs to continuously enhance its information security measures to defend against the threat of cybercrime. Any cybersecurity or data privacy incident or breach may result in:</w:t>
      </w:r>
    </w:p>
    <w:p>
      <w:pPr>
        <w:spacing w:after="0" w:line="124" w:lineRule="exact"/>
        <w:rPr>
          <w:sz w:val="20"/>
          <w:szCs w:val="20"/>
          <w:color w:val="auto"/>
        </w:rPr>
      </w:pPr>
    </w:p>
    <w:p>
      <w:pPr>
        <w:ind w:left="1300" w:hanging="41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resulting from the operational disruption;</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or increased bad debt expense due to the inability to invoice properly or to customer dissatisfaction resulting in collection issues;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due to loss of customers;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remediation costs to recreate or restore systems;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investments in new or enhanced systems in order to enhance SoundHound AI’s information security posture;</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incentives offered to customers to restore confidence and maintain business relationships;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damage resulting in the failure to retain or attract customers;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potential litigation or governmental investigations;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required notices of a data breach;</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potential loss of critical business data;</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enhancing or creating new products due to loss of data or data integrity issues; and</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consequences of which SoundHound AI is not currently aware but would discover through the process of remediating any cybersecurity or data privacy incidents or breaches that may occur.</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AI’s business is subject to a variety of domestic and international laws, rules, policies and other obligations, including data protection and anticorruption.</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SoundHound AI is subject to U.S. and international laws and regulations in multiple areas, including data protection, anticorruption, labor relations, tax, foreign currency, anti-competition, import, export and trade regulations, and SoundHound AI is subject to a complex array of federal, state and international laws relating to the collection, use, retention, disclosure, security and transfer of personally identifiable information. In many cases, these laws apply not only to transfers between unrelated third-parties but also to transfers between SoundHound AI and its subsidiaries. Many jurisdictions have passed laws in this area, and other jurisdictions are considering imposing additional restrictions. The European Commission adopted the European General Data Protection Regulation (the “GDPR”), which went into</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effect on May 25, 2018. In addition, California adopted significant new consumer privacy laws that became effective beginning in January 2020. Complying with the GDPR and other requirements may cause SoundHound AI to incur substantial costs and may require it to change our business practices.</w:t>
      </w:r>
    </w:p>
    <w:p>
      <w:pPr>
        <w:spacing w:after="0" w:line="108"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China has recently implemented new regulation pertaining to cybersecurity and the protection of personal information, including the Data Security Law which took effect in September 2001 and the Personal Information Protection Law which took effect in November 2021. Interpretation, application and enforcement of these laws, rules and regulations evolve from time to time and their scope may continually change, through new legislation, amendments to existing legislation or changes in enforcement. Compliance with cybersecurity and data security legislation could significantly increase the cost to SoundHound AI of carrying out its business in China, require significant changes to its operations or even prevent SoundHound AI from providing certain service offerings in jurisdictions in which SoundHound AI currently operates or in which it may operate in the future. Despite SoundHound AI’s efforts to comply with applicable laws, regulations and other obligations relating to privacy, data protection and information security, it is possible that SoundHound AI’s practices, offerings or platform could fail to meet all of the requirements imposed on SoundHound AI by legislation relating to cybersecurity, data security and/or related implementing regulations. Any failure on SoundHound AI’s part to comply with such law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SoundHound AI’s reputation, discourage new and existing counterparties from contracting with SoundHound AI or result in investigations, fines, suspension or other penalties by Chinese government authorities and private claims or litigation, any of which could materially adversely affect SoundHound AI’s business, financial condition and results of operations. Even if SoundHound AI’s practices are not subject to legal challenge, the perception of privacy concerns, whether or not valid, may harm its reputation and brand and adversely affect its business, financial condition and results of operations. Moreover, the legal uncertainty created by the Data Security Law and the recent Chinese government actions could materially adversely affect its ability, on favorable terms, to raise capital, including engaging in follow-on offerings of its securities in the U.S. market once SoundHound AI is a public. Compliance with China’s Data Security Law, Personal Information Protection Law, as well as additional laws and regulations that China’s regulatory bodies may enact in the future, including data security and personal information protection laws, may result in additional expenses to SoundHound AI and subject it to negative publicity, which could harm SoundHound AI’s reputation among users and negatively affect the trading price of its shares in the future. Furthermore, SoundHound AI’s data transfer policies may be subject to additional compliance requirement and regulatory burdens, and SoundHound AI may be required to make further adjustments to its business practices to comply with the interpretation and implementation of such laws, which may increase our compliance costs and adversely affect our operating results.</w:t>
      </w:r>
    </w:p>
    <w:p>
      <w:pPr>
        <w:spacing w:after="0" w:line="133"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Any failure by SoundHound AI, its customers or other parties with whom SoundHound AI does business to comply with its privacy policy or with federal, state or international privacy-related or data protection laws and regulations could result in proceedings against SoundHound AI by governmental entities or others. Any alleged or actual failure to comply with applicable privacy laws and regulations may:</w:t>
      </w:r>
    </w:p>
    <w:p>
      <w:pPr>
        <w:spacing w:after="0" w:line="99" w:lineRule="exact"/>
        <w:rPr>
          <w:sz w:val="20"/>
          <w:szCs w:val="20"/>
          <w:color w:val="auto"/>
        </w:rPr>
      </w:pPr>
    </w:p>
    <w:p>
      <w:pPr>
        <w:ind w:left="1300" w:hanging="41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SoundHound AI’s customers to lose confidence in its solutions;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SoundHound AI’s reputation;</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SoundHound AI to litigation, regulatory investigations and to resulting liabilities including reimbursement of customer costs, damages penalties or fines imposed by regulatory agencies; and</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SoundHound AI to incur significant expenses for remediation.</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SoundHound AI is also subject to a variety of anticorruption laws in respect of its international operations, including the U.S. Foreign Corrupt Practices Act, the U.K. Bribery Act and the Canadian Corruption of Foreign Public Officials Act, and regulations issued by the U.S. Customs and Border Protection, the U.S. Bureau of Industry and Security, the U.S. Treasury Department’s Office of Foreign Assets Control, and various other foreign governmental agencies. SoundHound AI cannot predict the nature, scope or effect of future regulatory requirements to which its international operations might be subject or the manner in which existing laws might be administered or interpreted. Actual or alleged violations of these laws and regulations could lead to enforcement actions and financial penalties that could result in substantial costs.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Because a significant portion of SoundHound AI’s revenues are derived, and a significant portion of its research and development activities are based, outside the United States, its results could be harmed by economic, political, regulatory, foreign currency fluctuations and other risks associated with these international regions.</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Because SoundHound AI operates worldwide, its business is subject to risks associated with doing business internationally. SoundHound AI currently generates most of its international revenue in Europe and Asia, and SoundHound AI anticipates that revenue from international operations could increase in the future. SoundHound AI conducts a significant portion of the development of its voice recognition and natural language understanding solutions in Canada, Germany, Japan and China. SoundHound AI is exposed to fluctuating exchange rates of foreign currencies including the euro, British pound, Canadian dollar, Chinese RMB, Japanese yen, Indian rupee and South Korean won. Accordingly, SoundHound AI’s future results could be harmed by a variety of factors associated with international sales and operations, including:</w:t>
      </w:r>
    </w:p>
    <w:p>
      <w:pPr>
        <w:spacing w:after="0" w:line="124" w:lineRule="exact"/>
        <w:rPr>
          <w:sz w:val="20"/>
          <w:szCs w:val="20"/>
          <w:color w:val="auto"/>
        </w:rPr>
      </w:pPr>
    </w:p>
    <w:p>
      <w:pPr>
        <w:ind w:left="1320" w:right="459" w:hanging="434"/>
        <w:spacing w:after="0" w:line="282" w:lineRule="auto"/>
        <w:tabs>
          <w:tab w:leader="none" w:pos="143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political and economic conditions, or changes to such conditions, in a specific region or country;</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7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including tariffs and import/export controls, imposed by the United States and/or by other countries or regional authorities such as China, Canada or the European Union;</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local and global economies of the United Kingdom leaving the European Union;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 or the lack of ability to hedge certain foreign currencies;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in many countries and any subsequent changes in such laws and regulations;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turmoil, including terrorism and war;</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2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data privacy regulations and customer requirements to locate data centers in certain jurisdictions;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restrictions on cross-border investment, including recent enhancements to the oversight by the Committee on Foreign Investment in the United States pursuant to the Foreign Investment Risk Preview Modernization Act and substantial restrictions on investment from China;</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tax laws;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operations in multiple locations in many countries;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of foreign customers and timing of collections in foreign jurisdictions;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effective protection of intellectual property than in the United States.</w:t>
      </w:r>
    </w:p>
    <w:p>
      <w:pPr>
        <w:spacing w:after="0" w:line="221"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AI’s business in China is subject to aggressive competition and is sensitive to economic, market and political conditions.</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SoundHound AI operates in the highly competitive Voice AI market in China and face competition from both international and smaller domestic manufacturers. SoundHound AI currently generates less than $1.0 million annually in revenue from its operations in China, though SoundHound AI expects to expand its business in China going forward. SoundHound AI anticipates that additional competitors, both international and domestic, may seek to enter the Chinese market resulting in increased competition. Increased competition may result in price reductions, reduced margins and SoundHound AI’s inability to gain or hold market share. There have been periods of increased market volatility and moderation in the levels of economic growth in China, which resulted in periods of lower automotive production growth rates in China than those previously experienced, including in the Chinese automotive production industry, which affects SoundHound AI because SoundHound AI’s largest customers are currently OEMs. In addition, political tensions between China and the United States may negatively impact SoundHound AI’s ability to conduct business in China. If SoundHound AI is unable to grow or maintain its position in the Chinese market, the pace of growth slows or vehicle sales in China decrease, SoundHound AI’s business, results of operations and financial condition could be materially adversely effected. Government regulations and business considerations may also require SoundHound AI to conduct business in China through joint ventures with Chinese companies. SoundHound AI’s participation in joint</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3" w:name="page24"/>
    <w:bookmarkEnd w:id="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ventures would limit its control over Chinese operations and may expose SoundHound AI’s proprietary technologies to misappropriation by joint venture partners. The above risks, if realized, could have a material adverse effect on SoundHound AI’s results of operations.</w:t>
      </w:r>
    </w:p>
    <w:p>
      <w:pPr>
        <w:spacing w:after="0" w:line="172"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Chinese government deems that the contractual arrangements in relation to SoundHound AI’s variable interest entity do not comply with Chinese governmental restrictions on foreign investment, or if these regulations or the interpretation of existing regulations changes in the future, SoundHound AI could be subject to penalties or be forced to relinquish SoundHound AI’s interests in those operations.</w:t>
      </w:r>
    </w:p>
    <w:p>
      <w:pPr>
        <w:spacing w:after="0" w:line="11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SoundHound AI currently generates less than $1.0 million annually in revenue from its operations in China, though SoundHound AI expects to expand its business in China going forward. Foreign ownership of certain types of internet businesses, such as internet information services, is subject to restrictions under applicable Chinese laws, rules and regulations. For example, foreign investors are generally not permitted to own more than 50% of the equity interests in a value-added telecommunication service provider. Any such foreign investor must also have experience and a good track record in providing value-added telecommunications services overseas. Accordingly, under current and applicable Chinese laws, it is possible that SoundHound AI will lose the license that currently permits its operations of its Chinese subsidiary.</w:t>
      </w:r>
    </w:p>
    <w:p>
      <w:pPr>
        <w:spacing w:after="0" w:line="12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It is uncertain whether any new Chinese laws, rules or regulations relating to variable interest entity structures will be adopted or if adopted, what they would provide. If SoundHound AI or its variable interest entity are found to be in violation of any existing or future Chinese laws, rules or regulations, or fail to obtain or maintain any of the required permits or approvals, the relevant Chinese regulatory authorities would have broad discretion to take action in dealing with such violations or failures, including revoking the operating licenses of its Chinese subsidiary or variable interest entity, requiring SoundHound AI to discontinue or restrict its operations, restricting its right to collect revenue, blocking one or more of its websites, requiring SoundHound AI to restructure its operations or taking other regulatory or enforcement actions against SoundHound AI. The imposition of any of these measures could result in a material adverse effect on SoundHound AI’s ability to conduct all or any portion of its business operations through its Chinese subsidiary. In addition, it is unclear what impact Chinese government actions would have on SoundHound AI and on its ability to consolidate the financial results of its variable interest entity in its consolidated financial statements, if the Chinese government authorities were to find SoundHound AI’s legal structure and contractual arrangements to be in violation of Chinese laws, rules and regulations. If the imposition of any of these government actions causes SoundHound AI to lose its right to direct the activities of its variable interest entity or otherwise separate from it and if SoundHound AI is not able to restructure its ownership structure and operations in a satisfactory manner, SoundHound AI would no longer be able to consolidate the financial results of its variable interest entity in its consolidated financial statements. Any of these events could have a material adverse effect on SoundHound AI’s business, financial condition and results of operations through its Chinese subsidiary.</w:t>
      </w:r>
    </w:p>
    <w:p>
      <w:pPr>
        <w:spacing w:after="0" w:line="18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delays in SoundHound AI’s services or services from data center hosting facilities or public clouds could impair the delivery of its services and harm its business.</w:t>
      </w:r>
    </w:p>
    <w:p>
      <w:pPr>
        <w:spacing w:after="0" w:line="7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Because SoundHound AI’s services are complex and incorporate a variety of third-party hardware and software, its services may have errors or defects that could result in unanticipated downtime for its customers and harm to its reputation and its business. SoundHound AI has from time to time, found defects in its services, and new errors in its services may be detected in the future. In addition, SoundHound AI currently serves its customers from data center hosting facilities or third-party public clouds SoundHound AI directly manages. Any damage to, or failure of, the systems and facilities that serve SoundHound AI’s customers in whole or in part could result in interruptions in its service. Interruptions in SoundHound AI’s service may reduce its revenue, cause SoundHound AI to issue credits or pay service level agreement penalties, cause customers to terminate their on-demand services, and adversely affect SoundHound AI’s renewal rates and its ability to attract new customers.</w:t>
      </w:r>
    </w:p>
    <w:p>
      <w:pPr>
        <w:spacing w:after="0" w:line="190"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SoundHound AI is subject to certain U.S. and foreign anti-corruption, anti-money laundering, export control, sanctions, and other trade laws and regulations. SoundHound AI can face serious consequences for violations.</w:t>
      </w:r>
    </w:p>
    <w:p>
      <w:pPr>
        <w:spacing w:after="0" w:line="10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4" w:name="page25"/>
    <w:bookmarkEnd w:id="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SoundHound AI also expects its non-U.S. activities to increase in time.</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AI’s business is subject to risks, expenses and uncertainties associated with selling its solutions in locations outside the United States that could adversely affect its operating results.</w:t>
      </w:r>
    </w:p>
    <w:p>
      <w:pPr>
        <w:spacing w:after="0" w:line="9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2021 and 2020, SoundHound AI derived over 76% and 73%, respectively, of its revenues from customer(s) located in countries outside the United States, and SoundHound AI plans to increase its international operations in the future. Accordingly, SoundHound AI expects to increasingly face significant operational risks and expenses from doing business internationally.</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SoundHound AI’s international operating results may be affected by volatility in currency exchange rates and its ability to effectively manage its currency transaction risks. SoundHound AI would incur currency transaction risks if SoundHound AI were to enter into either a purchase or a sale transaction using a different currency from the currency in which SoundHound AI reports revenue. In such cases, SoundHound AI may suffer an exchange loss because SoundHound AI does not currently engage in currency swaps or other currency hedging strategies to address this risk. As SoundHound AI realizes its strategy to expand internationally, its exposure to currency risks may increase. Given the volatility of exchange rates, SoundHound AI can give no assurance that it will be able to effectively manage its currency transaction risks or that any volatility in currency exchange rates will not have a material adverse effect on its results of operations.</w:t>
      </w:r>
    </w:p>
    <w:p>
      <w:pPr>
        <w:spacing w:after="0" w:line="1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Other risks and uncertainties SoundHound AI faces from its global operations include, but are not limited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w:t>
      </w:r>
    </w:p>
    <w:p>
      <w:pPr>
        <w:spacing w:after="0" w:line="139" w:lineRule="exact"/>
        <w:rPr>
          <w:sz w:val="20"/>
          <w:szCs w:val="20"/>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8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protection for the enforcement of contract and intellectual property rights in certain countries where SoundHound AI may sell SoundHound AI’s solutions or work with suppliers or other third parties;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longer sales and payment cycles and potentially greater difficulties in collecting accounts receivable;</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difficulties of customizing solutions for foreign countries;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providing solutions across a significant distance, in different languages and among different cultures;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competition;</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subject to a wide variety of complex foreign laws, treaties and regulations and adjusting to any unexpected changes in such laws, treaties and regulations;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and significant regulations, including, but not limited to, the European Union’s General Data Protection Regulation (“GDPR”), which imposes compliance obligations on companies who possess and use data of EU residents;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5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analysis of regulatory, legal and tax issues across various countries, such as different interpretations of antitrust and competition laws;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and resultant political, financial and market instability arising from the United Kingdom’s exit from the European Union;</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U.S. laws affecting activities of U.S. companies abroad, including the U.S. Foreign Corrupt Practices Act;</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9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geopolitical risks, including the relationship between the U.S. government and the government of other nations;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barriers and other regulatory or contractual limitations on SoundHound AI’s ability to sell or develop its solutions in certain foreign markets;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countries with a higher incidence of corruption and fraudulent business practices;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including export controls, tariffs and embargoes, other trade restrictions, competition, corporate practices and data privacy concerns;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tax consequences arising from global operations;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6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reductions in business activity in certain parts of the world, particularly during the summer months in Europe and at year-end globally;</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changes in government, economic and political policies and conditions; and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8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civil unrest or instability, terrorism or epidemics or pandemics (including any risks related to or resulting from COVID-19) and other similar outbreaks or events.</w:t>
      </w:r>
    </w:p>
    <w:p>
      <w:pPr>
        <w:spacing w:after="0" w:line="8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SoundHound AI’s failure to effectively manage the risks and uncertainties associated with its existing and planned global operations could limit the future growth of its business and adversely affect its operating results.</w:t>
      </w:r>
    </w:p>
    <w:p>
      <w:pPr>
        <w:spacing w:after="0" w:line="15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SoundHound AI relies on third-party telecommunications and internet service providers, including connectivity to its cloud software, and any failure by these service providers to provide reliable services could cause SoundHound AI to lose customers and subject it to claims for credits or damages, among other things.</w:t>
      </w:r>
    </w:p>
    <w:p>
      <w:pPr>
        <w:spacing w:after="0" w:line="10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SoundHound AI relies on services from third-party telecommunications providers in order to provide services to its customers and their customers, including telephone numbers. In addition, SoundHound AI depends on its internet bandwidth suppliers to provide uninterrupted and error-free service through their networks. SoundHound AI exercises little control over these third-party providers, which increases its vulnerability to problems with the services they provide.</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When problems occur, it may be difficult to identify the source of the problem. Service disruption or outages, whether caused by SoundHound AI’s service, the products or services of SoundHound AI’s third-party service providers, or SoundHound AI’s customers’ or their customers’ equipment and systems, may result in loss of market acceptance of its products and technologies and any necessary remedial actions may force it to incur significant costs and expenses.</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any of these service providers fail to provide reliable services, suffer outages, degrade, disrupt, increase the cost of or terminate the services that SoundHound AI and its customers depend on, SoundHound AI may be required to switch to another service provider. Delays caused by switching SoundHound AI’s technology to another service provider, if available, and qualifying this new service provider could materially harm its operating results. Further, any failure on the part of third-party service providers to achieve or maintain expected performance levels, stability and security could harm SoundHound AI’s relationships with its customers, cause it to lose customers, result in claims for credits or damages, increase its costs or the costs incurred by its customers, damage its reputation, significantly reduce customer demand for its products and technologies and seriously harm its and operating results.</w:t>
      </w:r>
    </w:p>
    <w:p>
      <w:pPr>
        <w:spacing w:after="0" w:line="184"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SoundHound AI’s customers rely on third-party telecommunications and internet service providers to provide them with access and connectivity to SoundHound AI’s cloud software, and changes in how telecommunication and internet service providers handle and charge for access to telecommunications and the internet could materially harm SoundHound AI’s customer relationships, business, financial condition and operations results.</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SoundHound AI’s customers must have access to wireless telecommunications and/or broadband internet access services in order to use its products and certain of its offerings require substantial capacity to operate effectively. In the United States, wireless telecommunications and internet access services are provided by relatively few companies that, depending on the geographic area, have market power over such offerings. It is possible that these companies could charge SoundHound AI, its customers, or both fees to guarantee a service amount of capacity, or for quality of wireless telecommunications and broadband internet access services, that could advantage SoundHound AI’s competitors by degrading, disrupting, limiting, or otherwise restricting the use of infrastructure required to support SoundHound AI’s services. These providers likely have the ability to increase SoundHound AI’s rates, SoundHound AI’s customers’ rates, or both for wireless telecommunications and/or broadband internet access services which may increase the cost of SoundHound AI’s products and technologies making its products and technologies less competitive or decreasing SoundHound AI’s profit margins.</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6" w:name="page27"/>
    <w:bookmarkEnd w:id="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AI’s plans to expand upon and establish new public cloud-based data centers for its U.S. and international operations may be unsuccessful and may present execution and competitive risks.</w:t>
      </w:r>
    </w:p>
    <w:p>
      <w:pPr>
        <w:spacing w:after="0" w:line="7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SoundHound AI may seek to expand upon and establish new public cloud deployments in the future to facilitate its platform in the U.S. and certain international markets. SoundHound AI may partner with a third-party to develop, test and deploy its technology to offer a full stack of products on the public cloud in the U.S. and certain international markets. SoundHound AI’s public cloud-based platform offering is critical to developing and providing its products to its customers, scaling its business for future growth, accurately maintaining data and otherwise operating its business. Infrastructure buildouts on the public cloud are complex, time-consuming and may involve substantial expenditures. In addition, the implementation of public cloud-based data centers involves risks, including loss of information and potential disruption to SoundHound AI’s normal operations. Deficiencies in the design, implementation or maintenance of the cloud-based data centers could materially harm SoundHound AI’s business.</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SoundHound AI considers approaches for expanding internationally, government regulation protecting the non-discriminatory provision of internet access may be nascent or non-existent. In those markets where regulatory safeguards against unreasonable discrimination are nascent or non-existent and where local network operators possess substantial market power, SoundHound AI could experience anti-competitive practices that could impede its growth, cause it to incur additional expenses or otherwise harm its business. Future regulations or changes in laws and regulations or their existing interpretations or applications could also hinder SoundHound AI’s operational flexibility, raise compliance costs and result in additional liabilities for SoundHound AI, which may harm its business.</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Sales to customers outside the United States or customers with international operations and SoundHound AI’s international sales efforts and operations expose it to risks inherent in international sales and operations.</w:t>
      </w:r>
    </w:p>
    <w:p>
      <w:pPr>
        <w:spacing w:after="0" w:line="10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An element of SoundHound AI’s growth strategy is to expand its international sales efforts and develop a worldwide customer base. SoundHound AI’s international expansion may not be successful and may not produce the return on investment it expects.</w:t>
      </w:r>
    </w:p>
    <w:p>
      <w:pPr>
        <w:spacing w:after="0" w:line="95"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SoundHound AI’s international subsidiaries employ workers primarily in Canada, Germany, Japan, China, France and Korea. Operating in international markets requires significant resources and management attention and subjects it to intellectual property, regulatory, economic and political risks that are different from those in the United States. As SoundHound AI increases its international sales efforts it will face risks in doing business internationally that could harm its business, including:</w:t>
      </w:r>
    </w:p>
    <w:p>
      <w:pPr>
        <w:spacing w:after="0" w:line="116" w:lineRule="exact"/>
        <w:rPr>
          <w:sz w:val="20"/>
          <w:szCs w:val="20"/>
          <w:color w:val="auto"/>
        </w:rPr>
      </w:pPr>
    </w:p>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establish and protect SoundHound AI’s brand in international markets;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localize and adapt SoundHound AI’s products for specific countries, including translation into foreign languages and associated costs and expenses;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1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 particularly hiring and training qualified sales and service personnel;</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and offer customer care in various languages;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pricing environments, longer sales and accounts receivable payment cycles and collections issues;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8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weaker protection for intellectual property and other legal rights than in the U.S. and practical difficulties in enforcing intellectual property and other rights outside of the U.S.;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protection laws and regulations that are complex, expensive to comply with and may require that customer data be stored and processed in a designated territory;</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piracy, counterfeiting and other misappropriation of SoundHound AI’s intellectual property in its locations outside the U.S.;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international markets;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 w:name="page28"/>
    <w:bookmarkEnd w:id="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79" w:hanging="434"/>
        <w:spacing w:after="0" w:line="266" w:lineRule="auto"/>
        <w:tabs>
          <w:tab w:leader="none" w:pos="139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the U.S. dollar and foreign currencies, which may make SoundHound AI’s products more expensive in other countries or may increase its costs, impacting its operating results when translated into U.S. dollars;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challenges related to the complexity of multiple, conflicting and changing governmental laws and regulations, including employment, tax, telecommunications and telemarketing laws and regulations;</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international telecom fraud;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applicable to foreign operations and cross border transactions, including the Foreign Corrupt Practices Act, the U.K. Bribery Act and other anti-corruption laws, supply chain restrictions, import and export control laws, tariffs, trade barriers, economic sanctions and other regulatory or contractual limitations on SoundHound AI’s ability to sell its products in certain foreign markets, and the risks and costs of non-compliance;</w:t>
      </w:r>
    </w:p>
    <w:p>
      <w:pPr>
        <w:spacing w:after="0" w:line="115"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taxes on the transfer of funds;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economic and political conditions and potential accompanying shifts in laws and regulations.</w:t>
      </w:r>
    </w:p>
    <w:p>
      <w:pPr>
        <w:spacing w:after="0" w:line="8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These risks could harm SoundHound AI’s international operations, increase its operating costs and hinder its ability to grow its international business and, consequently, its overall business and results of operations.</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addition, compliance with laws and regulations applicable to SoundHound AI’s international operations increases its cost of doing business outside the United States. SoundHound AI may be unable to keep current with changes in foreign government requirements and laws as they change from time to time, which often occurs with minimal or no advance notice. Failure to comply with these regulations could harm its business. In many countries outside the United States, it is common for others to engage in business practices that are prohibited by SoundHound AI’s internal policies and procedures or United States or international regulations applicable to it. Although SoundHound AI has implemented policies and procedures designed to ensure compliance with these laws and policies, there can be no assurance that all of its employees, contractors, strategic partners and agents will comply with these laws and policies. Violations of laws or key control policies by SoundHound AI’s employees, contractors, strategic partners or agents could result in delays in revenue recognition, financial reporting misstatements, fines, delays in filing financial reports required as a public company, penalties, or prohibitions on selling its products, any of which could harm its business.</w:t>
      </w:r>
    </w:p>
    <w:p>
      <w:pPr>
        <w:spacing w:after="0" w:line="186"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matters may cause significant variability in SoundHound AI’s operating results and may impact its overall financial condition.</w:t>
      </w:r>
    </w:p>
    <w:p>
      <w:pPr>
        <w:spacing w:after="0" w:line="91"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SoundHound AI’s businesses are subject to income taxation in the United States, as well as in many tax jurisdictions throughout the world. Tax rates in these jurisdictions may be subject to significant change. If SoundHound AI’s effective tax rate increases, its operating results and cash flow could be adversely affected. SoundHound AI’s effective income tax rate can vary significantly between periods due to a number of complex factors including:</w:t>
      </w:r>
    </w:p>
    <w:p>
      <w:pPr>
        <w:spacing w:after="0" w:line="102" w:lineRule="exact"/>
        <w:rPr>
          <w:sz w:val="20"/>
          <w:szCs w:val="20"/>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levels of taxable income;</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pre-tax income being lower than anticipated in countries with lower statutory rates or higher than anticipated in countries with higher statutory rates;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to valuation allowances recorded against deferred tax assets;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audits conducted and settled by various tax authorities;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income taxes upon finalization of income tax returns;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claim foreign tax credits;</w:t>
      </w:r>
    </w:p>
    <w:p>
      <w:pPr>
        <w:sectPr>
          <w:pgSz w:w="11900" w:h="16838" w:orient="portrait"/>
          <w:cols w:equalWidth="0" w:num="1">
            <w:col w:w="9019"/>
          </w:cols>
          <w:pgMar w:left="1440" w:top="270" w:right="1440"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8" w:name="page29"/>
    <w:bookmarkEnd w:id="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43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repatriation of non-U.S. earnings for which SoundHound AI has not previously provided for income taxes;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their interpretations in countries in which SoundHound AI is subject to taxation.</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SoundHound AI regularly evaluates the need for a valuation allowance on deferred tax assets, considering historical profitability, projected future taxable income, the expected timing of the reversals of existing temporary differences and tax planning strategies. This analysis is heavily dependent upon SoundHound AI’s current and projected operating results. A decline in future operating results could provide substantial evidence that a full or partial valuation allowance for deferred tax assets is necessary. This could have a material adverse effect on SoundHound AI’s results of operations and financial condition.</w:t>
      </w:r>
    </w:p>
    <w:p>
      <w:pPr>
        <w:spacing w:after="0" w:line="18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Forecasts of SoundHound AI’s market and market growth may prove to be inaccurate, and even if the markets in which it competes achieve the forecasted growth, there can be no assurance that its business will grow at similar rates, or at all.</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Growth forecasts described in this prospectus relating to SoundHound AI’s market opportunities, including in the Voice AI market and adjacent markets, and the expected growth thereof, are subject to significant uncertainty and are based on assumptions and estimates which may prove to be inaccurate. Even if these markets meet its size estimate and experience the forecasted growth, it may not grow its business at a similar rate, or at all. Its growth is subject to many factors, including its success in implementing its business strategy and ability to penetrate adjacent markets, which is subject to many risks and uncertainties. Accordingly, the forecasts of market growth included in this prospectus should not be taken as indicative of its future growth.</w:t>
      </w:r>
    </w:p>
    <w:p>
      <w:pPr>
        <w:spacing w:after="0" w:line="185"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SoundHound AI is unable to acquire new customers, its operating results will be harmed. Likewise, potential customer turnover in the future, or costs it incurs to retain its existing customers, could materially and adversely affect its operating results.</w:t>
      </w:r>
    </w:p>
    <w:p>
      <w:pPr>
        <w:spacing w:after="0" w:line="107" w:lineRule="exact"/>
        <w:rPr>
          <w:sz w:val="20"/>
          <w:szCs w:val="20"/>
          <w:color w:val="auto"/>
        </w:rPr>
      </w:pPr>
    </w:p>
    <w:p>
      <w:pPr>
        <w:jc w:val="both"/>
        <w:ind w:left="460" w:right="459" w:firstLine="432"/>
        <w:spacing w:after="0" w:line="269" w:lineRule="auto"/>
        <w:rPr>
          <w:sz w:val="20"/>
          <w:szCs w:val="20"/>
          <w:color w:val="auto"/>
        </w:rPr>
      </w:pPr>
      <w:r>
        <w:rPr>
          <w:rFonts w:ascii="Times New Roman" w:cs="Times New Roman" w:eastAsia="Times New Roman" w:hAnsi="Times New Roman"/>
          <w:sz w:val="17"/>
          <w:szCs w:val="17"/>
          <w:color w:val="auto"/>
        </w:rPr>
        <w:t>SoundHound AI’s success depends on its ability to acquire new customers in new and existing verticals, and in new and existing geographic markets. If SoundHound AI is unable to attract a sufficient number of new customers, it may be unable to reduce gross margins at desired rates and its operating results may suffer. The Voice AI market is competitive and many of SoundHound AI’s competitors have substantial financial, personnel and other resources that they utilize to develop solutions and attract customers. As a result, it may be difficult for us to add new customers to SoundHound AI’s existing customer base. Competition in the marketplace may also lead us to win fewer new customers or result in us providing discounts and other commercial incentives. Additional factors that impact SoundHound AI’s ability to acquire new customers include the perceived need for Voice AI -enabled products or Voice AI services, the size of prospective customers’ budgets for Voice AI, the utility and efficacy of SoundHound AI’s existing and new products, whether proven or perceived, and general economic conditions. These factors may have a meaningful negative impact on operating results.</w:t>
      </w:r>
    </w:p>
    <w:p>
      <w:pPr>
        <w:spacing w:after="0" w:line="17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SoundHound AI does not successfully anticipate market needs, enhance its existing products, execute on delivering quality products and services, or develop new products and services that meet those needs on a timely basis, it may not be able to compete effectively and its ability to generate revenues will suffer.</w:t>
      </w:r>
    </w:p>
    <w:p>
      <w:pPr>
        <w:spacing w:after="0" w:line="107"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SoundHound AI cannot guarantee that it will be able to anticipate future market needs and opportunities or be able to develop product and service enhancements or new products and services to meet such needs or opportunities in a timely manner, if at all. Even if SoundHound AI is able to anticipate, develop and commercially introduce enhancements and new products and services, there can be no assurance that enhancements or new products and services will achieve widespread market acceptance.</w:t>
      </w:r>
    </w:p>
    <w:p>
      <w:pPr>
        <w:spacing w:after="0" w:line="10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New products, as well as enhancements to its existing products, could fail to attain sufficient market acceptance for many reasons, including:</w:t>
      </w:r>
    </w:p>
    <w:p>
      <w:pPr>
        <w:spacing w:after="0" w:line="94" w:lineRule="exact"/>
        <w:rPr>
          <w:sz w:val="20"/>
          <w:szCs w:val="20"/>
          <w:color w:val="auto"/>
        </w:rPr>
      </w:pPr>
    </w:p>
    <w:p>
      <w:pPr>
        <w:ind w:left="1300" w:hanging="41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releasing new products, or product enhancements;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7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accurately predict market demand and to supply products that meet this demand in a timely fashion;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 w:name="page30"/>
    <w:bookmarkEnd w:id="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00" w:hanging="41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in its products, errors or failures of its products;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or perceptions about the performance or effectiveness of products;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or anticipated introduction of competing products or technologies by its competitors; and</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installation, configuration or usage errors by its customers.</w:t>
      </w:r>
    </w:p>
    <w:p>
      <w:pPr>
        <w:spacing w:after="0" w:line="15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SoundHound AI fails to anticipate market requirements or fail to develop and introduce product enhancements or new products to meet those needs in a timely manner, it could cause us to lose existing customers and prevent us from gaining new customers, which would significantly harm its business, financial condition and results of operations.</w:t>
      </w:r>
    </w:p>
    <w:p>
      <w:pPr>
        <w:spacing w:after="0" w:line="11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If SoundHound AI spends significant time and effort on research and development and is unable to generate an adequate return on its investment, its results of operations may be materially and adversely affected.</w:t>
      </w:r>
    </w:p>
    <w:p>
      <w:pPr>
        <w:spacing w:after="0" w:line="158"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SoundHound AI’s business model is predicated, in part, on maintaining a customer base that will generate a recurring stream of revenues. If that recurring stream of revenues is not maintained or does not increase as expected, or if SoundHound AI’s business model changes as the industry evolves, its operating results may be adversely affected.</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SoundHound AI’s business model is dependent, in part, on its ability to maintain and increase a customer base that generates recurring revenues. Existing and future customers of SoundHound AI’s products, technologies and systems may not purchase its subscriptions for its proprietary products or enter into service contracts with SoundHound AI at the same rate at which customers currently purchase those subscriptions or enter into service contracts with us. If SoundHound AI’s current and future customers purchase a lower volume of subscriptions for SoundHound AI’s proprietary products or do not continue entering into service contracts with us, SoundHound AI’s recurring revenue stream relative to its total revenues would be reduced and its operating results would be adversely affected.</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AI’s brand, reputation and ability to attract, retain and serve its customers are dependent in part upon the reliable performance of its products and technologies.</w:t>
      </w:r>
    </w:p>
    <w:p>
      <w:pPr>
        <w:spacing w:after="0" w:line="9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SoundHound AI’s brand, reputation and ability to attract, retain and serve its customers are dependent in part upon the reliable performance of, and the ability of its existing customers and new customers to access and use, its solutions, including real-time analytics and intelligence.</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Interruptions in SoundHound AI’s systems or the third-party systems on which SoundHound AI and its products rely, whether due to system failures, computer viruses, physical or electronic break-ins, or other factors, could affect the security or availability of our products, network infrastructure, cloud infrastructure and website.</w:t>
      </w:r>
    </w:p>
    <w:p>
      <w:pPr>
        <w:spacing w:after="0" w:line="9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Problems with the reliability or security of SoundHound AI’s systems could harm its reputation. Damage to SoundHound AI’s reputation and the cost of remedying these problems could negatively affect its business, financial condition, and operating results. Additionally, SoundHound AI’s third-party hosting suppliers in certain instances may have no obligations to renew their agreements with us on commercially reasonable terms or at all, and certain of the agreements governing these relationships may be terminated by either party at any time. If SoundHound AI is unable to maintain, renew, or expand its agreements with these providers on commercially reasonable terms, it may experience costs or downtime as it transitions its operations.</w:t>
      </w:r>
    </w:p>
    <w:p>
      <w:pPr>
        <w:spacing w:after="0" w:line="12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Any disruptions or other performance problems with its products could harm SoundHound AI’s reputation and business and may damage its customers’ businesses. Interruptions in its service delivery might reduce SoundHound AI’s revenue, cause SoundHound AI to issue credits to customers, subject us to potential liability and cause customers not to renew their subscription purchases of its products.</w:t>
      </w:r>
    </w:p>
    <w:p>
      <w:pPr>
        <w:spacing w:after="0" w:line="176"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SoundHound AI is unable to maintain and enhance its brand or reputation as an industry leader, its operating results may be adversely affected.</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SoundHound AI believes that maintaining and enhancing its reputation as the leader in Voice AI market is critical to its relationship with its customers and its customers’ end-users and its ability to maintain customers and continue to attract new customers. The successful promotion of its brand will depend on multiple factors, including its marketing efforts, its ability to continue to deliver a superior customer experience and develop high-quality</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0" w:name="page31"/>
    <w:bookmarkEnd w:id="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features for its products and its ability to successfully differentiate its products from those of its competitors. Its brand promotion activities may not be successful or yield increased revenue. The promotion of its brand requires SoundHound AI to make substantial expenditures, and it anticipates that the expenditures will increase as its market becomes more competitive, as it expands into new geographies and vertical markets and as more sales are generated through its reseller partners. To the extent that these activities yield increased revenue, this revenue may not offset the increased expenses it incurs. If SoundHound AI does not successfully maintain and enhance its brand and reputation, its operating results may be adversely affected.</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Relating to SoundHound AI’s Intellectual Property and Technology</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AI’s use of open source technology could impose limitations on its ability to commercialize its software.</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SoundHound AI uses open source technology in some of its software and expect to continue to use open source technology in the future. Although we monitor its use of open source technology to avoid subjecting its software to conditions SoundHound AI does not intend, we may face allegations from others alleging ownership of, or seeking to enforce the terms of, an open source license, including by demanding release of the open source software, derivative works, or SoundHound AI’s proprietary source code that was developed using such technology. These allegations could also result in litigation. The terms of many open source licenses have not been interpreted by United States courts. There is a risk that these licenses could be construed in a way that could impose unanticipated conditions or restrictions on SoundHound AI’s ability to commercialize its software. In such an event, we may be required to seek licenses from third parties to continue commercially offering its software, to make its proprietary code generally available in source code form, to re-engineer its software or to discontinue the sale of its software if re-engineering could not be accomplished on a timely basis, any of which could adversely affect SoundHound AI’s business and revenue.</w:t>
      </w:r>
    </w:p>
    <w:p>
      <w:pPr>
        <w:spacing w:after="0" w:line="12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use of open source technology could subject SoundHound AI to a number of other risks and challenges. Certain open source technology is subject to further development or modification by anyone. Others may develop such software to be competitive with or no longer useful by us. It is also possible for competitors to develop their own solutions using open source software, potentially reducing the demand for SoundHound AI’s software. If SoundHound AI is unable to successfully address these challenges, its operating results may be adversely affected, and its development costs may increase</w:t>
      </w:r>
      <w:r>
        <w:rPr>
          <w:rFonts w:ascii="Times New Roman" w:cs="Times New Roman" w:eastAsia="Times New Roman" w:hAnsi="Times New Roman"/>
          <w:sz w:val="18"/>
          <w:szCs w:val="18"/>
          <w:b w:val="1"/>
          <w:bCs w:val="1"/>
          <w:i w:val="1"/>
          <w:iCs w:val="1"/>
          <w:color w:val="auto"/>
        </w:rPr>
        <w:t>.</w:t>
      </w:r>
    </w:p>
    <w:p>
      <w:pPr>
        <w:spacing w:after="0" w:line="183"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Third parties have claimed in the past and may claim in the future that SoundHound AI is infringing their intellectual property, and we could be exposed to significant litigation or licensing expenses or be prevented from selling SoundHound AI’s products or making its technologies available to its customers if such claims are successful.</w:t>
      </w:r>
    </w:p>
    <w:p>
      <w:pPr>
        <w:spacing w:after="0" w:line="99"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SoundHound AI has been and in the future may be subject to claims and legal actions alleging that we or its customers may be infringing or contributing to the infringement of the intellectual property rights of others (though no material legal actions against SoundHound AI are currently pending). We may be unaware of intellectual property rights of others that may cover some of its technologies and products. If it appears necessary or desirable, we may seek licenses for these intellectual property rights. However, we may not be able to obtain licenses from some or all claimants, the terms of any offered licenses may not be acceptable to us, and we may not be able to resolve disputes without litigation. Any litigation regarding intellectual property could be costly and time-consuming and could divert the attention of SoundHound AI’s management and key personnel from its business operations. Intellectual property disputes could subject us to significant liabilities, require us to enter into royalty and licensing arrangements on unfavorable terms, prevent us from licensing certain of its products, cause severe disruptions to its operations or the markets in which we compete, or require us to satisfy indemnification commitments with its customers including contractual provisions under various arrangements. Furthermore, because of the substantial amount of discovery required in connection with intellectual property litigation, there is a risk that some of SoundHound AI’s confidential information could be compromised by disclosure during this type of litigation. For example, during the course of this kind of litigation, confidential information may be inadvertently disclosed in the form of documents or testimony in connection with discovery requests, depositions or trial testimony. This disclosure could have a material adverse effect on SoundHound AI’s business and its financial results. Any of these could seriously harm SoundHound AI’s business.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Unauthorized use of SoundHound AI’s proprietary technology and intellectual property could adversely affect its business and results of operations.</w:t>
      </w:r>
    </w:p>
    <w:p>
      <w:pPr>
        <w:spacing w:after="0" w:line="7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SoundHound AI’s success and competitive position depend in large part on its ability to obtain and maintain intellectual property rights protecting its products and technologies. We rely on a combination of patents, copyrights, trademarks, trade secrets, confidentiality provisions and licensing arrangements to establish and protect SoundHound AI’s intellectual property and proprietary rights. Unauthorized parties may attempt to copy or discover aspects of SoundHound AI’s products or to obtain, license, sell or otherwise use information that we regard as proprietary. Policing unauthorized use of SoundHound AI’s products is difficult and we may not be able to protect its technology from unauthorized use. Additionally, SoundHound AI’s competitors may independently develop technologies that are substantially the same or superior to its technologies and that do not infringe its rights. In these cases, we would be unable to prevent its competitors from selling or licensing these similar or superior technologies. In addition, the laws of some foreign countries do not protect SoundHound AI’s proprietary rights to the same extent as the laws of the United States. Although the source code for SoundHound AI’s proprietary software is protected both as a trade secret and as a copyrighted work, litigation may be necessary to enforce its intellectual property rights, to protect its trade secrets, to determine the validity and scope of the proprietary rights of others, or to defend against claims of infringement or invalidity. Litigation, regardless of the outcome, can be very expensive and can divert management’s efforts.</w:t>
      </w:r>
    </w:p>
    <w:p>
      <w:pPr>
        <w:spacing w:after="0" w:line="19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AI’s software products may have bugs, which could result in delayed or lost revenue, expensive correction, liability to its customers and claims against us.</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Complex software products such as SoundHound AI’s may contain errors, defects or bugs. Defects in the solutions or products that we develop and sell to its customers could require expensive corrections and result in delayed or lost revenue, adverse customer reaction and negative publicity about us or SoundHound AI’s products and technologies. Customers who are not satisfied with any of SoundHound AI’s products may also bring claims against us for damages, which, even if unsuccessful, would likely be time-consuming to defend, and could result in costly litigation and payment of damages. Such claims could harm SoundHound AI’s reputation, financial results and competitive position.</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respond quickly enough to changes in technology and technological risks and to develop its intellectual property into commercially viable products.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Changes in legislative, regulatory or industry requirements or in competitive technologies may render certain of SoundHound AI’s products obsolete or less attractive to its customers, which could adversely affect its results of operations. SoundHound AI’s ability to anticipate changes in technology and regulatory standards and to successfully develop and introduce new and enhanced products on a timely basis will be a significant factor in its ability to be competitive. There is a risk that we will not be able to achieve the technological advances that may be necessary for us to be competitive or that certain of its products will become obsolete. SoundHound AI is also subject to the risks generally associated with new product introductions and applications, including lack of market acceptance, delays in product development and failure of products to operate properly. These risks could have a material adverse effect on SoundHound AI’s business, results of operations and financial condition.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SoundHound AI’s Class A Common Stock and the Securities Market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SoundHound AI’s stock price may fluctuate significantly.</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market price of SoundHound AI’s Class A Common Stock may fluctuate widely, depending on many factors, some of which may be beyond our control, including:</w:t>
      </w:r>
    </w:p>
    <w:p>
      <w:pPr>
        <w:spacing w:after="0" w:line="94" w:lineRule="exact"/>
        <w:rPr>
          <w:sz w:val="20"/>
          <w:szCs w:val="20"/>
          <w:color w:val="auto"/>
        </w:rPr>
      </w:pPr>
    </w:p>
    <w:p>
      <w:pPr>
        <w:ind w:left="1300" w:hanging="41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results of operations due to factors related to its business;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or failure of its business strategies;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industry capacity;</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other factors that affect earnings and cash flow;</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 w:name="page33"/>
    <w:bookmarkEnd w:id="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31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level of indebtedness, its ability to make payments on or service its indebtedness and its ability to obtain financing as needed;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ability to retain and recruit qualified personnel;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quarterly or annual earnings, or those of other companies in its industry;</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its competitors of significant acquisitions or dispositions;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cover, or positively cover, our Class A Common Stock after the Business Combination;</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by securities analysts or its ability to meet those estimates;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other comparable companies;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the Company and its industry;</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market fluctuations unrelated to its operating performance;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any material litigation or government investigation;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(including tax laws and regulations) affecting its business;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capital gains taxes and taxes on dividends affecting stockholders;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other external factors.</w:t>
      </w:r>
    </w:p>
    <w:p>
      <w:pPr>
        <w:spacing w:after="0" w:line="15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Low trading volume for SoundHound AI’s Class A Common Stock, which may occur if an active trading market does not develop, among other reasons, would amplify the effect of the above factors on stock price volatility.</w:t>
      </w:r>
    </w:p>
    <w:p>
      <w:pPr>
        <w:spacing w:after="0" w:line="95"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Should the market price of our shares drop significantly, stockholders may institute securities class action lawsuits against us. A lawsuit against SoundHound AI could cause SoundHound AI to incur substantial costs and could divert the time and attention of its management and other resources.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ownership in SoundHound AI may be diluted in the future.</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Stockholders’ percentage ownership in SoundHound AI may be diluted in the future because of equity issuances for acquisitions, capital market transactions or otherwise, including equity awards that SoundHound AI will be granting to directors, officers and other employees. Our Board has adopted the incentive plan and ESPP subject to stockholder approval, for the benefit of certain of our current and future employees, service providers and non-employee directors. Such awards will have a dilutive effect on our earnings per share, which could adversely affect the market price of our Class A Common Stock.</w:t>
      </w:r>
    </w:p>
    <w:p>
      <w:pPr>
        <w:spacing w:after="0" w:line="10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From time-to-time, SoundHound AI may opportunistically evaluate and pursue acquisition opportunities, including acquisitions for which the consideration thereof may consist partially or entirely of newly-issued shares of SoundHound AI common stock and, therefore, such transactions, if consummated, would dilute the voting power and/or reduce the value of our common stock.</w:t>
      </w:r>
    </w:p>
    <w:p>
      <w:pPr>
        <w:spacing w:after="0" w:line="176"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liquid trading market for SoundHound AI’s Class A Common Stock may not develop, which may limit your ability to sell your shares.</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An active trading market for SoundHound AI’s shares of Class A Common Stock may never develop or be sustained following the consummation of the Business Combination. A public trading market having the desirable characteristics of depth, liquidity and orderliness depends upon the existence of willing buyers and sellers at any given time, such existence being dependent upon the individual decisions of buyers and sellers over which neither SoundHound AI nor any market maker has control. The failure of an active and liquid trading market to develop and continue would likely have a material adverse effect on the value of SoundHound AI’s Class A Common Stock. An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 w:name="page34"/>
    <w:bookmarkEnd w:id="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inactive market may also impair SoundHound AI’s ability to raise capital to continue to fund operations by issuing shares and may impair SoundHound AI’s ability to acquire other companies or technologies by using SoundHound AI’s shares as consideration.</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of additional shares of common stock or convertible securities may dilute your ownership and could adversely affect the stock price.</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From time to time in the future, SoundHound AI may issue additional shares of common stock or securities convertible into common stock pursuant to a variety of transactions, including acquisitions. Additional shares of common stock may also be issued upon exercise of outstanding stock options and warrants to purchase common stock. The issuance by us of additional shares of common stock or securities convertible into common stock would dilute your ownership of SoundHound AI and the sale of a significant amount of such shares in the public market could adversely affect prevailing market prices of our common stock. Subject to the satisfaction of vesting conditions and the expiration of lockup agreements, shares issuable upon exercise of options will be available for resale immediately in the public market without restriction.</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Issuing additional shares of SoundHound AI’s capital stock, other equity securities, or securities convertible into equity may dilute the economic and voting rights of our existing stockholders, reduce the market price of our common stock,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SoundHound AI’s decision to issue securities in any future offering will depend on market conditions and other factors beyond our control, which may adversely affect the amount, timing, or nature of our future offerings. As a result, holders of SoundHound AI’s common stock bear the risk that SoundHound AI’s future offerings may reduce the market price of SoundHound AI’s common stock and dilute their percentage ownership.</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for the foreseeable future.</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timing, declaration, amount and payment of future dividends to stockholders falls within the discretion of our board of directors and will depend on many factors, including our financial condition, earnings, capital requirements of our business and covenants associated with debt obligations, as well as legal requirements, regulatory constraints, industry practice and other factors that our board of directors deems relevant. There can be no assurance that we will continue to pay any dividend in the future.</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securities being offered in this prospectus represent a substantial percentage of our outstanding</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Class A Common Stock and warrants, and the sales of such securities could cause the market price of our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Class A Common Stock and warrants to decline significantly.</w:t>
      </w:r>
    </w:p>
    <w:p>
      <w:pPr>
        <w:spacing w:after="0" w:line="13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This prospectus relates to the offer and resale of an aggregate of up to (i) 56,834,904 Class A Shares by Selling Securityholders (ii) the resale by certain of our affiliates from time to time of up to 40,396,600 Class A Shares issuable upon conversion of shares of Class B Shares, (iii) the resale from time to time of up to 208,000 Placement Warrants and (iv) the issuance by us of up to 6,858,000 Class A Shares upon the exercise of outstanding Public Warrants and Placement Warrants. The market prices for shares of our Class A Common Stock and warrants could decline as a result of the sales of our Class A Common Stock and warrants being offered in this prospectus, and such declines could be significant.</w:t>
      </w:r>
    </w:p>
    <w:p>
      <w:pPr>
        <w:spacing w:after="0" w:line="185"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of SoundHound AI’s common stock by SoundHound AI or its existing stockholders in the public market could cause the market price for SoundHound AI’s common stock to decline.</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sale of substantial amounts of shares of SoundHound AI’s common stock in the public market, or the perception that such sales could occur, could harm the prevailing market price of shares of common stock. These sales, or the possibility that these sales may occur, also might make it more difficult for us to sell equity securities in the future at a time and at a price that we deem appropriate.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 w:name="page35"/>
    <w:bookmarkEnd w:id="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certain of ATSP’s stockholders agreed that, subject to certain exceptions, they will not, during the period beginning at the effective time of the Business Combination and the date that is 180 days after the date of the Business Combination (subject to early release if SoundHound AI consummates a liquidation, merger, share exchange or other similar transaction with an unaffiliated third party), directly or indirectly, offer, sell, contract to sell, pledge, grant any option to purchase, make any short sale, or otherwise dispose of any shares of common stock, or any options or warrants to purchase any shares of common stock, or any securities convertible into, exchangeable for, or that represent the right to receive shares of common stock, or any interest in any of the foregoing.</w:t>
      </w:r>
    </w:p>
    <w:p>
      <w:pPr>
        <w:spacing w:after="0" w:line="12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Upon the expiration or waiver of the lock-up described above, shares held by these stockholders will be eligible for resale, subject to, in the case of stockholders who are our affiliates, volume, manner of sale, and other limitations under Rule 144 promulgated under the Securities Act.</w:t>
      </w:r>
    </w:p>
    <w:p>
      <w:pPr>
        <w:spacing w:after="0" w:line="10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In addition, certain of our stockholders will have registration rights under a registration rights agreement to be entered into prior to the Closing pursuant to which we are obligated to register such stockholders’ shares of common stock and other securities that such stockholders may acquire after the Closing. Upon the effectiveness of the applicable registration statement, these shares of common stock will be available for resale without restriction, subject to any lock-up agreement.</w:t>
      </w:r>
    </w:p>
    <w:p>
      <w:pPr>
        <w:spacing w:after="0" w:line="10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In addition, shares of our common stock issuable upon exercise or vesting of incentive awards under our incentive plans are, once issued, eligible for sale in the public market, subject to any lock-up agreements and, in some cases, limitations on volume and manner of sale applicable to affiliates under Rule 144. Furthermore, shares of our common stock reserved for future issuance under SoundHound AI Holdings, Inc. 2022 Incentive Award Plan and SoundHound AI Holdings, Inc. 2022 ESPP may become available for sale in future.</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market price of shares of our Class A Common Stock could drop significantly if the holders of the shares described above sell them or are perceived by the market as intending to sell them. These factors could also make it more difficult for us to raise additional funds through future offerings of shares of our common stock or other securities.</w:t>
      </w:r>
    </w:p>
    <w:p>
      <w:pPr>
        <w:spacing w:after="0" w:line="176"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inaccurate or unfavorable research or reports about SoundHound AI’s business, its stock price and trading volume could decline.</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trading market for the Class A Common Stock depends, in part, on the research and reports that third-party securities analysts publish about us and the industries in which we operate. We may be unable or slow to attract research coverage and if one or more analysts cease coverage of us, the price and trading volume of our securities would likely be negatively impacted. If any of the analysts that may cover us change their recommendation regarding our Class A Common Stock adversely, or provide more favorable relative recommendations about our competitors, the price of our Class A Common Stock would likely decline. If any analyst that may cover us ceases covering us or fails to regularly publish reports on us, we could lose visibility in the financial markets, which could cause the price or trading volume of our Class A Common Stock to decline. Moreover, if one or more of the analysts who cover us downgrades our Class A Common Stock, or if our reporting results do not meet their expectations, the market price of our Class A Common Stock could decline.</w:t>
      </w:r>
    </w:p>
    <w:p>
      <w:pPr>
        <w:spacing w:after="0" w:line="18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AI may be subject to securities litigation, which is expensive and could divert management attention.</w:t>
      </w:r>
    </w:p>
    <w:p>
      <w:pPr>
        <w:spacing w:after="0" w:line="7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Following the Business Combination, the per share price of the Class A Common Stock may be volatile and, in the past, companies that have experienced volatility in the market price of their stock have been subject to securities litigation, including class action litigation. Litigation of this type could result in substantial costs and diversion of management’s attention and resources, which could have a material adverse effect on our business, financial condition, and results of operations. Any adverse determination in litigation could also subject SoundHound AI to significant liabilities.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 w:name="page36"/>
    <w:bookmarkEnd w:id="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Applicable to a Dual Class Common Stock Structure</w:t>
      </w:r>
    </w:p>
    <w:p>
      <w:pPr>
        <w:spacing w:after="0" w:line="225"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SoundHound AI has a dual class common stock structure that has the effect of concentrating voting control with the holders of our Class B Common Stock. Our Class B Common Stock has multiple votes per share and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adversely affect the trading price of our Class A Common stock.</w:t>
      </w:r>
    </w:p>
    <w:p>
      <w:pPr>
        <w:spacing w:after="0" w:line="105"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SoundHound AI has a dual class common stock structure and the holders of SoundHound AI Class B Common Stock have ten votes per share. SoundHound Founders own shares of Class B Common Stock representing approximately 70.5% of the voting power of the outstanding capital stock of SoundHound AI following the Business Combination. In addition, because of the ten-to-one voting ratio between our Class B and Class A Common Stock, holders of our Class B Common Stock could continue to control a majority of the combined voting power of our Common Stock and therefore control all matters submitted to our stockholders for approval until such time, if any, as a sufficient number of shares of our Class B Common Stock are converted into shares of our Class A Common Stock in accordance with the terms of the Amended Charter.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transactions requiring stockholder approval. In addition, this concentrated control may prevent or discourage unsolicited acquisition proposals or offers for our capital stock that you may feel are in your best interest as one of our stockholders. As a result, such concentrated control may adversely affect the market price of our Class A Common Stock.</w:t>
      </w:r>
    </w:p>
    <w:p>
      <w:pPr>
        <w:spacing w:after="0" w:line="13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Shares of Class B Common Stock will be convertible into shares of Class A Common Stock and will be automatically convert into shares of Class A Common Stock upon the occurrence of certain future events, generally including transfers, subject to limited excepts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Amended Charter provides for a dual-class multiple voting Common Stock structure, and we cannot predict the effect this structure of our Common Stock may have on the market price of our Class A Common Stock.</w:t>
      </w:r>
    </w:p>
    <w:p>
      <w:pPr>
        <w:spacing w:after="0" w:line="107"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We cannot predict whether having an Amended Charter that permits the issuance of multiple voting shares in a dual-class structure will result in a lower or more volatile market price of our Class A Common Stock, adverse publicity or other adverse consequences. For example, certain index providers have announced and implemented restrictions on including companies with multiple-class share structures in certain of their 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its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and implemented policies, the dual-class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adversely affect valuations, as compared to similar companies that are included. Due to the dual-class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6" w:name="page37"/>
    <w:bookmarkEnd w:id="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will be considered a “controlled company” within the meaning of Nasdaq listing standards and, as a result, will qualify for, and may rely on, exemptions from certain corporate governance requirements. You will not have the same protections afforded to shareholders of companies that are subject to such requirements.</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SoundHound AI has a dual class structure and upon the Closing, SoundHound Founders exchanged their shares of SoundHound Class B Common Stock for shares of Class B Common Stock of SoundHound AI which allows SoundHound Founders to also control a majority of the voting power of SoundHound AI after the Closing.</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SoundHound AI qualifies as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 the requirement that (i) a majority of our board of directors consist of independent directors, (ii) we have a compensation committee that is composed entirely of independent directors and (iii) director nominees be selected or recommended to the board by independent directors. It is not our intention to elect not to comply with all of these corporate governance requirements after the Closing, in that SoundHound AI Board is expected to consist of a majority of independent directors. We may, however, elect not to have a compensation committee consisting entirely of independent directors and our directors may not be nominated or selected solely by independent directors.</w:t>
      </w:r>
    </w:p>
    <w:p>
      <w:pPr>
        <w:spacing w:after="0" w:line="12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SoundHound AI may in the future rely on the corporate governance exemptions as we adopted the dual class common stock structure reflected in our Amended and Restated Charter and qualify as a controlled company. To the extent we will rely on any of these exemption, holders of our Class A Common Stock will not have the same protections afforded to shareholders of companies that are subject to all of the corporate governance requirements of Nasdaq and we cannot predict the impact this may have on the price of our Class A Common Stock.</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charter documents could make a merger, tender offer, or proxy contest difficult, thereby depressing the trading price of our common stock.</w:t>
      </w:r>
    </w:p>
    <w:p>
      <w:pPr>
        <w:spacing w:after="0" w:line="7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Amended Charter, Amended Bylaws, and Delaware law contain provisions that could depress the trading price of our common stock by acting to discourage, delay, or prevent a change of control of SoundHound AI or changes in SoundHound AI that our management or stockholders may deem advantageous. Among other things, Amended Charter and Amended Bylaws include the following provisions:</w:t>
      </w:r>
    </w:p>
    <w:p>
      <w:pPr>
        <w:spacing w:after="0" w:line="112" w:lineRule="exact"/>
        <w:rPr>
          <w:sz w:val="20"/>
          <w:szCs w:val="20"/>
          <w:color w:val="auto"/>
        </w:rPr>
      </w:pPr>
    </w:p>
    <w:p>
      <w:pPr>
        <w:ind w:left="1320" w:right="479" w:hanging="434"/>
        <w:spacing w:after="0" w:line="282" w:lineRule="auto"/>
        <w:tabs>
          <w:tab w:leader="none" w:pos="139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so that not all members of our board of directors are elected at one time;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and fill any vacancies and newly created directorships;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certain provisions of Amended Charter;</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stockholder rights plan;</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the ability of our stockholders to call special meetings of stockholders, except to the extent otherwise provided in the Amended Bylaws;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1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except to the extent otherwise provided in the Amended Bylaws, which requires all stockholder actions to be taken at a meeting of our stockholders;</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1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of directors is expressly authorized to make, alter, or repeal our Amended Bylaws;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7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9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 As a Delaware corporation, we are also subject to provisions of Delaware law. Pursuant to the Amended Charter, we have opted out of Section 203 of the DGCL, which prevents interested stockholders, such as</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certain stockholders holding more than 15% of our outstanding common stock, from engaging in certain business combinations unless (i) prior to the time such stockholder became an interested stockholder, our board of directors approved the transaction that resulted in such stockholder becoming an interested stockholder,</w:t>
      </w:r>
    </w:p>
    <w:p>
      <w:pPr>
        <w:spacing w:after="0" w:line="1" w:lineRule="exact"/>
        <w:rPr>
          <w:sz w:val="20"/>
          <w:szCs w:val="20"/>
          <w:color w:val="auto"/>
        </w:rPr>
      </w:pPr>
    </w:p>
    <w:p>
      <w:pPr>
        <w:jc w:val="both"/>
        <w:ind w:left="460" w:right="459" w:hanging="6"/>
        <w:spacing w:after="0" w:line="252" w:lineRule="auto"/>
        <w:tabs>
          <w:tab w:leader="none" w:pos="73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such stockholder becoming an interested stockholder, the interested stockholder owned at least 85% of our common stock, or (iii) following board approval, such business combination receives the approval of the holders of at least two-thirds of our outstanding common stock not held by such interested stockholder at an annual or special meeting of stockholders. However, our Amended Charter includes provisions similar to the provisions contained in Section 203 of the DGCL, which are designed to limit SoundHound AI’s ability to enter into certain business combination transactions within a three (3) year period following the adoption of the Amended Charter.</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Any provision of our Amended Charter, our Amended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U.S. and International Taxation Generally</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exposure to additional income tax liabilities could affect SoundHound AI’s future profitability.</w:t>
      </w:r>
    </w:p>
    <w:p>
      <w:pPr>
        <w:spacing w:after="0" w:line="9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Factors that could materially affect SoundHound AI’s future effective tax rates include but are not limited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w:t>
      </w:r>
    </w:p>
    <w:p>
      <w:pPr>
        <w:spacing w:after="0" w:line="126" w:lineRule="exact"/>
        <w:rPr>
          <w:sz w:val="20"/>
          <w:szCs w:val="20"/>
          <w:color w:val="auto"/>
        </w:rPr>
      </w:pPr>
    </w:p>
    <w:p>
      <w:pPr>
        <w:ind w:left="1300" w:hanging="41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the regulatory environment;</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and tax standards or practices;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composition of operating income by tax jurisdiction;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AI’s operating results before taxes.</w:t>
      </w:r>
    </w:p>
    <w:p>
      <w:pPr>
        <w:spacing w:after="0" w:line="15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Because SoundHound AI does not have a long history of operating at its present scale and it has significant expansion plans, SoundHound AI’s effective tax rate may fluctuate in the future. Future effective tax rates could be affected by operating losses in jurisdictions where no tax benefit can be recorded under GAAP, changes in the composition of earnings in countries with differing tax rates, changes in deferred tax assets and liabilities, or changes in tax laws.</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December 22, 2017, the Tax Cuts and Jobs Act of 2017 (the “Tax Act”), was signed into law making significant changes to the Internal Revenue Code of 1986, as amended (the “Code”). In particular, sweeping changes were made to the U.S. taxation of foreign operations. Changes include, but are not limited to, a permanent reduction to the corporate income tax rate, limiting interest deductions, adopting elements of a territorial tax system, assessing a repatriation tax or “toll-charge” on undistributed earnings and profits of U.S.-owned foreign corporations, and introducing certain anti-base erosion provisions, including a new minimum tax on global intangible low-taxed income and base erosion and anti-abuse tax. The new legislation had no effect on SoundHound AI’s 2018 and 2019 or 2020 provision for income taxes because SoundHound AI incurred losses in the U.S. in these years, and the management set up a full valuation allowance against its U.S. federal and states deferred tax assets.</w:t>
      </w:r>
    </w:p>
    <w:p>
      <w:pPr>
        <w:spacing w:after="0" w:line="11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addition to the impact of the Tax Act on SoundHound AI’s federal taxes, the Tax Act may impact its taxation in other jurisdictions, including with respect to state income taxes. State legislatures have not had sufficient time to respond to the Tax Act. Accordingly, there is uncertainty as to how the laws will apply in the various state jurisdictions. Additionally, other foreign governing bodies may enact changes to their tax laws that could result in changes to SoundHound AI’s global tax position and materially adversely affect its business, results of operations and financial condition. Additionally, the IRS and several foreign tax authorities have increasingly focused attention on intercompany transfer pricing with respect to sales of products and technologies and the use of intangibles. Tax authorities could disagree with SoundHound AI’s future intercompany charges, cross-jurisdictional transfer pricing or other matters and assess additional taxes. If SoundHound AI does not prevail in any such disagreements, its profitability may be affected.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AI’s ability to use its net operating loss carryforwards and certain other tax attributes may be limited.</w:t>
      </w:r>
    </w:p>
    <w:p>
      <w:pPr>
        <w:spacing w:after="0" w:line="7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As of December 31, 2021, SoundHound AI had $301.5 million of U.S. federal and $102.9 million of state net operating loss carryforwards available to reduce future taxable income. Of the $301.5 million in U.S. federal net operating loss carryforwards, $212.9 million will be carried forward indefinitely for U.S. federal tax purposes and $88.6 million will begin to expire in 2025. $102.9 million of SoundHound AI’s U.S. state net operating loss carryforwards will begin to expire in 2028. It is possible that SoundHound AI will not generate taxable income in time to use these net operating loss carryforwards before their expiration or at all. Under legislative changes made in December 2017, U.S. federal net operating losses incurred in 2018 and in future years may be carried forward indefinitely, but the deductibility of such net operating losses is limited. It is uncertain if and to what extent various states will conform to the newly enacted federal tax law. In addition, the federal and state net operating loss carryforwards and certain tax credits may be subject to significant limitations under Section 382 and Section 383 of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SoundHound AI’s ownership by “5-percent shareholders” that exceeds 50 percentage points over a rolling three-year period. Similar rules may apply under state tax laws. SoundHound AI has not yet undertaken an analysis of whether the Business Combination constitutes an “ownership change” for purposes of Section 382 and Section 383 of the Code. In addition, certain U.S. states have imposed additional limitations on the use of net operating loss carryforwards not otherwise imposed on the use of U.S. federal net operating loss carryforwards and may impose additional limitations in the future.</w:t>
      </w:r>
    </w:p>
    <w:p>
      <w:pPr>
        <w:spacing w:after="0" w:line="18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9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are subject to income taxes in the United States and other jurisdictions, and our tax liabilities will be subject to the allocation of expenses in differing jurisdictions. Our future effective tax rates could be subject to volatility or adversely affected by a number of factors, including:</w:t>
      </w:r>
    </w:p>
    <w:p>
      <w:pPr>
        <w:spacing w:after="0" w:line="108" w:lineRule="exact"/>
        <w:rPr>
          <w:sz w:val="20"/>
          <w:szCs w:val="20"/>
          <w:color w:val="auto"/>
        </w:rPr>
      </w:pPr>
    </w:p>
    <w:p>
      <w:pPr>
        <w:ind w:left="1300" w:hanging="41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or</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7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 w:name="page40"/>
    <w:bookmarkEnd w:id="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All of the securities offered by the Selling Securityholders pursuant to this prospectus will be sold by the Selling Securityholders for their respective accounts. We will not receive any of the proceeds from these sales.</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Assuming the cash exercise of all outstanding Warrants, we will receive an aggregate of approximately $78.9 million. We expect to use the net proceeds from the exercise of the Warrants, if any, for working capital and general corporate purposes. We will have broad discretion over the use of any proceeds from the exercise of the Warrants. There is no assurance that the holders of the Warrants will elect to exercise any or all of their Warrants. To the extent that any Warrants are exercised on a “cashless basis,” the amount of cash we would receive from the exercise of the Warrants will decrease.</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Selling Securityholders will pay any underwriting discounts and commissions and expenses for brokerage, accounting, tax or legal services or any other expenses incurred by the Selling Securityholders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 w:name="page41"/>
    <w:bookmarkEnd w:id="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offering price of the shares of Class A Common Stock underlying the Warrants offered hereby is determined by reference to the exercise price of the Warrants of $11.50 per share. The Warrants are listed on Nasdaq under the symbol “SOUNW”</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cannot currently determine the price at which shares of our Class A Common Stock may be sold by the Selling Securityholders under this prospectus.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MARKET INFORMATION FOR CLASS A STOCK AND DIVIDEND POLICY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Class A Common Stock and Warrants are currently listed on Nasdaq under the symbols “SOUN” and “SOUNW,” respectively. Prior to the consummation of the Business Combination, ATSP’s units, subunits, and warrants were listed on the Nasdaq Stock Market, under the symbols “ATSPU,” “ATSPT,” and “ATSPW,” respectively. As of April 26, 2022, upon the completion of the Business Combination, there were approximately 39 holders of record of our Class A Common Stock, three holders of record of our Class B Common Stock, and three holders of record of our Warrants. Our Class B Common Stock is not listed on any exchange and we do not intend to list the Class B Common Stock on any exchange or stock market.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on our Class A Common Stock to date. The payment of cash dividends in the future will be dependent upon our revenues and earnings, if any, capital requirements and general financial condition. The payment of any cash dividends will be within the discretion of our Board at such time. We do not anticipate declaring any cash dividends to holders of our Class A Common Stock in the foreseeable future.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OF ATSP</w:t>
      </w:r>
    </w:p>
    <w:p>
      <w:pPr>
        <w:spacing w:after="0" w:line="7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audited financial statements and the notes related thereto which are included elsewhere in this prospectus. Some of the information contained in this discussion and analysis or set forth elsewhere in this prospectus, including information with respect to SoundHound’s plans and strategy for its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11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References to “ATSP,” the “Company,” “Archimedes Tech SPAC Partners Co.” “our,” “us” or “we” refer to Archimedes Tech SPAC Partners Co. The following discussion and analysis of the Company’s financial condition and results of operations should be read in conjunction with the audited financial statements and the notes thereto contained elsewhere in this report. Certain information contained in the discussion and analysis set forth below includes forward-looking statements that involve risks and uncertainties.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were formed on September 15, 2020 for the purpose of entering into a merger, share exchange, asset acquisition, stock purchase, recapitalization, reorganization or other similar business combination with one or more target businesses (the “Business Combination”). Our efforts to identify a prospective target business will not be limited to a particular industry or geographic region, though we intend to focus our search on a business operating in the technology industry. We intend to utilize cash derived from the proceeds of this offering, our securities, debt or a combination of cash, securities and debt, in effecting a Business Combination.</w:t>
      </w:r>
    </w:p>
    <w:p>
      <w:pPr>
        <w:spacing w:after="0" w:line="10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All activity through December 31, 2021 relates to our formation, IPO, which was consummated on March 15, 2021, the search for a prospective initial Business Combination target, and efforts toward consummating the initial Business Combination.</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November 15, 2021, we entered into a definitive merger agreement with SoundHound Inc., a voice artificial intelligence company, pursuant to which the two companies agreed to consummate a Business Combination (the “Merger Agreement”). The total consideration to be paid to SoundHound Inc. is $2 billion in equity of the Company, with outstanding SoundHound Inc. stock options and warrants included on a net exercise basis. In connection with the Business Combination, certain accredited investors committed to purchase 11.1 million shares of Class A Common Stock of the combined company at a price of $10.00 per share, for total gross proceeds of $111 million, in a private placement that is scheduled to close concurrently with the Business Combination.</w:t>
      </w:r>
    </w:p>
    <w:p>
      <w:pPr>
        <w:spacing w:after="0" w:line="12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Additional information about the Merger Agreement and related transactions can be found in the Current Report on Form 8-K filed on November 16, 2021 and in the Amendment No. 1 to Form S-4 filed on February 14, 2022.</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of December 31, 2021, we have not commenced any operations. All activity for the period from September 15, 2020 (inception) through December 31, 2021 relates to our formation, IPO and, after our IPO, identifying a target company for a Business Combination. We will not generate any operating revenues until after the completion of our initial Business Combination, at the earliest. We will generate non-operating income in the form of interest income from the proceeds derived from the IPO and placed in the Trust Account.</w:t>
      </w:r>
    </w:p>
    <w:p>
      <w:pPr>
        <w:spacing w:after="0" w:line="11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we had a net loss of $981,884, which was comprised of operating costs of $1,015,260, interest income of $10,583 from marketable securities held in our Trust Account, and unrealized gain on change in fair value of warrants of $22,793.</w:t>
      </w:r>
    </w:p>
    <w:p>
      <w:pPr>
        <w:spacing w:after="0" w:line="10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For the period from September 15, 2020 (inception) through December 31, 2020, we had a net loss of $716, which was comprised of operating costs of $716.</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 w:name="page44"/>
    <w:bookmarkEnd w:id="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 March 15, 2021, we consummated the IPO of 12,000,000 Public Units at a price of $10.00 per Public Unit, generating gross proceeds of $120,000,000. Simultaneously with the closing of the IPO, we consummated the sale of 390,000 Private Units at a price of $10.00 per Private Unit in a private placement to the Sponsor and EarlyBirdCapital, generating gross proceeds of $3,900,000.</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March 19, 2021, the underwriters partially exercised the over-allotment option to purchase 1,300,000 Public Units, at a purchase price of $10.00 per Public Unit, generating gross proceeds of $13,000,000. In connection with the underwriters’ exercise of their over-allotment option, we also consummated the sale of an additional 26,000 Private Units at $10.00 per Private Unit to the Sponsor and EarlyBirdCapital, generating gross proceeds of $260,000.</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Following the closing of the IPO on March 15, 2021 and the underwriters’ partial exercise of over-allotment option on March 19, 2021, $133,000,000 from the net proceeds of the sale of the Public Units in the IPO and the sale of the Private Units was placed in the Trust Account and the remaining net proceeds was deposited in our operating bank account.</w:t>
      </w:r>
    </w:p>
    <w:p>
      <w:pPr>
        <w:spacing w:after="0" w:line="9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2021, we had $235,295 of cash held outside of the Trust Account for our working capital needs.</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Prior to the completion of the IPO, our liquidity needs had been satisfied through a payment from the Sponsor of $25,000 for the founder shares, and the loan under an unsecured promissory note from the Sponsor of $125,000. We fully paid the note to the Sponsor on March 15, 2021. Subsequent to the consummation of the IPO and Private Placement, our liquidity needs have been satisfied through the proceeds from the consummation of the Private Placement not held in the Trust Account.</w:t>
      </w:r>
    </w:p>
    <w:p>
      <w:pPr>
        <w:spacing w:after="0" w:line="11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our Sponsor, initial stockholders, officers, directors and their affiliates may, but are not obligated to, provide us Working Capital Loans. To date, there were no amounts outstanding under any Working Capital Loans.</w:t>
      </w:r>
    </w:p>
    <w:p>
      <w:pPr>
        <w:spacing w:after="0" w:line="9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anticipate that the $235,295 outside of the Trust account as of December 31, 2021 will not be sufficient to allow us to operate for at least the next 12 months, assuming that a Business Combination is not consummated during that time. Moreover, we may need to obtain additional financing to consummate our Initial Business Combination but there is no assurance that new financing will be available to us on commercially acceptable terms. Furthermore, if we are not able to consummate a Business Combination by September 15, 2022, it will trigger our automatic winding up, liquidation and dissolution. These conditions raise substantial doubt about our ability to continue as a going concern.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We have identified the following as our critical accounting policies: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Class A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 w:name="page45"/>
    <w:bookmarkEnd w:id="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Income (Loss) Per Common Share</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72.8% for the Public Shares and 27.2% for the founder non-redeemable shares for the year ended December 31, 2021, reflective of the respective participation rights.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December 31, 2021, we did not have any off-balance sheet arrangements as defined in Item 303(a)</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(4)(ii) of Regulation S-K.</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 w:name="page46"/>
    <w:bookmarkEnd w:id="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 OF SOUNDHOUND</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SoundHound’s financial condition and results of operations together with our consolidated financial statements and the related notes appearing at the end of this prospectus. Some of the information contained in this discussion and analysis or set forth elsewhere in this prospectus, including information with respect to SoundHound’s plans and strategy for its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 Unless otherwise indicated or the context otherwise requires, references in this section to “SoundHound,” “we,” “us,” “our” and other similar terms refer to SoundHound, Inc. and its subsidiaries prior to the Business Combination, which will be the business of SoundHound AI, Inc. and its consolidated subsidiaries after giving effect to the Business Combination.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are a leading innovator of conversational intelligence, offering an independent Voice AI platform that enables businesses across industries to deliver high-quality conversational experiences to their customers. Built on proprietary Speech-to-Meaning, Deep Meaning Understanding and Collective AI breakthrough technologies developed over the past 16 years, our advanced Voice AI platform provides exceptional speed and accuracy and enables humans to interact with products and services like they interact with each other — by speaking naturally.</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13"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SoundHound developer platform, Houndify, is an open-access platform that allows developers to leverage SoundHound’s Voice AI technology and a library of over 100 content domains, including commonly used domains for points of interest, weather, flight status, sports and more. Houndify’s Collective AI is an architecture for connecting domain knowledge that encourages collaboration and contribution among developers, is always learning, and is greater than the sum of its parts — ensuring the platform continues to become smarter at a faster rate.</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SoundHound’s technology is live in production and at scale with companies around the globe, including Hyundai, Mercedes-Benz, Pandora, Deutsche Telekom, Snap, VIZIO, KIA and Stellantis. Houndify traffic has experienced 10x growth in the past 2 years, with 2x growth in approximately 6 months through June of this year. As a result, we have surpassed 1 billion annual queries in 2021.</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current partners span multiple industries and geographies, and together have a combined reach of over 2 billion end users. By growing these strategic relationships, our year-over-year revenues have grown by more than 50% over the past three years. We project to exceed $1.0 billion in annual gross revenues within 5 years, and as a testament to the strength of our current revenue-generating strategic partnerships, a sizeable portion of this future revenue is expected to come from existing customers.</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market position is strengthened by the technical barriers to entry in the Voice AI space, which tend to discourage new market participants. Furthermore, our technology is backed by significant investments in intellectual property, with over 227 patents granted or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has extensive technical expertise and a proven track record of innovation and value creation for us to continue to attract customers in the growing market for Voice AI transactions, which is estimated to grow to $160.0 billion by 2026.</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6" w:name="page47"/>
    <w:bookmarkEnd w:id="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believe that SoundHound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the company’s brand, users and data. As a result, brands relying on big tech mostly lose their ability to innovate, differentiate and customize. In some cases, these providers even compete with the products they support, making them increasingly less attractive as a choice for a voice interface.</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alternative options are generally legacy vendors tending to use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This creates a unique opportunity for SoundHound: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99"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When it comes to criteria for adoption, our goal is to win on every dimension.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With our disruptive monetization strategy, we also provide an additional path to monetization for our customer base. By choosing our platform, product creators can generate additional revenue while making their product better using Voice AI, providing further incentive to choose our platform.</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believe that we offer a superior ecosystem, benefitting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Our focus is on delivering the most advanced Voice AI in the world and thus allowing our partners to differentiate and innovate their overall experiences for their brands.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When a product is voice enabled, we see three stages of integration and value propositions. The first stage is to enable the core use cases of the product. For example, the product could be a TV, a coffee machine, a car, a wearable device, a robot, a smart speaker or an appliance, and with your voice you can control the functionality of the device and the product. On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within a few seconds, but it can take many steps to do using alternative interfaces such as a remote control or a companion app.</w:t>
      </w:r>
    </w:p>
    <w:p>
      <w:pPr>
        <w:spacing w:after="0" w:line="12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or flight status, and even search for local businesses. The addition of these public domains further enhances the value proposition of the product.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spacing w:after="0" w:line="11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There are three pillars to our revenue model. The first pillar is Product Royalties, where we voice enable a product and the product creator pays us a royalty based on volume, usage or duration. SoundHound collects royalties when Houndify is placed in a car, smart speaker or an appliance, for example.</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second pillar is Service Subscription. This is when, for example, SoundHound enables customer service or food ordering for restaurants or content management, appointments and voice commerce. And, for that, we generate subscription revenue from the service providers. Pillars one and two can grow independently and they are proven, established business models.</w:t>
      </w:r>
    </w:p>
    <w:p>
      <w:pPr>
        <w:spacing w:after="0" w:line="99"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third pillar creates a monetization ecosystem that brings the services from pillar two to the products in pillar one. When the users of a voice-enabled product in pillar one access the voice-enabled services of pillar two, these services generate new leads and transactions. SoundHound generates monetization revenue from the services for generating these leads and transactions, and we will share the revenue with the product creators of pillar one. For example, when the driver of a voice-enabled car places an order to a restaurant that’s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 During the years presented in this prospectus we have not generated revenue from leads and transactions on voice-enabled products from voice-enabled services other than from the SoundHound music identification app. Going forward, SoundHound expects monetization revenue to be generated through a combination of advertising revenue from the music identification app and from leads and transactions on voice-enabled products from voice-enabled services.</w:t>
      </w:r>
    </w:p>
    <w:p>
      <w:pPr>
        <w:spacing w:after="0" w:line="12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expect this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 This ecosystem increases adoption and increases our addressable market. All three pillars contribute to our revenues today in 2022. While the majority of the contribution is currently from our first pillar of royalties, over time, the subscription and monetization portions are expected to grow and make a bigger contribution to our overall revenue.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ATSP Merger</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November 15, 2021, SoundHound entered into the Merger Agreement with ATSP, a special purpose acquisition company. Effective at the time of the Business Combination, a merger subsidiary of ATSP merged with and into SoundHound, with SoundHound surviving the merger and becoming a wholly-owned subsidiary of ATSP. Upon the Closing of the Business Combination, ATSP changed its name to SoundHound AI, Inc. Cash proceeds of the Business Combination were funded through a combination of cash held in trust by ATSP (following satisfaction of redemptions by public stockholders), and $111.0 million in aggregate gross proceeds from the PIPE Investment that will close substantially contemporaneously with the Closing of the Business Combination. As of December 31, 2021, SoundHound had $21.6 million in cash and cash equivalents. After giving effect to these transactions, SoundHound could receive up to $244.0 million in gross proceeds (assuming that there are no redemptions by ATSP public stockholders, and including proceeds from the PIPE Investment), which are intended to be used for general corporate purposes, including investments in sales, marketing and advancement of product development, but which may also be used to acquire other companies in the Voice AI industry. SoundHound has not entered into any agreements to acquire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companies in the Voice AI industry, nor does it require consummation of mergers or acquisitions of other businesses to achieve its stated goals. That said, if there are candidates that makes strategic, operational and financial sense, the Company may consider such opportunities from time to time as they become available.</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Accounting Impact of the Business Combination</w:t>
      </w:r>
    </w:p>
    <w:p>
      <w:pPr>
        <w:spacing w:after="0" w:line="16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with no goodwill or other intangible assets recorded, in accordance with GAAP. A reverse recapitalization does not result in a new basis of accounting, and the financial statements of the combined entity represent the continuation of the financial statements of SoundHound in many respects.</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Under this method of accounting, Archimedes is treated as the “acquired” company for financial reporting purposes. For accounting purposes, SoundHound is deemed to be the accounting acquirer in the transaction and, consequently, the transaction was treated as a recapitalization of SoundHound (i.e., a capital transaction involving the issuance of stock by ATSP for the stock of SoundHound). Accordingly, the consolidated assets, liabilities and results of operations of SoundHound became the historical financial statements of the Company, and ATSP’s assets, liabilities and results of operations were consolidated with SoundHound’s beginning on the acquisition date. Operations prior to the Business Combination will be presented as those of SoundHound in future reports. The net assets of SoundHound will be recognized at carrying value, with no goodwill or other intangible assets recorded.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As the full impact of the COVID-19 pandemic on our business continues to develop, we are closely monitoring the global situation. As a supplier to multiple industries, including the automotive industry, we are adversely impacted by the decline in the production of certain of our customers’ products in connection with the COVID-19 pandemic, including reductions in automotive production, chip shortages in the semiconductor industry and broader supply chain challenges across the globe. We are unable at this time to predict the full impact of COVID-19 on our operations, liquidity and financial results, and, depending on the magnitude and duration of the COVID-19 pandemic, such impact may be material. During the year ended December 31, 2021, the COVID-19 pandemic had an impact on our billings and revenue recognized from per unit royalties for Houndify Solutions which may also continue beyond fiscal year 2022. The extent of this impact is not currently determinable. However, we expect billings to increase as car manufacturers recover from delayed production due to the pandemic. Accordingly, it may not be indicative of future results and trends for reasons other than COVID-19 discussed herein may not be indicative of future operating results and trends. While we are unable to accurately predict the full impact that COVID-19 will have on our results from operations, financial condition, liquidity and cash flows due to numerous uncertainties, including the duration and severity of the pandemic and containment measures, these measures have impacted, and may continue to impact, our business, as well as our customers and consumers.</w:t>
      </w:r>
    </w:p>
    <w:p>
      <w:pPr>
        <w:spacing w:after="0" w:line="12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taken and plan to continue to take actions intended to mitigate the effects of the COVID-19 pandemic on our business. Among the efforts we have taken is a shift in a portion of our research and development and engineering workforces to support our professional service teams and their successful completion of customer project milestones to help mitigate the anticipated decline in revenues. We also reduced expenses by limiting discretionary spending, reducing third-party contractors, deferring the hiring of new employees and implementing a reduction in our workforce. In order to further conserve cash outflows, we implemented temporary reductions in salaries for our current named executive officers and other senior executives. We reduced our headcount during the year ended December 31, 2020, resulting in savings in payroll related expenses of $2.9 million. Further, our employees and executives received salary reductions during this same time period resulting in savings of $2.5 million. These cost-saving measures have since been restored during the year ended December 31, 2021.</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SoundHound continues to monitor its operations and government recommendations and has modified its operations because of the COVID-19 pandemic, including making remote work more accessible to its employees. SoundHound does not yet know the full extent of potential impacts on our business and operations. Given the extant uncertainty, SoundHound cannot reasonably estimate the impact on our future results of operations, cash flows or financial condition.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Factors Affecting Our Operating Results</w:t>
      </w:r>
    </w:p>
    <w:p>
      <w:pPr>
        <w:spacing w:after="0" w:line="148"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SoundHound believes that its performance and future success depend on many factors that present significant opportunities for us but also pose risks and challenges, including the following:</w:t>
      </w:r>
    </w:p>
    <w:p>
      <w:pPr>
        <w:spacing w:after="0" w:line="90" w:lineRule="exact"/>
        <w:rPr>
          <w:sz w:val="20"/>
          <w:szCs w:val="20"/>
          <w:color w:val="auto"/>
        </w:rPr>
      </w:pPr>
    </w:p>
    <w:p>
      <w:pPr>
        <w:jc w:val="both"/>
        <w:ind w:left="1320" w:right="459" w:hanging="434"/>
        <w:spacing w:after="0" w:line="257" w:lineRule="auto"/>
        <w:tabs>
          <w:tab w:leader="none" w:pos="131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Investments in Technology. </w:t>
      </w:r>
      <w:r>
        <w:rPr>
          <w:rFonts w:ascii="Times New Roman" w:cs="Times New Roman" w:eastAsia="Times New Roman" w:hAnsi="Times New Roman"/>
          <w:sz w:val="18"/>
          <w:szCs w:val="18"/>
          <w:color w:val="auto"/>
        </w:rPr>
        <w:t>Our business model since inception has been to invest significantly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Houndify platform technology in the form of dedicated research and development. We will continue to invest in the development of our software platform to deliver consumers with continually improving value and delight. Our investments include continuous enhancements to our ASR and NLU models, investments in data to help refine and improve our underlying algorithms, and other costs to attract and retain a world-class technical workforce.</w:t>
      </w:r>
    </w:p>
    <w:p>
      <w:pPr>
        <w:spacing w:after="0" w:line="114"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3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Revenue Growth. </w:t>
      </w:r>
      <w:r>
        <w:rPr>
          <w:rFonts w:ascii="Times New Roman" w:cs="Times New Roman" w:eastAsia="Times New Roman" w:hAnsi="Times New Roman"/>
          <w:sz w:val="18"/>
          <w:szCs w:val="18"/>
          <w:color w:val="auto"/>
        </w:rPr>
        <w:t>Our commercial success, including acceptance and use of our applications,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depend on a number of factors, some of which are beyond our control, such as size of the market opportunity, successful integration with original equipment manufacturers (“OEM”), competition and demand from the public and members of the conversational AI community. Our product offerings have disruptive effects in the ways human interact with computers and we are developing new, innovative economic models that we believe will enhance value to customers, partners and shareholders. For our revenue growth to continue, we will need to invest in sales and marketing to ensure our messaging, capabilities and offerings are well understood and valued by customers. With our primary focus on enterprise customers, we also need to align with enterprise sales cycles, which can be longer than consumer cycles. Additionally, as we build new customer relationships, we continually focus on maintaining and growing our existing relationships through long-term partnerships through significant upfront investment in customer specific engineering projects. Our revenue consists of subscription revenue, royalties, and monetization revenues, which we consider recurring if our customer contract does not terminate the relationship and we continue to provide the customer with same or other services in the subsequent year. For example, if we perform a one-time non-recurring engineering project for a customer and that same customer engages with us afterwards for a Product Royalty contract, the revenue in both years, regardless of the specific service, would contribute towards our overall customer retention rate. By contrast, if SoundHound provides an annual subscription contract to a customer and that customer does not execute an agreement for services for the subsequent annual period, SoundHound would not consider that customer as retained. As determined on the foregoing basis, based on the number of customers to whom we provide services during one year compared to the prior year period, our customer retention rate for all periods presented in this prospectus is at least 90%.</w:t>
      </w:r>
    </w:p>
    <w:p>
      <w:pPr>
        <w:spacing w:after="0" w:line="10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6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The results of our business will depend in part on our ability to establish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our gross margins by scaling our business model and effectively managing our costs to produce our applications. Our revenue will be directly supported by data center investments in technology, both on premise and in the cloud. The associated workloads, along with supporting labor costs, will need to be managed effectively as we scale to improve our margins over time. Our Houndify platform is also powered by a library of over 100 content domains, including commonly used domains for points of interest, weather, flight status, sports and more.</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9" w:lineRule="auto"/>
        <w:tabs>
          <w:tab w:leader="none" w:pos="143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Seasonality. </w:t>
      </w:r>
      <w:r>
        <w:rPr>
          <w:rFonts w:ascii="Times New Roman" w:cs="Times New Roman" w:eastAsia="Times New Roman" w:hAnsi="Times New Roman"/>
          <w:sz w:val="18"/>
          <w:szCs w:val="18"/>
          <w:color w:val="auto"/>
        </w:rPr>
        <w:t>Our ability to accurately forecast demand for our technology could be negatively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affected by many factors, including seasonal demand. We anticipate that we will experience fluctuations in customer and user demand based on seasonality. Given that we address markets across several different industry verticals, the associated overall seasonality impact to us may not be consistent year-to-year.</w:t>
      </w:r>
    </w:p>
    <w:p>
      <w:pPr>
        <w:spacing w:after="0" w:line="111" w:lineRule="exact"/>
        <w:rPr>
          <w:rFonts w:ascii="Times New Roman" w:cs="Times New Roman" w:eastAsia="Times New Roman" w:hAnsi="Times New Roman"/>
          <w:sz w:val="18"/>
          <w:szCs w:val="18"/>
          <w:color w:val="auto"/>
        </w:rPr>
      </w:pPr>
    </w:p>
    <w:p>
      <w:pPr>
        <w:jc w:val="both"/>
        <w:ind w:left="1320" w:right="459" w:hanging="434"/>
        <w:spacing w:after="0" w:line="262" w:lineRule="auto"/>
        <w:tabs>
          <w:tab w:leader="none" w:pos="14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Development of International Markets. </w:t>
      </w:r>
      <w:r>
        <w:rPr>
          <w:rFonts w:ascii="Times New Roman" w:cs="Times New Roman" w:eastAsia="Times New Roman" w:hAnsi="Times New Roman"/>
          <w:sz w:val="18"/>
          <w:szCs w:val="18"/>
          <w:color w:val="auto"/>
        </w:rPr>
        <w:t>We have rapidly expanded our capabilities and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reach. We have globalized our solution from 1 to 22 languages, with a roadmap of 38 languages and 114 acoustic variations. We view opportunities for conversational Voice AI to be global in reach, and we expect our growth to be fueled across multiple geographies.</w:t>
      </w:r>
    </w:p>
    <w:p>
      <w:pPr>
        <w:spacing w:after="0" w:line="95" w:lineRule="exact"/>
        <w:rPr>
          <w:rFonts w:ascii="Times New Roman" w:cs="Times New Roman" w:eastAsia="Times New Roman" w:hAnsi="Times New Roman"/>
          <w:sz w:val="18"/>
          <w:szCs w:val="18"/>
          <w:color w:val="auto"/>
        </w:rPr>
      </w:pPr>
    </w:p>
    <w:p>
      <w:pPr>
        <w:jc w:val="both"/>
        <w:ind w:left="1320" w:right="459" w:hanging="434"/>
        <w:spacing w:after="0" w:line="262" w:lineRule="auto"/>
        <w:tabs>
          <w:tab w:leader="none" w:pos="1473"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Industry Risks. </w:t>
      </w:r>
      <w:r>
        <w:rPr>
          <w:rFonts w:ascii="Times New Roman" w:cs="Times New Roman" w:eastAsia="Times New Roman" w:hAnsi="Times New Roman"/>
          <w:sz w:val="18"/>
          <w:szCs w:val="18"/>
          <w:color w:val="auto"/>
        </w:rPr>
        <w:t>The COVID-19 pandemic has adversely affected our business and results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as of December 31, 2021. The duration and extent to which the COVID-19 pandemic will continue to adversely impact our business and results of operations remains uncertain and could be material.</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accompanying audited consolidated financial statements were prepared in accordance with U.S. GAAP for the year ended December 31, 2021 (“Fiscal 2021”) and December 31, 2020 (“Fiscal 2020”).</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48"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SoundHound generates revenues through: (1) “Product Royalties,” meaning royalties from voice-enabled products which are driven by volume, usage or life of applicable products and are affected by number of devices, users and units of usage time, (2) “Service Subscriptions,” meaning subscription revenues, derived from monthly fees based on usage-based revenue, revenue per query or revenue per user and</w:t>
      </w:r>
    </w:p>
    <w:p>
      <w:pPr>
        <w:spacing w:after="0" w:line="3" w:lineRule="exact"/>
        <w:rPr>
          <w:sz w:val="20"/>
          <w:szCs w:val="20"/>
          <w:color w:val="auto"/>
        </w:rPr>
      </w:pPr>
    </w:p>
    <w:p>
      <w:pPr>
        <w:jc w:val="both"/>
        <w:ind w:left="460" w:right="459" w:hanging="6"/>
        <w:spacing w:after="0" w:line="253" w:lineRule="auto"/>
        <w:tabs>
          <w:tab w:leader="none" w:pos="7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“Monetization,” meaning revenues generated from focused ad targeting to users of products and services that employ our technologies. Currently, our monetization revenue is derived exclusively from our music identification application primarily in the form of ad impression revenue — revenue generated when an ad is shown in our music identification app — and, to a lesser extent, affiliate revenue for referrals to music stores for content sales and downloads of our premium music application.</w:t>
      </w:r>
    </w:p>
    <w:p>
      <w:pPr>
        <w:spacing w:after="0" w:line="11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“Houndified Products,” meaning products of our customers that employ SoundHound technology, and “Houndified Services,” meaning services provided to customers related to SoundHound technology, provide our customers with access to our Houndify platform over a contractual period without taking possession of the software. This generally includes revenues derived from up-front services (“professional services”) that develop and customize the Houndify platform to fit customers’ specific needs. These professional services are included in both our Product Royalties and Service Subscriptions revenues. Non-distinct professional services are recognized over the contractual life of the contract, whereas revenues from distinct professional services are recognized as the services are performed or when the services are complete depending on the arrangement.</w:t>
      </w:r>
    </w:p>
    <w:p>
      <w:pPr>
        <w:spacing w:after="0" w:line="12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anticipate that we will experience fluctuations in our revenues from quarter-to-quarter due to a variety of factors, including the supply and demand of end user products such as automobiles, the size and success of our sales force and the number of users who are aware of and use our applications.</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classify our operating expenses into the following four categories, which are Cost of Revenues, Sales and Marketing, Research and Development, and General and Administrative. Excluding Cost of Revenues, each expense category includes overhead, including rent and related occupancy costs, which is allocated based on headcount.</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6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SoundHound’s cost of revenues are comprised of direct costs associated directly with SoundHound’s three revenue streams as described above. This primarily includes costs and depreciation related to hosting for cloud-based services, such as data centers, electricity charges, content fees and certain personnel-related expenses that are directly related to these revenue streams.</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6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Sales and marketing expenses consist of personnel-related expenses related costs of the sales and marketing team, promotional campaigns, advertising fees and other marketing related costs. Advertising costs are expensed to sales and marketing when incurred.</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60"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are our largest operating expense as we continue to develop our software platforms and produce new technological capabilities.</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costs of these activities consist primarily of personnel-related expenses, third-party consultants and costs associated with technological supplies and materials, along with other direct and allocated expenses such as facility costs, depreciation and other shared expenses. We expense research and development costs in the periods in which they are incurred. We expect that our research and development expenses will continue to increase as we continue to invest in development activities related to our current and future applications.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4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costs, accounting and legal expenses, third-party consulting costs, insurance and allocated overhead including rent, depreciation and utilities.</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due to our operations as a public company, including expenses related to compliance with the rules and regulations applicable to companies listed on a national securities exchange and related to compliance and reporting obligations pursuant to the rules and regulations of the SEC, as well as increased expenses for insurance (including director and officer insurance), investor relations activities and other administrative and professional services such as accounting, legal, regulatory and tax. We also expect our administrative expenses, including personnel related expenses, to increase as we increase our headcount and expand our facilities and information technology to support our operations as a public company. Our general and administrative expenses may fluctuate from period-to-period due to seasonality.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Interest expense consists of stated interest incurred on our outstanding convertible notes and debt during the relevant periods, as well as the amortization of debt discounts and issuance costs over the life of the instruments or a shorter period if a lender can demand payment in the event certain events occur that are outside of the control of the Company.</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issuance of debt instruments with direct transaction costs and the bifurcation of embedded derivatives and warrant instruments has resulted in debt discounts. Direct transaction costs consist of various transaction fees, such as bank and legal fees, that are incurred upon issuance. Overall, the discounts from debt issuance costs result in an increased amount of interest expense over the amortization period.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Fair Value of Derivative and Warrant Liability</w:t>
      </w:r>
    </w:p>
    <w:p>
      <w:pPr>
        <w:spacing w:after="0" w:line="16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account for certain warrants and conversion features as liabilities at fair value and adjust the instruments to fair value at each reporting period. We determined that the conversion feature associated with one of our debt instruments is a freestanding derivative instrument. The derivative and warrant liabilities’ changes in fair value that result from remeasurement at each balance sheet date is recognized in the Company’s Consolidated Statement of Operations and Comprehensive Loss as other expense, net.</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Loss on Extinguishment of Convertible Note</w:t>
      </w:r>
    </w:p>
    <w:p>
      <w:pPr>
        <w:spacing w:after="0" w:line="16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account for loss on extinguishment of debt instruments primarily when there is a difference between the repurchase price and the carrying amount of debt at the time of extinguishment. We recognize this within other expense, net on the Consolidated Statement of Operations and Comprehensive Loss.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Income tax expense includes federal, state and foreign taxes and is based on reported income before income taxes. We are in a cumulative loss position for tax purposes based on historical earnings. As of December 31, 2021, the Company had net operating loss carry forwards of approximately $301.5 million and $102.9 million available to reduce future taxable income, if any, for both federal and state income tax purposes, respectively. Additionally, as of December 31, 2021 the Company had Germany net operating loss carryforwards of $3.4 million. The federal and state net operating loss carry forwards will start to expire in 2025 and 2028, respectively, with the exception of $212.9 million in federal net operating loss carryforwards, which can be carried forward indefinitely. The Germany net operating losses can be carried forward indefinitely. The Company also had federal and state research and development credit carry forwards of approximately $8.9 million and $8.0 million, respectively, at December 31, 2021. The federal credits will expire starting in 2029 if not utilized. State research and development tax credits will carry forward indefinitely.</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addition, we may in the future experience ownership changes as a result of changes in our stock ownership (some of which are not in our control). For these reasons, or other factors outside of our control, such as future regulatory or other changes, our ability to utilize our NOL carryforwards and other tax attributes to reduce future tax liabilities may be limited.</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2" w:name="page53"/>
    <w:bookmarkEnd w:id="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for Fiscal 2021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Fiscal 2020 (in thousands):</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6"/>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9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21,197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13,017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8,180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43"/>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6,585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5,863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2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4,739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41"/>
        </w:trPr>
        <w:tc>
          <w:tcPr>
            <w:tcW w:w="2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59,178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54,279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4,899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7"/>
        </w:trPr>
        <w:tc>
          <w:tcPr>
            <w:tcW w:w="2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16,521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14,140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86,524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(65,327)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0"/>
        </w:trPr>
        <w:tc>
          <w:tcPr>
            <w:tcW w:w="2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(8,342)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(6,073)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41"/>
        </w:trPr>
        <w:tc>
          <w:tcPr>
            <w:tcW w:w="2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(5,415)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other expense, net</w:t>
            </w: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9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(13,757)</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36"/>
        </w:trPr>
        <w:tc>
          <w:tcPr>
            <w:tcW w:w="2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(79,084)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(5,415)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237"/>
        </w:trPr>
        <w:tc>
          <w:tcPr>
            <w:tcW w:w="29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(79,540</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our revenues by type for Fiscal 2021 and Fiscal 2020 (in thousands):</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5"/>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32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Royalties</w:t>
            </w: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7,984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Service Subscriptions</w:t>
            </w: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1,550</w:t>
            </w:r>
          </w:p>
        </w:tc>
        <w:tc>
          <w:tcPr>
            <w:tcW w:w="24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1,271</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40"/>
        </w:trPr>
        <w:tc>
          <w:tcPr>
            <w:tcW w:w="2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Monetization</w:t>
            </w:r>
          </w:p>
        </w:tc>
        <w:tc>
          <w:tcPr>
            <w:tcW w:w="7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1,291</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1,374</w:t>
            </w: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43"/>
        </w:trPr>
        <w:tc>
          <w:tcPr>
            <w:tcW w:w="2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21,197</w:t>
            </w:r>
          </w:p>
        </w:tc>
        <w:tc>
          <w:tcPr>
            <w:tcW w:w="100" w:type="dxa"/>
            <w:vAlign w:val="bottom"/>
          </w:tcPr>
          <w:p>
            <w:pPr>
              <w:spacing w:after="0"/>
              <w:rPr>
                <w:sz w:val="21"/>
                <w:szCs w:val="21"/>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13,017</w:t>
            </w:r>
          </w:p>
        </w:tc>
        <w:tc>
          <w:tcPr>
            <w:tcW w:w="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8,180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2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32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104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gridSpan w:val="2"/>
          </w:tcPr>
          <w:p>
            <w:pPr>
              <w:spacing w:after="0"/>
              <w:rPr>
                <w:sz w:val="4"/>
                <w:szCs w:val="4"/>
                <w:color w:val="auto"/>
              </w:rPr>
            </w:pPr>
          </w:p>
        </w:tc>
        <w:tc>
          <w:tcPr>
            <w:tcW w:w="360" w:type="dxa"/>
            <w:vAlign w:val="bottom"/>
            <w:gridSpan w:val="2"/>
          </w:tcPr>
          <w:p>
            <w:pPr>
              <w:spacing w:after="0"/>
              <w:rPr>
                <w:sz w:val="4"/>
                <w:szCs w:val="4"/>
                <w:color w:val="auto"/>
              </w:rPr>
            </w:pPr>
          </w:p>
        </w:tc>
        <w:tc>
          <w:tcPr>
            <w:tcW w:w="8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7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4,187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5,117</w:t>
            </w:r>
          </w:p>
        </w:tc>
        <w:tc>
          <w:tcPr>
            <w:tcW w:w="24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3,538</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40"/>
        </w:trPr>
        <w:tc>
          <w:tcPr>
            <w:tcW w:w="2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7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3,797</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3,496</w:t>
            </w: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Korea</w:t>
            </w: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1,373</w:t>
            </w:r>
          </w:p>
        </w:tc>
        <w:tc>
          <w:tcPr>
            <w:tcW w:w="24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1,855</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40"/>
        </w:trPr>
        <w:tc>
          <w:tcPr>
            <w:tcW w:w="2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c>
          <w:tcPr>
            <w:tcW w:w="7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2,616</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618</w:t>
            </w: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57"/>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768</w:t>
            </w:r>
          </w:p>
        </w:tc>
        <w:tc>
          <w:tcPr>
            <w:tcW w:w="24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7"/>
        </w:trPr>
        <w:tc>
          <w:tcPr>
            <w:tcW w:w="23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21,197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13,017</w:t>
            </w:r>
          </w:p>
        </w:tc>
        <w:tc>
          <w:tcPr>
            <w:tcW w:w="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8,180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Total revenues increased by $8.2 million, or 63%, in Fiscal 2021, compared to Fiscal 2020. Product Royalties revenue increased by $8.0 million during Fiscal 2021 compared to Fiscal 2020. $3.0 million of the increase is attributable to customers having production-ready Houndified Products for only part of Fiscal 2020, compared to the complete period of hosting services in Fiscal 2021. Professional services revenue increased by $4.1 million in Fiscal 2021, compared to Fiscal 2020. This was largely attributed to an additional $4.3 million due to a one-time contract modification to end a distinct professional service contract prior to completion with a customer in Germany. The additional $4.3 million in professional services revenue was partially offset by a $0.3 million decrease in one-time proof of concept projects from $0.6 million during Fiscal 2020 to $0.3 million during Fiscal 2021. For further information regarding our professional service revenue, see Note 3 “Revenue” to the consolidated financial statements as of December 31, 2021 included elsewhere in this prospectus. The remaining $0.9 million increase of total revenues was primarily due to increased usage on existing contracts.</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3" w:name="page54"/>
    <w:bookmarkEnd w:id="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increase in Service Subscriptions revenue of $0.3 million, or 22%, is primarily due to an increased number of customers with production-ready Houndified Services and increased usage by end users during Fiscal 2021.</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Monetization revenue decreased nominally during Fiscal 2021 due to a decrease in advertising revenue through decreased user impressions on the SoundHound music application.</w:t>
      </w:r>
    </w:p>
    <w:p>
      <w:pPr>
        <w:spacing w:after="0" w:line="9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benefited from growth across Germany, the United States, Japan and France from scaling our Houndify Products with large automotive and device makers. The growth experienced from Fiscal 2021 compared to Fiscal 2020 was in-line with the overall trend of international growth in Germany and Japan in Fiscal 2020 compared to the year ended December 31, 2019 (“Fiscal 2019”). During the period from Fiscal 2020 compared to Fiscal 2019, the Company experienced a shift in revenue with an automobile manufacturer from the United States to Germany which resulted in a temporary decrease in revenue generated domestically. We have experienced additional growth of revenue of Houndified Products in new geographic regions of France and the United Kingdom of $2.0 million and $0.4 million, respectively, during Fiscal 2021 compared to Fiscal 2020. In France, our revenue increased due to distinct customization services sold to an existing large automotive company which also commenced production of our Houndified Product in their vehicles. We further experienced a $0.5 million decrease in revenue in Korea due to migrating customers from a music driven service to a Houndified Product for which there are usage delays during the transition phase. Revenue in both periods came principally from customers across the automotive and IoT sectors, with less significant amounts derived from other industry verticals.</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Cost of revenues increased by $0.7 million, or 12%, in Fiscal 2021, compared to Fiscal 2020. This was mainly due to increases in cloud hosting costs and, to a lesser extent, increases in salaries and benefits directly associated with revenues and costs for one of our data centers.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increased by $4.9 million, or 9%, in Fiscal 2021, compared to Fiscal 2020. This increase in research and development expenses was primarily related to increases in our headcount in order to meet demands of our application usability increases, as well as the restoration of pre-COVID-19 personnel-related expenses, including wage increases to compensate for prior cost-saving measures taken during the pandemic. This was partially offset by a $0.8 million decrease in our third-party consulting expenses. Lastly, our facilities and allocated expenses increased as we diversified our headcount and general testing on our service technology.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Sales and marketing expenses decreased $0.5 million, or 11%, in Fiscal 2021, compared to Fiscal 2020. This relatively small decrease was due to changing go-to market strategies. Furthermore, due to difficulties experienced during the COVID-19 pandemic, our headcount decreased to perform within our budget. However, we expect to increase sales and marketing expenses as we invest in obtaining new customers, expand existing customer relationships and enter new markets.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General and administrative costs increased by $2.4 million, or 17%, in Fiscal 2021 compared to Fiscal 2020. This increase represents investments in our human resources, finance and legal functions, including increased personnel-related expenses as we prepare to function as a public entity. Our expansion efforts, focused both on geographical reach and service compatibility, led to an increase of operational costs and resources incurred. Expenses related to the proposed Business Combination also contributed to an increase in costs related to third-party specialists.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Interest expense increased by $6.1 million, or 268%, during Fiscal 2021, compared to Fiscal 2020. This increase was attributable to a $30.0 million term loan and a $15.0 million convertible note draw, both of which were accompanied by issuances of related common stock warrants. As our debt balance significantly increased for the year, our interest expense, which is incurred monthly, and our amortized debt issuance costs have proportionally increased as well.</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other expenses by type that comprise the other expense, net account for Fiscal 2021 and Fiscal 2020 (in thousands):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6"/>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7"/>
        </w:trPr>
        <w:tc>
          <w:tcPr>
            <w:tcW w:w="2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31"/>
        </w:trPr>
        <w:tc>
          <w:tcPr>
            <w:tcW w:w="2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0"/>
                <w:szCs w:val="20"/>
                <w:color w:val="auto"/>
              </w:rPr>
            </w:pPr>
          </w:p>
        </w:tc>
      </w:tr>
      <w:tr>
        <w:trPr>
          <w:trHeight w:val="46"/>
        </w:trPr>
        <w:tc>
          <w:tcPr>
            <w:tcW w:w="29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43"/>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198"/>
        </w:trPr>
        <w:tc>
          <w:tcPr>
            <w:tcW w:w="2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derivative and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(4,920)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40"/>
        </w:trPr>
        <w:tc>
          <w:tcPr>
            <w:tcW w:w="2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198"/>
        </w:trPr>
        <w:tc>
          <w:tcPr>
            <w:tcW w:w="2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on extinguishment of convertible</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55"/>
        </w:trPr>
        <w:tc>
          <w:tcPr>
            <w:tcW w:w="2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7"/>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(3,053)%</w:t>
            </w:r>
          </w:p>
        </w:tc>
      </w:tr>
      <w:tr>
        <w:trPr>
          <w:trHeight w:val="27"/>
        </w:trPr>
        <w:tc>
          <w:tcPr>
            <w:tcW w:w="29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3"/>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4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Interest income decreased by $0.2 million, or 96%, in Fiscal 2021, compared to Fiscal 2020 due to the gradual liquidation of our short-term investments throughout the prior period then ended.</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Fair Value of Derivative and Warrant Liability</w:t>
      </w:r>
    </w:p>
    <w:p>
      <w:pPr>
        <w:spacing w:after="0" w:line="160"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change in fair value of derivative and warrant liability increased by $3.1 million, or 172%, in Fiscal 2021, compared to Fiscal 2020. This was primarily driven by the extinguishment of the warrant liability due to the exercise of Series C warrants in December 2021, which resulted in a $3.8 million loss on the Consolidated Statement of Operations and Comprehensive Loss to remeasure the liability immediately prior to exercise. Additionally, the increase was also attributed to a change in fair value of the embedded derivative from the issuance of our promissory note issued in June 2020. The fair value of the derivative liability increased by $1.1 million, representing a corresponding $1.1 million loss on the Consolidated Statement of Operations and Comprehensive Loss due to increases in probability assumptions of a change in control or SPAC transaction.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Loss on Extinguishment of Convertible Note</w:t>
      </w:r>
    </w:p>
    <w:p>
      <w:pPr>
        <w:spacing w:after="0" w:line="16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did not record any losses on extinguishment of convertible note during Fiscal 2021. The loss on extinguishment of convertible note during Fiscal 2020 was attributable to the convertible note issued in May 2020 that was converted into shares of our Series D-3 and D-3A preferred stock in August 2020 at a loss.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w:t>
      </w:r>
    </w:p>
    <w:p>
      <w:pPr>
        <w:spacing w:after="0" w:line="148"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We have incurred net losses to date. In Fiscal 2021 and Fiscal 2020, we incurred a net loss of $79.5 million and $74.4 million, respectively. We expect to incur additional losses and increased operating expenses in future periods, including losses associated with expenses related to research and development, our expected increase in personnel and other expenses that we will be required to incur as a result of becoming a public company. As of December 31, 2021, we had an accumulated deficit of $386.7 million. SoundHound expects it will need further investment to support the growth of its business, continue its product and software development efforts and support its operations. We expect to incur additional substantial losses in the foreseeable future as a result of these research and development activities.</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has funded its operations primarily through equity and debt financings. To date, we have financed our operations principally from the sales and issuances of convertible notes and loans, shares of preferred stock, warrant issuances and to a lesser extent, revenue from contracts with customers. As of December 31, 2021 and 2020, we had cash and cash equivalents available for operations of $21.6 million and $43.7 million, respectively.</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primary uses of cash are to fund our operations as we continue to grow our business. We will require a significant amount of cash for product development as we invest in our technology. We expect that our sales and marketing, general and administrative and research and development expenses will continue to increase as we increase</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our sales volume, expand our marketing efforts, increase our internal sales force to drive increased sales of our technology and continue research and development efforts to further enhance our products. We may also engage in future acquisitions, though we have no immediate plans or commitments to acquire other businesses.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expect that our near and longer-term liquidity requirements will continue to consist of working capital and operating expenses associated with the investment in and growth of our business. As noted in the “</w:t>
      </w:r>
      <w:r>
        <w:rPr>
          <w:rFonts w:ascii="Times New Roman" w:cs="Times New Roman" w:eastAsia="Times New Roman" w:hAnsi="Times New Roman"/>
          <w:sz w:val="18"/>
          <w:szCs w:val="18"/>
          <w:i w:val="1"/>
          <w:iCs w:val="1"/>
          <w:color w:val="auto"/>
        </w:rPr>
        <w:t>Recent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Developments</w:t>
      </w:r>
      <w:r>
        <w:rPr>
          <w:rFonts w:ascii="Times New Roman" w:cs="Times New Roman" w:eastAsia="Times New Roman" w:hAnsi="Times New Roman"/>
          <w:sz w:val="18"/>
          <w:szCs w:val="18"/>
          <w:color w:val="auto"/>
        </w:rPr>
        <w:t>” section above, SoundHound entered into a Merger Agreement with ATSP. SoundHound expects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it will receive up to $244.0 million in gross proceeds as a result of the Business Combination, before taking into consideration Business Combination related fees and the level of redemptions, which SoundHound expects will support its operations and investments in the near term.</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Based on our current planned operations, we expect that our existing cash and anticipated net cash proceeds as a result of the Business Combination (including the proceeds of the Private Placement) will enable us to fund our operating expenses for at least 12 months from the date of this prospectus. In the event that we do not achieve revenue anticipated in our current operating plan, we have the ability and commitment to reduce operating expenses as necessary. The Company’s long-term success is dependent upon its ability to successfully raise additional capital, market its existing services, increase revenues and, ultimately, achieve profitable operations.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have based our estimates as to how long we expect we will be able to fund our operations on assumptions that may prove to be wrong, and we could use our available capital resources sooner than we currently expect. In this case, we would be required to obtain additional financing sooner than currently projected, which may not be available to us on acceptable terms, or at all. Our failure to raise capital as and when needed would have a negative impact on our financial condition and our ability to pursue our business strategy.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Contractual and Other Obligations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Because we expect to continue significantly increasing our investments in software application and development, we enter into various contracts and agreements to increase our funding resources. Cash that is received through these obligations is used to meet both short- and long-term liquidity requirements as discussed above. These requirements generally include funding for the research and development of software, the development of applications that enable voice interaction, marketing programs, and personnel-related costs. The primary types of obligations into which we enter include contractual obligations, operating and finance lease obligations and a diversified spread of debt instruments.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6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August 2021, SoundHound entered into a cloud services agreement pursuant to which SoundHound expects to make committed payments totalling approximately $100 million over a seven-year period, with approximately 22% of the committed payments expected to be made during the first three years of the term.</w:t>
      </w:r>
    </w:p>
    <w:p>
      <w:pPr>
        <w:spacing w:after="0" w:line="95"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also enter into other contracts in the normal course of business with various vendors that generally provide for contract termination following a certain notice period. These contracts do not contain any minimum purchase commitments. Payments due upon cancellation under these contracts generally consist only of payments for services provided, expenses incurred up to the date of cancellation and de minimis termination penalties.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Operating and Finance Lease Obligations</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We account for leases as finance or operating leases based on the lease classification criteria outlined in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Operating lease agreements include escalations in the base price of rent payment. We lease certain facilities under non-cancellable operating lease agreements that expire at various dates through 2029. Some leases include renewal options, which would permit extensions of the expiration dates at rates approximating fair market rental values. We also enter into finance leases to finance computer equipment and leasehold improvements. The finance leases are collateralized by the financed assets.</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have several office leases with remaining payment terms of 1-8 years. Additionally, we have operating lease commitments of $3.5 million over the next 12 months and $10.1 million payable over the subsequent eight years.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6" w:name="page57"/>
    <w:bookmarkEnd w:id="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Debt Financing</w:t>
      </w:r>
    </w:p>
    <w:p>
      <w:pPr>
        <w:spacing w:after="0" w:line="14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Below are our material debt agreements as of December 31, 2021:</w:t>
      </w:r>
    </w:p>
    <w:p>
      <w:pPr>
        <w:spacing w:after="0" w:line="156" w:lineRule="exact"/>
        <w:rPr>
          <w:sz w:val="20"/>
          <w:szCs w:val="20"/>
          <w:color w:val="auto"/>
        </w:rPr>
      </w:pPr>
    </w:p>
    <w:p>
      <w:pPr>
        <w:jc w:val="both"/>
        <w:ind w:left="1320" w:right="459" w:hanging="434"/>
        <w:spacing w:after="0" w:line="254" w:lineRule="auto"/>
        <w:tabs>
          <w:tab w:leader="none" w:pos="152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SNAP June 2020 Note </w:t>
      </w:r>
      <w:r>
        <w:rPr>
          <w:rFonts w:ascii="Times New Roman" w:cs="Times New Roman" w:eastAsia="Times New Roman" w:hAnsi="Times New Roman"/>
          <w:sz w:val="18"/>
          <w:szCs w:val="18"/>
          <w:color w:val="auto"/>
        </w:rPr>
        <w:t>— In June 2020, we issued the SNAP June 2020 Note to a lender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for $15.0 million in cash proceeds. The note has an annual interest rate of 5% and a maturity date of June 26, 2022. All unpaid interest and principal are due and payable upon request of the lender on or after the maturity date. The principal amount and any unpaid accrued interest on the SNAP June 2020 Note are convertible into shares of ATSP Class A Common Stock upon Closing of the Business Combination at a conversion price equal to 0.80 times the price paid by investors in the PIPE Investment (or $8.00 per share). The outstanding principal balance and unpaid accrued interest are otherwise automatically convertible into equity shares in the next equity financing round if the financing round is at least $30.0 million, excluding the conversion of the SNAP June 2020 Note and any other indebtedness.</w:t>
      </w:r>
    </w:p>
    <w:p>
      <w:pPr>
        <w:spacing w:after="0" w:line="117"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45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SVB March 2021 Note and SCI June 2021 Note </w:t>
      </w:r>
      <w:r>
        <w:rPr>
          <w:rFonts w:ascii="Times New Roman" w:cs="Times New Roman" w:eastAsia="Times New Roman" w:hAnsi="Times New Roman"/>
          <w:sz w:val="18"/>
          <w:szCs w:val="18"/>
          <w:color w:val="auto"/>
        </w:rPr>
        <w:t>— In March 2021, we entered into a loan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agreement (“SVB March 2021 Note”) with a commercial bank to borrow $30.0 million and, concurrent therewith, issued such commercial bank warrant to 127,570 shares of SoundHound’s common stock during a ten-year exercise period at an exercise price of $20.37 per share. The loan bears interest at a rate equal to the greater of 9% or 5.75% above the prime rate determined in accordance with the loan and security agreement set forth in the loan documents (which is generally the prime rate published in The Wall Street Journal). Payments are interest-only for the first twelve months and are fully amortizing thereafter with a final payment amount of $1.1 million in addition to the principal balance. The term loan amortization date is April 1, 2022, with an opportunity for a six-month extension if certain performance milestones (the “Performance Milestones”) are met, including without limitation that on or prior to March 12, 2022, we can demonstrate either (a) we achieved, for our fiscal year ending December 31, 2021, revenue (determined according to GAAP) of at least Thirty-Five Million Dollars ($35.0 million) or (b) we have received, after the effective date of the SVB March 2021 Note but on or prior to March 31, 2022, unrestricted and unencumbered net cash proceeds in an amount equal to at least Eighty-Five Million Dollars ($85.0 million) from a single round of the sale of our equity securities or shares to investors. The maturity date of the loan is either September 1, 2024 or March 1, 2025, depending on meeting the Performance Milestones and could be earlier if, prior to April 26, 2022, the SNAP June 2020 Note is not converted into our equity securities. As of March 9, 2022, neither of the Performance Milestones have been met.</w:t>
      </w:r>
    </w:p>
    <w:p>
      <w:pPr>
        <w:spacing w:after="0" w:line="110" w:lineRule="exact"/>
        <w:rPr>
          <w:sz w:val="20"/>
          <w:szCs w:val="20"/>
          <w:color w:val="auto"/>
        </w:rPr>
      </w:pPr>
    </w:p>
    <w:p>
      <w:pPr>
        <w:jc w:val="both"/>
        <w:ind w:left="1320" w:right="459"/>
        <w:spacing w:after="0" w:line="270" w:lineRule="auto"/>
        <w:rPr>
          <w:sz w:val="20"/>
          <w:szCs w:val="20"/>
          <w:color w:val="auto"/>
        </w:rPr>
      </w:pPr>
      <w:r>
        <w:rPr>
          <w:rFonts w:ascii="Times New Roman" w:cs="Times New Roman" w:eastAsia="Times New Roman" w:hAnsi="Times New Roman"/>
          <w:sz w:val="17"/>
          <w:szCs w:val="17"/>
          <w:color w:val="auto"/>
        </w:rPr>
        <w:t>In June 2021, we issued the SCI June 2021 Note pursuant to a loan and security agreement with a lender to borrow up to a commitment amount of $15.0 million in $5.0 million increments along with warrants issued to purchase 63,785 shares of SoundHound’s common stock. Through December 31, 2021, we have borrowed $15.0 million. The loan bears interest at a rate equal to the greater of 9% or 5.75% above the prime rate as published in The Wall Street Journal. Payments are interest-only for the first twelve months and are fully amortizing thereafter with a final payment amount of 3.5% on the principal balance of each draw in addition to the face value of the note. The loan amortization date is June 1, 2022, with an opportunity for a six-month extension if the Performance Milestones are met. The maturity date of the loan is the earlier of May 31, 2025 or the SNAP June 2020 Note maturity date if it has not converted into our equity securities prior to such date.</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our cash flows for Fiscal 2021 and Fiscal 2020 (in thousands):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6"/>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46"/>
        </w:trPr>
        <w:tc>
          <w:tcPr>
            <w:tcW w:w="38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8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880" w:type="dxa"/>
            <w:vAlign w:val="bottom"/>
            <w:tcBorders>
              <w:bottom w:val="single" w:sz="8" w:color="CCEEFF"/>
            </w:tcBorders>
          </w:tcPr>
          <w:p>
            <w:pPr>
              <w:spacing w:after="0"/>
              <w:rPr>
                <w:sz w:val="4"/>
                <w:szCs w:val="4"/>
                <w:color w:val="auto"/>
              </w:rPr>
            </w:pPr>
          </w:p>
        </w:tc>
        <w:tc>
          <w:tcPr>
            <w:tcW w:w="17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(66,177)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(46,304)</w:t>
            </w: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in)/provided by investing activities</w:t>
            </w:r>
          </w:p>
        </w:tc>
        <w:tc>
          <w:tcPr>
            <w:tcW w:w="1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11,448</w:t>
            </w:r>
          </w:p>
        </w:tc>
        <w:tc>
          <w:tcPr>
            <w:tcW w:w="0" w:type="dxa"/>
            <w:vAlign w:val="bottom"/>
          </w:tcPr>
          <w:p>
            <w:pPr>
              <w:spacing w:after="0"/>
              <w:rPr>
                <w:sz w:val="1"/>
                <w:szCs w:val="1"/>
                <w:color w:val="auto"/>
              </w:rPr>
            </w:pPr>
          </w:p>
        </w:tc>
      </w:tr>
      <w:tr>
        <w:trPr>
          <w:trHeight w:val="40"/>
        </w:trPr>
        <w:tc>
          <w:tcPr>
            <w:tcW w:w="38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7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44,653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53,454</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changes in cash and cash equivalents</w:t>
            </w:r>
          </w:p>
        </w:tc>
        <w:tc>
          <w:tcPr>
            <w:tcW w:w="1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880" w:type="dxa"/>
            <w:vAlign w:val="bottom"/>
            <w:vMerge w:val="continue"/>
          </w:tcPr>
          <w:p>
            <w:pPr>
              <w:spacing w:after="0"/>
              <w:rPr>
                <w:sz w:val="21"/>
                <w:szCs w:val="21"/>
                <w:color w:val="auto"/>
              </w:rPr>
            </w:pPr>
          </w:p>
        </w:tc>
        <w:tc>
          <w:tcPr>
            <w:tcW w:w="17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(22,160</w:t>
            </w:r>
          </w:p>
        </w:tc>
        <w:tc>
          <w:tcPr>
            <w:tcW w:w="140" w:type="dxa"/>
            <w:vAlign w:val="bottom"/>
            <w:vMerge w:val="continue"/>
          </w:tcPr>
          <w:p>
            <w:pPr>
              <w:spacing w:after="0"/>
              <w:rPr>
                <w:sz w:val="21"/>
                <w:szCs w:val="21"/>
                <w:color w:val="auto"/>
              </w:rPr>
            </w:pP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18,598</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720" w:type="dxa"/>
            <w:vAlign w:val="bottom"/>
            <w:vMerge w:val="restart"/>
          </w:tcPr>
          <w:p>
            <w:pPr>
              <w:jc w:val="right"/>
              <w:ind w:right="1370"/>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8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57" w:name="page58"/>
    <w:bookmarkEnd w:id="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14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Net cash used in operating activities during Fiscal 2021 was $66.2 million, consisting primarily of our net loss of $79.5 million, partially offset by non-cash charges of $25.2 million and cash used by changes in our operating assets and liabilities of $11.8 million. The non-cash charges were primarily driven by stock-based compensation expense of $6.3 million, depreciation expense of $5.5 million, change in fair value of derivative and warrant liability of $4.9 million, and amortization of debt issuance costs of $4.7 million. Net cash used by changes in our operating assets and liabilities of $11.8 million was driven by a $10.3 million decrease in deferred revenue, a $3.6 million decrease in operating lease liabilities, and a $1.5 million increase in other assets, non-current. The decrease in deferred revenue is primarily attributed to upfront billings in 2020 for three projects that began in 2021, and $4.3 million of the decrease was due to a one-time contract modification to reduce the scope of the Company’s performance obligation for a customer in Germany. The decrease in operating lease liabilities represents the cash payment made to reduce the beginning operating lease liability balance upon the adoption of Accounting Standard Codification 842 </w:t>
      </w:r>
      <w:r>
        <w:rPr>
          <w:rFonts w:ascii="Times New Roman" w:cs="Times New Roman" w:eastAsia="Times New Roman" w:hAnsi="Times New Roman"/>
          <w:sz w:val="18"/>
          <w:szCs w:val="18"/>
          <w:i w:val="1"/>
          <w:iCs w:val="1"/>
          <w:color w:val="auto"/>
        </w:rPr>
        <w:t>— Leases</w:t>
      </w:r>
      <w:r>
        <w:rPr>
          <w:rFonts w:ascii="Times New Roman" w:cs="Times New Roman" w:eastAsia="Times New Roman" w:hAnsi="Times New Roman"/>
          <w:sz w:val="18"/>
          <w:szCs w:val="18"/>
          <w:color w:val="auto"/>
        </w:rPr>
        <w:t xml:space="preserve"> in Fiscal 2021, which is offset by corresponding non-cash lease amortization of $3.6 million. The increase in other assets, non-current is attributed to deferred offering costs incurred in connection with the Business Combination. These operating uses of cash were partially offset by increased accrued liabilities of $3.7 million. The increase in accrued liabilities was primarily due to increases in the following categories when comparing Fiscal 2021 to Fiscal 2020: $0.8 million in accrued professional expenses incurred in connection with the Business Combination, $1.1 million in payroll-related accruals due to the reversal of our efforts in prior year to reduce payroll expenses, and $1.4 million in accrued interest related to the SVB March 2021 Note and SCI June 2021 Note, both of which were issued in Fiscal 2021.</w:t>
      </w:r>
    </w:p>
    <w:p>
      <w:pPr>
        <w:spacing w:after="0" w:line="12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during Fiscal 2020 was $46.3 million, consisting primarily of our net loss of $74.4 million adjusted for non-cash charges of $16.3 million and changes in our net operating assets of $11.8 million. The non-cash charges were primarily driven by $5.9 million in stock-based compensation expense, $6.0 million in depreciation and amortization expense, $1.8 million in remeasurement of derivative and warrant liability fair value, and $3.8 million in loss upon extinguishment of debt. Net cash provided by changes in our operating assets and liabilities of $11.8 million resulted largely from an increase of $10.3 million in deferred revenue partially offset by an increase in accounts receivable of $1.9 million.</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Flows Used in or Provided by Investing Activities</w:t>
      </w:r>
    </w:p>
    <w:p>
      <w:pPr>
        <w:spacing w:after="0" w:line="160"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Fiscal 2021 was $0.6 million. The decrease in cash was due to $0.6 million used for purchases of property and equipment.</w:t>
      </w:r>
    </w:p>
    <w:p>
      <w:pPr>
        <w:spacing w:after="0" w:line="8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during Fiscal 2020 was $11.4 million, consisting of $13.6 million from the maturity of short-term securities offset by $2.2 million used to purchase property and equipment.</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16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during Fiscal 2021 was $44.7 million, consisting primarily of $29.8 million in proceeds from the issuance of the SVB March 2021 Note and $14.9 million in proceeds from the SCI June 2021 Note, as well as $2.5 million in proceeds from common stock options exercised. This was offset by $2.6 million in repayments of capital lease obligations.</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during Fiscal 2020 was $53.5 million, consisting primarily of $40.0 million in proceeds from the issuance of the SNAP June 2020 Note and $16.0 million in proceeds from the issuance of preferred stock. This was offset primarily by $3.0 million in repayments for capital lease obligations.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material current or future effect on our financial condition, changes in financial condition, revenues, expenses, results of operations, liquidity, capital expenditures or capital resources.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8" w:name="page59"/>
    <w:bookmarkEnd w:id="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principal commitments consist of obligations under leases for office space and our seven-year committed cloud services contract. For more information regarding our lease obligations, see Note 13 “Leases” to the consolidated financial statements as of December 31, 2021 and “Contractual Obligations” included elsewhere in this prospectus. For more information regarding our debt service obligations, see Note 8 “Convertible Notes and Note Payable” to the consolidated financial statements as of December 31, 2021 included elsewhere in this prospectus.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audited consolidated financial statements included elsewhere in this prospectus, that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income (loss)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While our significant accounting policies are more fully described in Note 2 to our consolidated financial statements as of December 31, 2021 included elsewhere in this prospectus, we believe that the accounting policies discussed below are critical to understanding our historical and future performance, as these policies relate to the more significant areas involving management’s judgments and estimates.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46"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color w:val="auto"/>
        </w:rPr>
        <w:t xml:space="preserve">We recognize revenue with customers in accordance with ASC Topic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We primarily derive revenue from the following sources: (1) hosted services, (2) professional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and (3) monetization.</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Hosted Services</w:t>
      </w:r>
    </w:p>
    <w:p>
      <w:pPr>
        <w:spacing w:after="0" w:line="16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Hosted services, along with non-distinct customization, integration, maintenance and support services, allow customers to access our Voice AI platform over the contractual period without taking possession of the software. The contract terms of our hosted services range from one to twenty years.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have determined that our hosted services arrangements are a single performance obligation compromised of a series of distinct services since each day of providing access to hosted services is substantially the same and the customer simultaneously receives and consumes the benefits as access is provided. These services are provided either on a usage basis, a fixed fee subscription basis, or combinations of usage and fixed minimum fees. We recognize revenue over-time as access to the cloud is provided to our customers with increases due to variability recognized in the period in which they are earned.</w:t>
      </w:r>
    </w:p>
    <w:p>
      <w:pPr>
        <w:spacing w:after="0" w:line="10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Hosted services generally include up-front services to develop and/or customize the SoundHound’s Voice AI platform to each customer’s unique specifications. Judgement is required to determine whether these professional services are distinct from the hosted services. In making this determination, factors such as the degree of integration,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9" w:name="page60"/>
    <w:bookmarkEnd w:id="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customers’ ability to start using the software prior to customization, and the availability of these services from other independent vendors are considered. In instances where we concluded that the up-front services are not distinct performance obligations, revenue for these activities is recognized over the period which the hosted services are provided and is included within hosted services revenue.</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Professional Services</w:t>
      </w:r>
    </w:p>
    <w:p>
      <w:pPr>
        <w:spacing w:after="0" w:line="16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Revenue from distinct professional services, such as non-integrated development services, is either recognized over time based upon the progress towards completion of the project, or at a point in time at project completion, depending on the nature of the arrangement. Measuring the stage of completion of a project requires significant judgement and estimates, including actual efforts spent in relation to estimated total costs, and percentage of completion based on input and output measures.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Monetization</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represents variable consideration with constrained estimate. Therefore, the Company recognizes the related revenues when ads are placed, when commissions are paid, or when the SoundHound app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and Derivative Liabilities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evaluate our convertible notes and other contracts, if any, to determine if those contracts or embedded components of those contracts qualify as derivatives requiring bifurcation. We account conversion features that meet criteria for bifurcation as liabilities at fair value and adjust the derivative instruments to fair value at each reporting period. The conversion features in the SNAP June 2020 Note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expense, net in the Consolidated Statement of Operations and Comprehensive Loss. The fair value of the conversion features has been estimated using a probability-weighted discount model with versus without the conversion feature.</w:t>
      </w:r>
    </w:p>
    <w:p>
      <w:pPr>
        <w:spacing w:after="0" w:line="12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hold the SNAP June 2020 Note at amortized cost and amortize the associated debt discount created from bifurcated derivatives and issuance costs under the effective interest method until maturity or early conversion pursuant to the contractual terms of the arrangement.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We classify as liabilities any warrants that may require a transfer of assets. The warrants are considered freestanding instruments that qualify as liabilities under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 we are committed to issuing an instrument that ultimately may require a transfer of assets. The warrant liability is accounted for at fair value and remeasured at each reporting date. Accordingly, we classified the warrants as a liability at their fair value and adjust the instruments to fair value at each balance sheet date until the warrants are exercised or expired. Any changes in the fair value of the warrants are recognized as other expense, net in the Consolidated Statement of Operations and Comprehensive Loss.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measure stock options and other stock-based awards granted to employees, directors and other service providers based on their fair value on the date of grant and recognize compensation expense of those awards over the requisite service period. We recognize the impact of forfeitures on stock-based compensation expense as forfeitures occur. We apply the straight-line method of expense recognition.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0" w:name="page61"/>
    <w:bookmarkEnd w:id="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estimate the fair value of each stock option grant on the date of grant using the Black-Scholes option-pricing model, which requires the use of highly subjective assumptions including:</w:t>
      </w:r>
    </w:p>
    <w:p>
      <w:pPr>
        <w:spacing w:after="0" w:line="92" w:lineRule="exact"/>
        <w:rPr>
          <w:sz w:val="20"/>
          <w:szCs w:val="20"/>
          <w:color w:val="auto"/>
        </w:rPr>
      </w:pPr>
    </w:p>
    <w:p>
      <w:pPr>
        <w:jc w:val="both"/>
        <w:ind w:left="1320" w:right="479" w:hanging="434"/>
        <w:spacing w:after="0" w:line="267" w:lineRule="auto"/>
        <w:tabs>
          <w:tab w:leader="none" w:pos="131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We have opted to use the “simplified method” for estimating the expected term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plain-vanilla options, whereby the expected term equals the arithmetic average of the vesting term and the original contractual term of the option (generally 10 years).</w:t>
      </w:r>
    </w:p>
    <w:p>
      <w:pPr>
        <w:spacing w:after="0" w:line="105" w:lineRule="exact"/>
        <w:rPr>
          <w:rFonts w:ascii="Times New Roman" w:cs="Times New Roman" w:eastAsia="Times New Roman" w:hAnsi="Times New Roman"/>
          <w:sz w:val="18"/>
          <w:szCs w:val="18"/>
          <w:color w:val="auto"/>
        </w:rPr>
      </w:pPr>
    </w:p>
    <w:p>
      <w:pPr>
        <w:ind w:left="1320" w:right="479" w:hanging="434"/>
        <w:spacing w:after="0" w:line="284" w:lineRule="auto"/>
        <w:tabs>
          <w:tab w:leader="none" w:pos="13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rate assumption is based on the U.S. Treasury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maturities similar to the expected term of our stock options.</w:t>
      </w:r>
    </w:p>
    <w:p>
      <w:pPr>
        <w:spacing w:after="0" w:line="77" w:lineRule="exact"/>
        <w:rPr>
          <w:rFonts w:ascii="Times New Roman" w:cs="Times New Roman" w:eastAsia="Times New Roman" w:hAnsi="Times New Roman"/>
          <w:sz w:val="18"/>
          <w:szCs w:val="18"/>
          <w:color w:val="auto"/>
        </w:rPr>
      </w:pPr>
    </w:p>
    <w:p>
      <w:pPr>
        <w:ind w:left="1320" w:right="459" w:hanging="434"/>
        <w:spacing w:after="0" w:line="284" w:lineRule="auto"/>
        <w:tabs>
          <w:tab w:leader="none" w:pos="152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 We have not issued any dividends and do not anticipate to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on our common stock. As a result, we have estimated the dividend yield to be zero.</w:t>
      </w:r>
    </w:p>
    <w:p>
      <w:pPr>
        <w:spacing w:after="0" w:line="90"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Due to our limited operating history and a lack of company-specific historical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implied volatility data, we have based our estimate of expected volatility on the historical volatility of a group of similar companies that are publicly traded. The historical volatility data was computed using the daily closing prices for the selected companies’ shares during the equivalent period of the calculated expected term of the stock-based awards.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 of Common Stock</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 there has been no public market for our common stock to date, the estimated fair value of our common stock has been determined by our board of directors, or compensation committee thereof, as of the date of each option grant,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Historically, these independent third-party valuations of our equity instruments were performed contemporaneously with identified value inflection points, including recent preferred stock financings. These third-party valuations were performed in accordance with the guidance outlined in the American Institute of Certified Public Accountants’ Accounting and Valuation Guide, Valuation of Privately-Held-Company Equity Securities Issued as Compensation, or the Practice Aid. The Practice Aid identifies various available methods for allocating the enterprise value across classes of capital stock in determining the fair value of our common stock at each valuation date.</w:t>
      </w:r>
    </w:p>
    <w:p>
      <w:pPr>
        <w:spacing w:after="0" w:line="109" w:lineRule="exact"/>
        <w:rPr>
          <w:sz w:val="20"/>
          <w:szCs w:val="20"/>
          <w:color w:val="auto"/>
        </w:rPr>
      </w:pPr>
    </w:p>
    <w:p>
      <w:pPr>
        <w:jc w:val="both"/>
        <w:ind w:left="460" w:right="459" w:firstLine="432"/>
        <w:spacing w:after="0" w:line="269" w:lineRule="auto"/>
        <w:rPr>
          <w:sz w:val="20"/>
          <w:szCs w:val="20"/>
          <w:color w:val="auto"/>
        </w:rPr>
      </w:pPr>
      <w:r>
        <w:rPr>
          <w:rFonts w:ascii="Times New Roman" w:cs="Times New Roman" w:eastAsia="Times New Roman" w:hAnsi="Times New Roman"/>
          <w:sz w:val="17"/>
          <w:szCs w:val="17"/>
          <w:color w:val="auto"/>
        </w:rPr>
        <w:t>Based on our stage of development and other relevant factors, for the valuation as of July 31, 2020, we considered both the Probability Weighted Expected Return Method (“PWERM”) and the option pricing method, or OPM, as appropriate methods for estimating our enterprise value to determine the fair value of our common stock.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w:t>
      </w:r>
    </w:p>
    <w:p>
      <w:pPr>
        <w:spacing w:after="0" w:line="10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For our July 31, 2020 valuation, it was determined that the Hybrid Method was the most appropriate method for determining the fair value of our common stock. The Hybrid Method is PWERM, where the equity value in one or more scenarios is calculated using an OPM. The PWERM scenarios included Sale scenarios and an IPO. The OPM scenario was based on the Company’s Series D-3 financing.</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For our March 31, 2021 analysis, it was determined that the Hybrid Method was still the most appropriate method for determining the value of our common stock. The PWERM scenarios included SPAC, Sale and IPO, and Stay Private scenarios.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1" w:name="page62"/>
    <w:bookmarkEnd w:id="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Similarly, for our August 31, 2021 analysis, it was determined that the Hybrid Method was still the most appropriate method for determining the fair value of the common stock. As of this valuation date, the model weighted the SPAC scenario by the largest percentage, particularly in light of the Letter of Intent the Company received regarding the potential SPAC acquisition prior to the valuation date.</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For our November 17, 2021 analysis, the model continued to rely on the Hybrid Method in determining the fair value of our common stock. An even greater percentage weighting was placed on the SPAC scenario value as the Company continued to make progress towards completing a SPAC transaction in early 2022.</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addition to considering the results of these independent third-party valuations, our board of directors considered various objective and subjective factors to determine the fair value of our common stock as of each grant date, including:</w:t>
      </w:r>
    </w:p>
    <w:p>
      <w:pPr>
        <w:spacing w:after="0" w:line="95" w:lineRule="exact"/>
        <w:rPr>
          <w:sz w:val="20"/>
          <w:szCs w:val="20"/>
          <w:color w:val="auto"/>
        </w:rPr>
      </w:pPr>
    </w:p>
    <w:p>
      <w:pPr>
        <w:ind w:left="1320" w:right="479" w:hanging="434"/>
        <w:spacing w:after="0" w:line="282" w:lineRule="auto"/>
        <w:tabs>
          <w:tab w:leader="none" w:pos="140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sold shares of our preferred stock and the superior rights, preferences and privileges of our preferred stock relative to our common stock at the time of each grant;</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features of the SNAP June 2020 Note, including valuation terms;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 and outlook for the continued commercialization our business strategy;</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1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conditions and trends within the industry, including a review of the performance and metrics of guideline public companies;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position, including cash on hand, and our historical and forecasted performance and operating results;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an active public market for our common stock and our preferred stock; and</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3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such as a SPAC transaction, or sale of our company in light of prevailing market conditions.</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assumptions underlying these valuations represented management’s best estimates,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Once a public trading market for our common stock has been established upon the Closing of this offering, it will no longer be necessary for our board of directors to estimate the fair value of our common stock in connection with our accounting for granted stock options and other such awards we may grant, as the fair value of our common stock will be determined based on the quoted market price of our common stock.</w:t>
      </w:r>
    </w:p>
    <w:p>
      <w:pPr>
        <w:spacing w:after="0" w:line="9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above listing is not intended to be a comprehensive list of all of our accounting policies. In many cases, the accounting treatment of a particular transaction is specifically dictated by U.S. GAAP. There are also areas in which our management’s judgment in selecting any available alternative would not produce a materially different result. Please see our consolidated financial statements as of December 31, 2021 and the related notes included elsewhere in this prospectus, which contain accounting policies and other disclosures required by U.S. GAAP.</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Standards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See Note 2 to our consolidated financial statements as of December 31, 2021 included elsewhere in this prospectus for more information, including a description of certain issued accounting standards that have not been adopted by us which may impact our results of operations in future reporting periods.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(“JOBS Act”) exempts emerging growth companies from being required to comply with new or revised financial accounting standards until private companies are required to comply with the new or revised financial accounting standards. The JOBS Act contains provisions that, among other things, reduce certain reporting requirements for an “emerging growth company.” The JOBS Act permits an “emerging growth company” such as us to take advantage of an extended transition period to comply with new or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2" w:name="page63"/>
    <w:bookmarkEnd w:id="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spacing w:after="0" w:line="261" w:lineRule="auto"/>
        <w:rPr>
          <w:sz w:val="20"/>
          <w:szCs w:val="20"/>
          <w:color w:val="auto"/>
        </w:rPr>
      </w:pPr>
      <w:r>
        <w:rPr>
          <w:rFonts w:ascii="Times New Roman" w:cs="Times New Roman" w:eastAsia="Times New Roman" w:hAnsi="Times New Roman"/>
          <w:sz w:val="18"/>
          <w:szCs w:val="18"/>
          <w:color w:val="auto"/>
        </w:rPr>
        <w:t>revised accounting standards applicable to public companies. We have elected to use this extended transition period under the JOBS Act until the earlier of the date we (1) are no longer an emerging growth company or</w:t>
      </w:r>
    </w:p>
    <w:p>
      <w:pPr>
        <w:jc w:val="both"/>
        <w:ind w:left="460" w:right="459" w:hanging="6"/>
        <w:spacing w:after="0" w:line="255" w:lineRule="auto"/>
        <w:tabs>
          <w:tab w:leader="none" w:pos="7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affirmatively and irrevocably opt out of the extended transition period provided in the JOBS Act. As a result, our financial statements may not be comparable to companies who have adopted new or revised accounting pronouncements.</w:t>
      </w:r>
    </w:p>
    <w:p>
      <w:pPr>
        <w:spacing w:after="0" w:line="1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w:t>
      </w:r>
    </w:p>
    <w:p>
      <w:pPr>
        <w:spacing w:after="0" w:line="27" w:lineRule="exact"/>
        <w:rPr>
          <w:sz w:val="20"/>
          <w:szCs w:val="20"/>
          <w:color w:val="auto"/>
        </w:rPr>
      </w:pPr>
    </w:p>
    <w:p>
      <w:pPr>
        <w:jc w:val="both"/>
        <w:ind w:left="460" w:right="459" w:hanging="6"/>
        <w:spacing w:after="0" w:line="253"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fifth anniversary of the completion of this offering, (b) in which we have total annual gross revenue of at least $1.07 billion or (c) in which we are deemed to be a “large accelerated filer” as defined in Rule 12b-2 under the Exchange Act, and (2) the date on which we have issued more than $1.0 billion in non-convertible debt during the prior three-year period.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3" w:name="page64"/>
    <w:bookmarkEnd w:id="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SoundHound AI’s mission is to voice-enable the world with conversational intelligence through an independent AI platform enabling humans to interact with products and services like they interact with each other — by speaking naturally.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SoundHound AI is a leading innovator of conversational intelligence, offering an independent Voice AI platform that enables businesses across industries to deliver high quality conversational experiences to their customers. Built on proprietary Speech-to-Meaning</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and Deep Meaning Understanding</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technologies developed over the past 16 years, our advanced Voice AI platform provides exceptional speed and accuracy.</w:t>
      </w:r>
    </w:p>
    <w:p>
      <w:pPr>
        <w:spacing w:after="0" w:line="119"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envision a future where people interact with products on a daily basis through voice-enabled AI. Our technology provides a conversational voice-enabled user interface, allowing a more natural and more productive way of interacting with the products and services we use. SoundHound AI is also committed to enabling product creators to design, customize, differentiate, innovate, and monetize the voice interfaces to their own products and services, as opposed to outsourcing to a third-party assistant.</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More often than not, we currently interact with voice-enabled third-party assistants using halted speech patterns, consciously dividing queries into limited, broken, and unnatural instructions. By contrast, using SoundHound AI,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“internet of things” (“IoT”) devices. Additionally, SoundHound AI’s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SoundHound AI’s technology is currently being used globally by customers that include Hyundai, Mercedes-Benz, Pandora, Deutsche Telekom, Snap, VIZIO, KIA, and Stellantis. We have seen significant inflection in customer adoption of our technology, as measured through monthly queries on our Houndify platform, which doubled over the first six months of 2021 and are now in excess of 100 million queries per month. Our current customers, which in many cases have contractual obligations that average multiple years (often between three to five years), span multiple industries and geographies, and together have an estimated combined reach of over two billion end users. We consider our long-term customers our “partners” and, by growing these strategic relationships, SoundHound AI’s revenues have grown by more than 50% year over year each fiscal year over the past three years. The cumulative value of contracts with our existing partners has already exceeded $100M and based on the strength of our existing customer base and strategic partnerships, we expect to be able achieve annual gross revenues in excess of $1 billion within the next five years as we expand with existing customers, scale with new products, customers, and verticals.</w:t>
      </w:r>
    </w:p>
    <w:p>
      <w:pPr>
        <w:spacing w:after="0" w:line="190"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We support our customers by providing them access to Houndify</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 an open-access platform that allows developers to leverage SoundHound AI’s Voice AI technology and a library of over 100 content domains, including commonly used domains for points of interest, weather, flight status, sports, and more. To ensure that our content domains continue to evolve and grow, our platform is built on our breakthrough Collective</w:t>
      </w:r>
    </w:p>
    <w:p>
      <w:pPr>
        <w:spacing w:after="0" w:line="42"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AI</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 an architecture for connecting domain knowledge, which encourages collaboration and contribution among developers, is always learning, and is greater than the sum of its parts. This architecture allows us to improve the understanding capability of our platform super-linearly and even exponentially based on linear contributions because of how the domains interact with one another. They can be inter-connected and can learn from each other and, as developers contribute to the platform, its understanding capability can grow exponentially.</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technology is backed by SoundHound AI’s investments in intellectual property, with over 227 patents granted or pending, spanning multiple fields including speech recognition, natural language, machine learning, monetization, and more. We have achieved this critical momentum in part thanks to a leadership team with deep expertise and proven ability to attract and retain talent.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4" w:name="page65"/>
    <w:bookmarkEnd w:id="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 significant addressable market</w:t>
      </w:r>
    </w:p>
    <w:p>
      <w:pPr>
        <w:spacing w:after="0" w:line="14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To take advantage of opportunities created by the expansion of Voice AI, companies across industries are turning to independent providers with disruptive technology offerings to help them design and build custom voice assistants. The demand for Voice AI technology is growing exponentially as companies compete to lead the market with the best technology, excellent customer relationships, and greatest innovations.</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Industry sources predict that 90% of new vehicles globally will have voice assistants by 2028 and that there will be 75 billion connected devices worldwide by 2025. The number of devices with their own voice assistant is expected to overtake the world’s population within four years.</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Across industries, 94% of large companies expect to use Voice AI within two years, according to a Pindrop Security, Inc. study, indicating the imperative most companies feel to provide a voice user interface to their products and services.</w:t>
      </w:r>
    </w:p>
    <w:p>
      <w:pPr>
        <w:spacing w:after="0" w:line="95"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Custom, branded voice assistants are allowing companies to improve their customer interactions at every touchpoint. In a recent study by Opus Research (sponsored by SoundHound AI), 77% of business leaders across eight industries stated that voice assistants drive value through improved customer support and 76% agreed that they help companies to control their brand identity and user experience.</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For those already employing a voice assistant, 81% are using the technology to improve customer service and 52% are using them for sales activity.</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For the estimated 75 billion IoT devices in existence by 2025, we believe many of them won’t have the physical or economical room to add a keyboard or touch screen, but they can easily have a small, inexpensive microphone. With a microphone, companies can add Voice AI to their products, unleashing the full capabilities of the internet to their end users. Voice AI can bring these products “to life”, and convert IoT to AI IoT.</w:t>
      </w:r>
    </w:p>
    <w:p>
      <w:pPr>
        <w:spacing w:after="0" w:line="99"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According to Juniper Research, the broader market for Voice AI transactions will exceed $160 billion by 2026, enabled by a growing need for Voice AI in many industries.</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All these trends are adding up to exponential growth for Voice AI in a variety of markets, including IoT, automotive, retail, hospitality, enterprise, healthcare, contact center, and banking and finance.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believe that Voice AI is poised to be the next disruption in computing and the timing is right for our company and our vision.</w:t>
      </w:r>
    </w:p>
    <w:p>
      <w:pPr>
        <w:spacing w:after="0" w:line="8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Human-computer interfaces became popularized through computers offering a keyboard and mouse. After that came mobile devices with touch screens. We now have IoT devices with Voice AI. After the internet became mainstream, every company needed to have a website. After the mobile ecosystem became mature, every company needed to have a mobile strategy. We note that some very successful companies were created purely on the mobile ecosystem.</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believe the same concept will apply to the world of Voice AI where every company will need to have a strategy and there will exist success stories built on top of platforms like ours. These interfaces will co-exist: for example, mobile and touch screens did not completely replace computers with a keyboard and mouse, therefore Voice AI will also co-exist with computers and mobile. However, with billions of IoT devices that don’t have a keyboard or a mouse or a touch screen, voice will be the preferred or the only way to interact with these devices.</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market position is strengthened by the significant technical barriers to entry that often face potential participants in the Voice AI space, reducing the likelihood that significant competitors will enter the market in the near term.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5" w:name="page66"/>
    <w:bookmarkEnd w:id="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Technical Development</w:t>
      </w:r>
    </w:p>
    <w:p>
      <w:pPr>
        <w:spacing w:after="0" w:line="14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2005, when, as recent graduates from Stanford, our founders began envisioning a future where we would be talking to products just as we do other people. Inspired to make their vision a reality, the company was founded with a simple and powerful mission: Add Voice AI to everything. To this day, the company is still run by its original founding team.</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SoundHound AI’s technology represents the evolution of several disruptive breakthroughs in voice-AI and sound recognition developed over the past 16 years. Using innovative audio and music identification technology, in 2009, our founders launched the SoundHound AI music identification app. Since its inception, the app has received over 315 million downloads and continues to be a top-ranked music app today.</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parallel, the founding team worked in stealth on a fundamentally new technology — one that had the potential to revolutionize human-to-computer voice interaction. Up until then, all voice interactions relied on speech-to-text and then text-to-meaning. Our engineers knew that for a true voice engine to flourish, it needed to understand speech directly, just like humans do.</w:t>
      </w:r>
    </w:p>
    <w:p>
      <w:pPr>
        <w:spacing w:after="0" w:line="99"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2015, SoundHound AI introduced the Houndify Voice AI platform incorporating breakthrough Speech-to-Meaning and Deep Meaning Understanding technologies, which, to SoundHound AI’s knowledge represented voice interaction technologies not yet broadly available at the time as its foundation.</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SoundHound AI’s Vision</w:t>
      </w:r>
    </w:p>
    <w:p>
      <w:pPr>
        <w:spacing w:after="0" w:line="16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A typical reaction to SoundHound AI’s technology is “Wow! Even humans cannot do this.” This is the crux of our vision: </w:t>
      </w:r>
      <w:r>
        <w:rPr>
          <w:rFonts w:ascii="Times New Roman" w:cs="Times New Roman" w:eastAsia="Times New Roman" w:hAnsi="Times New Roman"/>
          <w:sz w:val="18"/>
          <w:szCs w:val="18"/>
          <w:i w:val="1"/>
          <w:iCs w:val="1"/>
          <w:color w:val="auto"/>
        </w:rPr>
        <w:t>Create a Voice AI platform that exceeds human capabilities and brings value and delight via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 ecosystem of billions of products enhanced by innovation and monetization opportunities.</w:t>
      </w:r>
    </w:p>
    <w:p>
      <w:pPr>
        <w:spacing w:after="0" w:line="108"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Computers are better than humans at computing, but they’re not always better than humans at performing certain tasks. For example, we used to easily beat computers in the game of chess, but now computers can even top grandmasters. When it comes to language understanding, the general perception is computers are not yet as good as humans. People talk using complex conversations with each other, but when they talk to voice assistants, they lower their expectations and use short, simple, keyword-based queries. We aim to change that by making computers better than humans in language understanding. As a result, SoundHound AI can make humans more productive and help make the world a better place.</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To provide another example, if a user is looking for a restaurant, but anything other than Chinese (because they had Chinese food yesterday) they can ask the concierge of a hotel: “Show me restaurants, excluding Chinese”, and the concierge can point the customer in the right direction. But when talking to a typical voice assistant, users often don’t ask the question: “show me restaurants, excluding Chinese”, because they don’t expect that it will work. And in fact, most other voice assistants will offer Chinese restaurants when asked to show restaurants excluding Chinese. With SoundHound AI’s technology, users can ask even more complicated questions, such as: “show me Asian restaurants in San Francisco, excluding Chinese and Japanese, and only show the ones that have more than three stars and are open after 9:00 PM on Wednesdays.”</w:t>
      </w:r>
    </w:p>
    <w:p>
      <w:pPr>
        <w:spacing w:after="0" w:line="12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addition, users can follow up and ask it to refine the criteria such as “remove Korean and Vietnamese, sort by rating then by price, and only show the ones that are good for kids and have a patio.”</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vision further includes empowering billions of devices around the world using our technology, with innovation and monetization opportunities for the product creators that integrate the Houndify platform. It means product creators can not only use Voice AI to make their product better they can also generate incremental recurring revenues from customer interactions.</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vision also places a high emphasis on user experience. Before monetization growth can occur, delivering value and delight to end users is paramount. As a result, the most effective monetizable interactions will be those that flow naturally based on context, create value for the end-user, and would not be perceived by users as intrusive advertisements.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6" w:name="page67"/>
    <w:bookmarkEnd w:id="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note that today’s voice assistants are far from being able to answer every question and perform every task, and our vision is long-term. However, we have already achieved superhuman capabilities in many of the domains that we have delivered to our customers.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Technology Breakthroughs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SoundHound AI’s momentum in the Voice AI market can, in large part, be attributed to our large number of technology breakthroughs. These are anchored by three important innovations: Speech-to-Meaning, Deep Meaning Understanding and Collective AI.</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Speech-to-Meaning</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Speech-to-Meaning refers to SoundHound AI’s ability to convert speech to meaning simultaneously and in real time. Most traditional approaches first convert speech to text, and then convert text to meaning. This approach can be both slower and less accurate. It’s slower because the two steps are done in sequence, and the additional processing time of the second step can be noticeable by the end user. It can also be less accurate because if the first step of speech to text makes a mistake, the resulting incorrect text is then sent to the second step, and the error further propagates.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79375</wp:posOffset>
            </wp:positionV>
            <wp:extent cx="5134610" cy="41319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34610" cy="4131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development of Speech to Meaning technology was inspired by the human brain. As we listen to someone speaking, our brain does not convert speech to text, and then text to meaning. Instead, our brain converts speech to meaning simultaneously and in real time. With Speech-to-Meaning, as you speak to SoundHound AI’s technology, it performs both speech recognition and language understanding simultaneously, which results in faster response time and higher accuracy, because real-time language understanding can feed into the real-time speech recognizer as additional information to reduce errors.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7" w:name="page68"/>
    <w:bookmarkEnd w:id="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Deep Meaning Understanding</w:t>
      </w:r>
    </w:p>
    <w:p>
      <w:pPr>
        <w:spacing w:after="0" w:line="14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Deep Meaning Understanding is our innovative approach to language understanding that allows our Voice AI platform to understand highly complex conversation.</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For example it can understand: “Show me hotels in San Francisco that are less than $600, but not less than $300, are pet friendly, have a gym and a pool with at least three stars staying for two nights, and don’t include anything that doesn’t have Wi-Fi.”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80645</wp:posOffset>
            </wp:positionV>
            <wp:extent cx="5134610" cy="37630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34610" cy="376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 complex search like this will take many minutes to perform on a website with complex forms, but it can be done within a few seconds using SoundHound AI technology, which we believe to be unique in its ability to handle complex queries of this nature at scale.</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Collective AI</w:t>
      </w:r>
    </w:p>
    <w:p>
      <w:pPr>
        <w:spacing w:after="0" w:line="16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third breakthrough is called Collective AI: an architecture that gives potential to SoundHound AI to improve the understanding capability of its platform exponentially based on linear contributions</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Most other platforms add skills or domains that are separate and don’t interact with each other. For them, linear contribution results in linear growth in understanding, which is less scalable. With the Collective AI architecture, SoundHound AI domains can be interconnected and learn from each other. As developers contribute to the platform, the platform’s understanding capability can grow exponentially.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8" w:name="page69"/>
    <w:bookmarkEnd w:id="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SoundHound AI Products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Houndify platform</w:t>
      </w:r>
    </w:p>
    <w:p>
      <w:pPr>
        <w:spacing w:after="0" w:line="14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SoundHound AI’s Voice AI platform combines advanced AI with engineering expertise to help brands build conversational voice assistants. From proprietary components to customizable and scalable solutions, we offer tools to build a highly accurate and responsive voice user interface.</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suite of Houndify tools includes Application Programming Interfaces (“API”) for text and voice queries, support for custom commands, extensive library of content domains, inclusive Software Development Kit platforms, collaboration capabilities, diagnostic tools, and built-in analytics.</w:t>
      </w:r>
    </w:p>
    <w:p>
      <w:pPr>
        <w:spacing w:after="0" w:line="10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Houndify provides a web API that takes in text queries or audio and returns actionable JavaScript Object Notation to anyone with an internet connection wanting to add Voice AI to any product or application.</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Automatic Speech Recognition (“ASR”)</w:t>
      </w:r>
    </w:p>
    <w:p>
      <w:pPr>
        <w:spacing w:after="0" w:line="14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highly optimized, tunable, and scalable ASR engine supports vocabulary sizes containing millions of words. Houndify’s machine learning infrastructure allows us to tune the engine to achieve optimal Computer Processing Unit (“CPU”) performance while delivering high accuracy rates.</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Natural Language Understanding (“NLU”)</w:t>
      </w:r>
    </w:p>
    <w:p>
      <w:pPr>
        <w:spacing w:after="0" w:line="16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proprietary Speech-to-Meaning technology tracks speech in real-time and understands the context, even before the user has finished speaking. Instead of the typical two-step process of transcribing speech into text and then passing the text into an NLU model, Houndify can accomplish both of these tasks in one step, delivering faster and more accurate results.</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w:t>
      </w:r>
    </w:p>
    <w:p>
      <w:pPr>
        <w:spacing w:after="0" w:line="11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Wake Words</w:t>
      </w:r>
    </w:p>
    <w:p>
      <w:pPr>
        <w:spacing w:after="0" w:line="14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Wake words are the entry point into branded voice experiences, allowing users to invoke the assistant by literally speaking the company’s name. Examples range from “Hey Pandora” in a mobile app to “Hey Peugeot” within a vehicle.</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9" w:name="page70"/>
    <w:bookmarkEnd w:id="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Custom Domains</w:t>
      </w:r>
    </w:p>
    <w:p>
      <w:pPr>
        <w:spacing w:after="0" w:line="14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library of over 100 public domains is available with a free Houndify account. Houndify public domains give developers instant access to a broad range of content to fit their unique use cases. This includes multi-category content intended to appeal to broad range of audiences, including, for instance, sports scores, weather, podcasts, travel information, recipes, stock prices, among many others.</w:t>
      </w:r>
    </w:p>
    <w:p>
      <w:pPr>
        <w:spacing w:after="0" w:line="11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Companies can enhance product functionality or proprietary operations with Houndify Private Domains, allowing customization and development of more specific content. Customers who subscribe for this service have full access to their private domains securely on the Houndify platform while retaining the ability to iterate and update content.</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For example, an automotive manufacturer can make helpful updates about the car’s user manual over time. In this way, SoundHound AI becomes a long-term “partner” to its customers, helping companies create the domains that they need in order to improve brand value for their own customers or end users.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Text-to-speech (“TTS”)</w:t>
      </w:r>
    </w:p>
    <w:p>
      <w:pPr>
        <w:spacing w:after="0" w:line="14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 high quality TTS can help companies create a unique voice that differentiates them from the competition. Brands can fully express their personality by choosing the gender, tone, and personality that will become their vocal identity.</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machine learning algorithms transform recorded voices into large databases of spoken sounds to form entire vocabularies of natural language — adapted to the user’s environment. We can transform any voice to generate a high-quality TTS with a small CPU footprint.</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Edge (Embedded)</w:t>
      </w:r>
    </w:p>
    <w:p>
      <w:pPr>
        <w:spacing w:after="0" w:line="16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 fully-embedded voice solution for brands seeking the convenience of a voice user interface without the privacy or connectivity concerns of the internet. Includes full access to custom commands and the ability to instantly update commands during development. We have not generated revenue from Edge during the years presented in this prospectus.</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To harness the capabilities of full cloud connectivity with the reliability of embedded voice technology. </w:t>
      </w:r>
      <w:r>
        <w:rPr>
          <w:rFonts w:ascii="Times New Roman" w:cs="Times New Roman" w:eastAsia="Times New Roman" w:hAnsi="Times New Roman"/>
          <w:sz w:val="18"/>
          <w:szCs w:val="18"/>
          <w:i w:val="1"/>
          <w:iCs w:val="1"/>
          <w:color w:val="auto"/>
        </w:rPr>
        <w:t>Houndify Edge Hybrid</w:t>
      </w:r>
      <w:r>
        <w:rPr>
          <w:rFonts w:ascii="Times New Roman" w:cs="Times New Roman" w:eastAsia="Times New Roman" w:hAnsi="Times New Roman"/>
          <w:sz w:val="18"/>
          <w:szCs w:val="18"/>
          <w:color w:val="auto"/>
        </w:rPr>
        <w:t xml:space="preserve"> solutions are designed to ensure that devices are always-on and responsive to commands. Allows for over-the-air product updates and a broader voice experience with the level of cloud-connectivity that best matches the product and its users.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Competitive Strengths and Differentiators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Independent Disruptor</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believe there is a growing void and demand for an independent Voice AI platform such as SoundHound AI. Looking across industries, there has been a notable rise of independent disruptors. These new companies were able to beat the legacy giants using focused technologies and business models. The majority of participants in the Voice AI industry can be characterized as either “big tech” companies (meaning large corporations offering Voice AI as an extension of other services) and “legacy vendors” (meaning long-time Voice-AI industry participants with older technologies).</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Voice AI offerings from big tech companies are primarily an extension of their services. In many cases, rather than strengthening or interacting with the host product, big tech offerings tend to take over the entire product experience, thus “hijacking” the company’s brand, users, and data. As a result, brands relying on big tech Voice AI frequently experience decreased ability to innovate, differentiate, and customize the way that their products interact with Voice AI platforms and/or end users. In some cases, these big tech Voice AI providers even compete with the customers whose products their technologies support, making them increasingly less attractive as a choice for a voice interface.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0" w:name="page71"/>
    <w:bookmarkEnd w:id="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Voice AI market currently also includes “legacy vendors,” a number of whom offer dated technologies at a high price. Furthermore, in many cases, legacy vendor technologies still require significant effort by product creators to turn legacy AI product offerings into solutions that can compete with the quality of Voice AI products currently offered by big tech companies, which is oftentimes neither economical nor practical.</w:t>
      </w:r>
    </w:p>
    <w:p>
      <w:pPr>
        <w:spacing w:after="0" w:line="116" w:lineRule="exact"/>
        <w:rPr>
          <w:sz w:val="20"/>
          <w:szCs w:val="20"/>
          <w:color w:val="auto"/>
        </w:rPr>
      </w:pPr>
    </w:p>
    <w:p>
      <w:pPr>
        <w:jc w:val="both"/>
        <w:ind w:left="460" w:right="459" w:firstLine="432"/>
        <w:spacing w:after="0" w:line="273" w:lineRule="auto"/>
        <w:rPr>
          <w:sz w:val="20"/>
          <w:szCs w:val="20"/>
          <w:color w:val="auto"/>
        </w:rPr>
      </w:pPr>
      <w:r>
        <w:rPr>
          <w:rFonts w:ascii="Times New Roman" w:cs="Times New Roman" w:eastAsia="Times New Roman" w:hAnsi="Times New Roman"/>
          <w:sz w:val="17"/>
          <w:szCs w:val="17"/>
          <w:color w:val="auto"/>
        </w:rPr>
        <w:t>Due to the high barrier to entry in Voice AI, the number of full solution platform providers is very limited. In our view, it takes many years and significant investment to build all the components of Voice AI. It then takes further time and resources to make the solutions competitive, mature, and viable for adoption. Finally, it requires significant investment to globalize the solution in multiple languages and regions. Although the number of platforms is limited, we note that the big tech players have significant resources. Against this landscape, SoundHound AI has achieved its successes to date through technology innovation, business model innovation, and global alliances that we believe make us well-positioned to continue to grow and execute our business plan.</w:t>
      </w:r>
    </w:p>
    <w:p>
      <w:pPr>
        <w:spacing w:after="0" w:line="10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view the current environment as an opportunity to provide disruptive technologies with capabilities we believe are superior to existing alternatives, allowing customers to maintain their brand, control the user experience, get access to the data, and define their own privacy policies, while being able to customize, differentiate, innovate, and monetize.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74295</wp:posOffset>
            </wp:positionV>
            <wp:extent cx="5134610" cy="27686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3461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1" w:name="page72"/>
    <w:bookmarkEnd w:id="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 Model</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Market Momentum</w:t>
      </w:r>
    </w:p>
    <w:p>
      <w:pPr>
        <w:spacing w:after="0" w:line="14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entry into the Voice AI space began with 10 years of constant innovation in “stealth” building disruptive technologies in Voice AI using innovative approaches. Our goal was to build a differentiated Voice AI technology that we fully own and which is significantly better than other solutions in the market. We achieved that goal and unveiled the result in 2015, launching it as the Houndify platform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82550</wp:posOffset>
            </wp:positionV>
            <wp:extent cx="5134610" cy="25628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3461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Building a Diverse, Global Customer Base</w:t>
      </w:r>
    </w:p>
    <w:p>
      <w:pPr>
        <w:spacing w:after="0" w:line="16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SoundHound AI continues to expand the capabilities that make us well-positioned to serve the needs of customers globally. We have grown our solution from a single language capability to 22 languages, with a roadmap to expand to 38 languages and 114 acoustic variations.</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customers include a range of product and service providers of all sizes, spanning a range of industries, including automotive, IoT, apps, restaurants, and more. Many of our global customers have end users in multiple regions and industries and we have seen our products successfully used by them across multiple contexts and purposes.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2" w:name="page73"/>
    <w:bookmarkEnd w:id="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Three pillars for growth</w:t>
      </w:r>
    </w:p>
    <w:p>
      <w:pPr>
        <w:spacing w:after="0" w:line="14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have identified three pillars for revenue growth: Royalties, Subscription, and Monetization, and all three pillars contribute to our current revenues today. While the majority of current revenues come from royalties, over time we expect our revenues from subscription and monetization pillars to increase and eventually represent a larger portion of our overall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82550</wp:posOffset>
            </wp:positionV>
            <wp:extent cx="5134610" cy="26060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3461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left="1320" w:right="459" w:hanging="434"/>
        <w:spacing w:after="0" w:line="268" w:lineRule="auto"/>
        <w:tabs>
          <w:tab w:leader="none" w:pos="132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Royalties</w:t>
      </w:r>
      <w:r>
        <w:rPr>
          <w:rFonts w:ascii="Times New Roman" w:cs="Times New Roman" w:eastAsia="Times New Roman" w:hAnsi="Times New Roman"/>
          <w:sz w:val="18"/>
          <w:szCs w:val="18"/>
          <w:color w:val="auto"/>
        </w:rPr>
        <w:t>: This involves voice-enabling a product. The product creator pays us a royalty based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volume, usage, or duration. SoundHound AI collects royalties when Houndify is integrated into a product such as a car, smart speaker, or appliance.</w:t>
      </w:r>
    </w:p>
    <w:p>
      <w:pPr>
        <w:spacing w:after="0" w:line="103" w:lineRule="exact"/>
        <w:rPr>
          <w:rFonts w:ascii="Times New Roman" w:cs="Times New Roman" w:eastAsia="Times New Roman" w:hAnsi="Times New Roman"/>
          <w:sz w:val="18"/>
          <w:szCs w:val="18"/>
          <w:color w:val="auto"/>
        </w:rPr>
      </w:pPr>
    </w:p>
    <w:p>
      <w:pPr>
        <w:jc w:val="both"/>
        <w:ind w:left="1320" w:right="479" w:hanging="434"/>
        <w:spacing w:after="0" w:line="262" w:lineRule="auto"/>
        <w:tabs>
          <w:tab w:leader="none" w:pos="142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Subscription</w:t>
      </w:r>
      <w:r>
        <w:rPr>
          <w:rFonts w:ascii="Times New Roman" w:cs="Times New Roman" w:eastAsia="Times New Roman" w:hAnsi="Times New Roman"/>
          <w:sz w:val="18"/>
          <w:szCs w:val="18"/>
          <w:color w:val="auto"/>
        </w:rPr>
        <w:t>: This involves voice-enabling a service that doesn’t rely on a physical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Examples include when SoundHound AI enables customer service or food ordering for restaurants or content management, appointments, or voice commerce, we generate subscription revenue from the service providers.</w:t>
      </w:r>
    </w:p>
    <w:p>
      <w:pPr>
        <w:spacing w:after="0" w:line="95"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0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Monetization</w:t>
      </w:r>
      <w:r>
        <w:rPr>
          <w:rFonts w:ascii="Times New Roman" w:cs="Times New Roman" w:eastAsia="Times New Roman" w:hAnsi="Times New Roman"/>
          <w:sz w:val="18"/>
          <w:szCs w:val="18"/>
          <w:color w:val="auto"/>
        </w:rPr>
        <w:t>: This pillar creates an ecosystem that enables monetization services in products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from both pillar one and pillar two. When users of a voice-enabled product access the voice-enabled monetization, this creates new leads and transactions. SoundHound AI generates monetization revenue for generating these leads and transactions, and will share revenue with the product creators. During the years presented in this prospectus we have not generated revenue from leads and transactions on voice-enabled products from voice-enabled services other than from the SoundHound AI music identification app. Going forward, SoundHound AI expects monetization revenue to be generated through a combination of advertising revenue from the music identification app and from leads and transactions on voice-enabled products from voice-enabled services.</w:t>
      </w:r>
    </w:p>
    <w:p>
      <w:pPr>
        <w:spacing w:after="0" w:line="12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For example, imagine a driver asks their Houndify-enabled car what restaurants are on the way home. The car can then respond with options, including restaurants that are also on the Houndify platform. These restaurants can accept orders directly from the car and the user can order using their voice. In that case, we will have unlocked a seamless transaction. Accordingly, the restaurant will pay us for that order and we will share that revenue with the car manufacturer. In this example, each party receives value in the ecosystem. The restaurant gets value because they generated a new lead and booked a sale. The driver gets value because they have placed an order just by speaking to their car. And finally, the car manufacturer delivered value to the end user and generated additional revenue from the usage of their product.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3" w:name="page74"/>
    <w:bookmarkEnd w:id="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expect the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85090</wp:posOffset>
            </wp:positionV>
            <wp:extent cx="5134610" cy="35490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34610" cy="354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This ecosystem has a compound impact on our business. First, it increases adoption because more products will be motivated to integrate into our platform. Without the three-pillar model, only products that can afford the cost of Voice AI would be able to adopt it. With this model, products will be able to see a path to add incremental recurring revenue from the usage of their product, increasing overall return on investment while making their product better, which will increase overall adoption. Second, our total available market increases with new revenue streams and puts SoundHound AI on a trajectory with much higher potential.</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4" w:name="page75"/>
    <w:bookmarkEnd w:id="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SoundHound AI’s undeniable criteria for adoption</w:t>
      </w:r>
    </w:p>
    <w:p>
      <w:pPr>
        <w:spacing w:after="0" w:line="14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When it comes to criteria for adoption, our goal is to win on every dimension. We envision that if we win on all criteria for adoption, the only reason not to choose SoundHound AI is human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71120</wp:posOffset>
            </wp:positionV>
            <wp:extent cx="5134610" cy="2297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3461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color w:val="auto"/>
        </w:rPr>
        <w:t xml:space="preserve">The first two criteria customers typically consider are </w:t>
      </w:r>
      <w:r>
        <w:rPr>
          <w:rFonts w:ascii="Times New Roman" w:cs="Times New Roman" w:eastAsia="Times New Roman" w:hAnsi="Times New Roman"/>
          <w:sz w:val="18"/>
          <w:szCs w:val="18"/>
          <w:b w:val="1"/>
          <w:bCs w:val="1"/>
          <w:color w:val="auto"/>
        </w:rPr>
        <w:t>technology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brand control</w:t>
      </w:r>
      <w:r>
        <w:rPr>
          <w:rFonts w:ascii="Times New Roman" w:cs="Times New Roman" w:eastAsia="Times New Roman" w:hAnsi="Times New Roman"/>
          <w:sz w:val="18"/>
          <w:szCs w:val="18"/>
          <w:color w:val="auto"/>
        </w:rPr>
        <w:t>.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spacing w:after="0" w:line="98"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color w:val="auto"/>
        </w:rPr>
        <w:t xml:space="preserve">With our disruptive monetization strategy, we also provide a path to </w:t>
      </w:r>
      <w:r>
        <w:rPr>
          <w:rFonts w:ascii="Times New Roman" w:cs="Times New Roman" w:eastAsia="Times New Roman" w:hAnsi="Times New Roman"/>
          <w:sz w:val="18"/>
          <w:szCs w:val="18"/>
          <w:b w:val="1"/>
          <w:bCs w:val="1"/>
          <w:color w:val="auto"/>
        </w:rPr>
        <w:t>monetization</w:t>
      </w:r>
      <w:r>
        <w:rPr>
          <w:rFonts w:ascii="Times New Roman" w:cs="Times New Roman" w:eastAsia="Times New Roman" w:hAnsi="Times New Roman"/>
          <w:sz w:val="18"/>
          <w:szCs w:val="18"/>
          <w:color w:val="auto"/>
        </w:rPr>
        <w:t>. By choosing our platform, product creators can generate additional revenue while making their product better using Voice AI, providing further incentive to choose our platform.</w:t>
      </w:r>
    </w:p>
    <w:p>
      <w:pPr>
        <w:spacing w:after="0" w:line="103"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We offer a superior </w:t>
      </w:r>
      <w:r>
        <w:rPr>
          <w:rFonts w:ascii="Times New Roman" w:cs="Times New Roman" w:eastAsia="Times New Roman" w:hAnsi="Times New Roman"/>
          <w:sz w:val="18"/>
          <w:szCs w:val="18"/>
          <w:b w:val="1"/>
          <w:bCs w:val="1"/>
          <w:color w:val="auto"/>
        </w:rPr>
        <w:t>ecosystem</w:t>
      </w:r>
      <w:r>
        <w:rPr>
          <w:rFonts w:ascii="Times New Roman" w:cs="Times New Roman" w:eastAsia="Times New Roman" w:hAnsi="Times New Roman"/>
          <w:sz w:val="18"/>
          <w:szCs w:val="18"/>
          <w:color w:val="auto"/>
        </w:rPr>
        <w:t xml:space="preserve"> with Collective AI along with definable </w:t>
      </w:r>
      <w:r>
        <w:rPr>
          <w:rFonts w:ascii="Times New Roman" w:cs="Times New Roman" w:eastAsia="Times New Roman" w:hAnsi="Times New Roman"/>
          <w:sz w:val="18"/>
          <w:szCs w:val="18"/>
          <w:b w:val="1"/>
          <w:bCs w:val="1"/>
          <w:color w:val="auto"/>
        </w:rPr>
        <w:t>privacy</w:t>
      </w:r>
      <w:r>
        <w:rPr>
          <w:rFonts w:ascii="Times New Roman" w:cs="Times New Roman" w:eastAsia="Times New Roman" w:hAnsi="Times New Roman"/>
          <w:sz w:val="18"/>
          <w:szCs w:val="18"/>
          <w:color w:val="auto"/>
        </w:rPr>
        <w:t xml:space="preserve"> controls, which are becoming increasingly important in the industry of Voice AI. Additionally, there is </w:t>
      </w:r>
      <w:r>
        <w:rPr>
          <w:rFonts w:ascii="Times New Roman" w:cs="Times New Roman" w:eastAsia="Times New Roman" w:hAnsi="Times New Roman"/>
          <w:sz w:val="18"/>
          <w:szCs w:val="18"/>
          <w:b w:val="1"/>
          <w:bCs w:val="1"/>
          <w:color w:val="auto"/>
        </w:rPr>
        <w:t>no conflict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interest </w:t>
      </w:r>
      <w:r>
        <w:rPr>
          <w:rFonts w:ascii="Times New Roman" w:cs="Times New Roman" w:eastAsia="Times New Roman" w:hAnsi="Times New Roman"/>
          <w:sz w:val="18"/>
          <w:szCs w:val="18"/>
          <w:color w:val="auto"/>
        </w:rPr>
        <w:t>between us and our partners and customers as we do not compete with them (as some other Voice AI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vendors do). We also offer </w:t>
      </w:r>
      <w:r>
        <w:rPr>
          <w:rFonts w:ascii="Times New Roman" w:cs="Times New Roman" w:eastAsia="Times New Roman" w:hAnsi="Times New Roman"/>
          <w:sz w:val="18"/>
          <w:szCs w:val="18"/>
          <w:b w:val="1"/>
          <w:bCs w:val="1"/>
          <w:color w:val="auto"/>
        </w:rPr>
        <w:t>edge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hybrid</w:t>
      </w:r>
      <w:r>
        <w:rPr>
          <w:rFonts w:ascii="Times New Roman" w:cs="Times New Roman" w:eastAsia="Times New Roman" w:hAnsi="Times New Roman"/>
          <w:sz w:val="18"/>
          <w:szCs w:val="18"/>
          <w:color w:val="auto"/>
        </w:rPr>
        <w:t xml:space="preserve"> solutions. This means our technology can optionally run without a cloud connection for increased flexibility and privacy. Our focus is on delivering the most advanced Voice AI in the world and thus allowing our partners to </w:t>
      </w:r>
      <w:r>
        <w:rPr>
          <w:rFonts w:ascii="Times New Roman" w:cs="Times New Roman" w:eastAsia="Times New Roman" w:hAnsi="Times New Roman"/>
          <w:sz w:val="18"/>
          <w:szCs w:val="18"/>
          <w:b w:val="1"/>
          <w:bCs w:val="1"/>
          <w:color w:val="auto"/>
        </w:rPr>
        <w:t>differentiate and innovate</w:t>
      </w:r>
      <w:r>
        <w:rPr>
          <w:rFonts w:ascii="Times New Roman" w:cs="Times New Roman" w:eastAsia="Times New Roman" w:hAnsi="Times New Roman"/>
          <w:sz w:val="18"/>
          <w:szCs w:val="18"/>
          <w:color w:val="auto"/>
        </w:rPr>
        <w:t xml:space="preserve"> their overall experiences for their brands.</w:t>
      </w:r>
    </w:p>
    <w:p>
      <w:pPr>
        <w:spacing w:after="0" w:line="32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Research and development have been the foundation of our company since its origin. We have invested significantly over the years in making conversational Voice AI technology by leveraging advanced technologies across signal processing, speech recognition, machine learning and more. The complexities of our design and the associated technological breakthroughs has required more than ten years of research and development activities to fine tune our technology for commercial use. We continue to explore different innovation strategies to strengthen our capabilities.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5" w:name="page76"/>
    <w:bookmarkEnd w:id="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particular, we are continually working to improve the speed and accuracy of our Voice AI solutions and make customer adoption easier and faster. We have protected our innovations throughout with patents and trade secrets, and we have continued to strengthen our competitive positioning by staying on top of the latest advancements in the Voice AI industry. We expect to continue to keep research and development and, more broadly, innovation and product quality at the forefront of our strategy and core focus.</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To further our transformative strategy as a leading innovator, we expect research &amp; development to remain a significant part of our growth and investment. Our research and development activities are centered in our Santa Clara headquarters, but we also carry out research &amp; development in other locations, including internationally. Our employees’ expertise ranges from cloud-based software development to embedded hardware integration.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take an insight-driven, account-based marketing approach to build and expand our relationships with commercial partners. We collect feedback directly from commercial partners to garner insights that help drive the business and product. We also work with analysts and higher education institutions to conduct studies, test and validate technology performance, providing key proof points for commercial partners considering our products. In parallel, marketing and communications drive our brand equity and narrative through ongoing announcements, campaigns, events, speaking opportunities, and public relations efforts.</w:t>
      </w:r>
    </w:p>
    <w:p>
      <w:pPr>
        <w:spacing w:after="0" w:line="10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demand generation efforts span the full customer funnel to target prospects across a variety of channels including: advertising, email, social media, and search engines. We employ Account-Based Marketing (“ABM”) leveraging leading-edge platforms supported by fully-current Marketing Automation tools to capture and nurture business leads through to Marketing Qualified Leads (“MQL”), Sales Accepted Leads (“SAL”), and Sales Qualified Leads (“SQL”) ultimately to drive towards return-on-investment-positive marketing expenditures.</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Sales and marketing will play a critical role in the next phase of our evolution as a company, with key ongoing investments in our team and leadership. While our products are already scaling with existing customers, we see significant opportunities to grow into new markets and verticals. Increased sales and marketing efforts will enable us to capitalize on the tremendous momentum we are building and we expect to continue expanding resources to grow our personnel and leadership team focused on sales and marketing.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Key Strategic Global Partners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SoundHound AI sees strategic partnerships as the foundation for our ongoing growth and success. Our deep collaboration with leading companies across industries has allowed our technology to reach millions of customers. Largely through our existing customer base, query volume doubled in the first half of 2021 and is projected to exceed 1 billion by the end of the year, with over 100 million queries per month. Information provided to us by our strategic partners suggest that our customers’ products are currently used by have a reach over a billion users.</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Some of the strategic partners that are featured here utilizes SoundHound AI’s product integrations:</w:t>
      </w:r>
    </w:p>
    <w:p>
      <w:pPr>
        <w:spacing w:after="0" w:line="158" w:lineRule="exact"/>
        <w:rPr>
          <w:sz w:val="20"/>
          <w:szCs w:val="20"/>
          <w:color w:val="auto"/>
        </w:rPr>
      </w:pPr>
    </w:p>
    <w:p>
      <w:pPr>
        <w:ind w:left="1300" w:hanging="41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Mercedes: MBUX (multiple models in North America)</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Hyundai/KIA: Dynamic Voice Recognition (multiple models in North America and India)</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Honda: Select models in Japan and Europe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Snapchat: Voice Scan and Captioning features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Pandora: In-app Voice Mode</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VIZIO: Smart TV Voice Remote for multiple product lines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White Castle: Voice AI Drive Through</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Deutsche Telekom: Magenta Speaker in Germany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6" w:name="page77"/>
    <w:bookmarkEnd w:id="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SoundHound AI’s intellectual property portfolio includes 227 granted or pending patents. These patents cover areas such as speech recognition, natural language understanding, machine learning, human interfaces, and others, including monetization and advertising.</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Out of our over 200 patents granted and pending, 35 of these patents are in conversational monetization. Because we predict that search traffic will change from keyword-based queries to conversational interactions, we have a large number of patents in the area of conversational advertising.</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SoundHound AI currently has a team of over 400 members, 392 of which are full-time employees and 8 of which are part-time, with a presence spanning 16 countries.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corporate headquarters is located in Santa Clara, California, within a consolidated building covering 61,360 square feet. Our lease began in 2017 and is set to expire in 2024. In addition to our headquarters, we lease offices in Boulder, CO; Toronto, Paris, Tokyo, and Beijing and leverage shared workspace offices in Berlin and Seoul.</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are subject to various laws, regulations, and permitting requirements of federal, state, and local authorities, related to health and safety, anti-corruption and export controls. The foregoing may include the U.S. Foreign Corrupt Practices Act of 1977, the U.S. Export Administration Regulations, Money Laundering Control Act of 1986 and any other equivalent or comparable laws of other countries. We believe that we are in material compliance with all such laws, regulations, and permitting requirements.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From time to time, we may become involved in actions, claims, suits and other legal proceedings arising in the ordinary course of our business, including assertions by third parties relating to personal injuries sustained using our products and services, intellectual property infringement, breaches of contract or warranties or employment-related matters. We are not currently a party to any actions, claims, suits or other legal proceedings the outcome of which, if determined adversely to us, would individually or in the aggregate have a material adverse effect on our business, financial condition and results of operations.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7" w:name="page78"/>
    <w:bookmarkEnd w:id="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our executive officers and directors as of the date of this prospectus: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8"/>
                <w:szCs w:val="18"/>
                <w:color w:val="auto"/>
              </w:rPr>
            </w:pPr>
          </w:p>
        </w:tc>
        <w:tc>
          <w:tcPr>
            <w:tcW w:w="4800" w:type="dxa"/>
            <w:vAlign w:val="bottom"/>
          </w:tcPr>
          <w:p>
            <w:pPr>
              <w:ind w:left="212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r>
      <w:tr>
        <w:trPr>
          <w:trHeight w:val="243"/>
        </w:trPr>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Keyvan Mohajer</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Chief Executive Officer</w:t>
            </w:r>
          </w:p>
        </w:tc>
      </w:t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Hom</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Larry Marcus</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Diana Sroka</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Eric Ball</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Majid Emami</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of Engineering</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Zubin Irani</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Revenue Officer</w:t>
            </w:r>
          </w:p>
        </w:tc>
      </w:t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Stonehocker</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Amir Arbabi</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Vice President, Business Development</w:t>
            </w:r>
          </w:p>
        </w:tc>
      </w:t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Nitesh Sharan</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34"/>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Zagorsek</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4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49"/>
        </w:trPr>
        <w:tc>
          <w:tcPr>
            <w:tcW w:w="2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800" w:type="dxa"/>
            <w:vAlign w:val="bottom"/>
            <w:shd w:val="clear" w:color="auto" w:fill="CCEEFF"/>
          </w:tcPr>
          <w:p>
            <w:pPr>
              <w:spacing w:after="0"/>
              <w:rPr>
                <w:sz w:val="4"/>
                <w:szCs w:val="4"/>
                <w:color w:val="auto"/>
              </w:rPr>
            </w:pPr>
          </w:p>
        </w:tc>
      </w:tr>
    </w:tbl>
    <w:p>
      <w:pPr>
        <w:spacing w:after="0" w:line="15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Keyvan Mohajer. </w:t>
      </w:r>
      <w:r>
        <w:rPr>
          <w:rFonts w:ascii="Times New Roman" w:cs="Times New Roman" w:eastAsia="Times New Roman" w:hAnsi="Times New Roman"/>
          <w:sz w:val="18"/>
          <w:szCs w:val="18"/>
          <w:color w:val="auto"/>
        </w:rPr>
        <w:t>Dr. Keyvan Mohajer been our Chief Executive Officer and a member of the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the consummation of the Business Combination in April 2022. Dr. Mohajer has served as SoundHound’s Chief Executive Officer and a member of the SoundHound board of directors (the “SoundHound Board”) since 2005, when he co-founded SoundHound. Dr. Mohajer is a technical founder and visionary entrepreneur with over 20 years of experience scaling multiple companies. Dr. Mohajer is a key contributor to SoundHound’s core technologies, with over 90 patents granted or pending. He also plays a major role in SoundHound’s business development and has successfully raised over $280 million of funding on the Company’s behalf from global industry leaders. In 2017, Dr. Mohajer was named a “Top 40 Under 40” business leader by Silicon Valley Business Journal. Dr. Mohajer received his Bachelor of Science degree in Electrical Engineering from the University of Toronto in 2000, his Master of Science from Stanford University in 2002 and his Ph.D. in Electrical Engineering from Stanford University in 2007. We believe that Dr. Mohajer is well qualified to serve as a member of the Board because, as a co-founder of SoundHound and its chief executive officer, he has extensive knowledge of SoundHound’s business.</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Hom. </w:t>
      </w:r>
      <w:r>
        <w:rPr>
          <w:rFonts w:ascii="Times New Roman" w:cs="Times New Roman" w:eastAsia="Times New Roman" w:hAnsi="Times New Roman"/>
          <w:sz w:val="18"/>
          <w:szCs w:val="18"/>
          <w:color w:val="auto"/>
        </w:rPr>
        <w:t>James Hom has been a member of the Board since the consummation of the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 in April 2022. Mr. Hom, one of SoundHound’s co-founders, has served as Vice President of Products and a member of the SoundHound Board since 2006. As Vice President of Products, Mr. Hom leads product development and advancement for the Houndify Voice AI platform and multiple business-to-consumer products. Mr. Hom earned his Bachelor of Science Degree in Computer Science from Stanford University in 2005. We believe that Mr. Hom is well qualified to serve as a member of the Board because, as a co-founder and officer of SoundHound, he has extensive knowledge of SoundHound’s business.</w:t>
      </w:r>
    </w:p>
    <w:p>
      <w:pPr>
        <w:spacing w:after="0" w:line="10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Larry Marcus. </w:t>
      </w:r>
      <w:r>
        <w:rPr>
          <w:rFonts w:ascii="Times New Roman" w:cs="Times New Roman" w:eastAsia="Times New Roman" w:hAnsi="Times New Roman"/>
          <w:sz w:val="18"/>
          <w:szCs w:val="18"/>
          <w:color w:val="auto"/>
        </w:rPr>
        <w:t>Larry Marcus has been a member of the Board since the consummation of the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 in April 2022. Larry Marcus has served as a member of the SoundHound Board since 2009. He is a Co-founder and Managing Director of Marcy Venture Partners, a San Francisco-based venture capital firm investing in consumer, culture and positive impact businesses since February 2018. Since June 2000, Mr. Marcus has also been a Managing Director at Walden Venture Capital. Previously, Mr. Marcus was a digital media sell-side equity research analyst at Deutsche Bank Alex Brown from 1995 to 2000. Mr. Marcus currently serves, and in the past has served, on the boards of directors of a number private companies, some of which have gone on to become public companies. Mr. Marcus received his Bachelor of Arts in Political Economy of Industrial Societies in 1987 and his Master of Business Administration in 1993, both from the University of California, Berkeley. We believe that Mr. Marcus is well qualified to serve as a member of the Board because, as a member of SoundHound’s board, he has extensive knowledge of SoundHound’s business, and also because of this significant venture capital and finance experience.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8" w:name="page79"/>
    <w:bookmarkEnd w:id="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Diana Sroka. </w:t>
      </w:r>
      <w:r>
        <w:rPr>
          <w:rFonts w:ascii="Times New Roman" w:cs="Times New Roman" w:eastAsia="Times New Roman" w:hAnsi="Times New Roman"/>
          <w:sz w:val="18"/>
          <w:szCs w:val="18"/>
          <w:color w:val="auto"/>
        </w:rPr>
        <w:t>Diana Sroka has become a member of the Board upon the consummation of the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 in April 2022. In 2001, Ms. Sroka joined HP Inc. (“HP”) (f/k/a Hewlett-Packard Company ) (NYSE:HPQ), a global technology company based in Palo Alto, California, and has held various leadership roles in finance and business functions within HP. Since November 2020, Ms. Sroka has served as the Global Head of Consumer Printer Services. Prior to that, from March 2017 to November 2020, Ms. Sroka served as HP’s Chief Executive Officer’s Chief of Staff, where she was responsible for regular review and approval of internal Sarbanes-Oxley Act controls related to matters managed by the Executive Leadership Team. Prior to serving as Chief of Staff, Ms. Sroka served as an Investor Relations Officer on HP’s Investor Relations team commencing in June 2014. From November 2015 through March 2017, she served as HP’s Head of Investor Relations. Prior to her employment at HP, Ms. Sroka was a Business Planning Analyst for Visteon Corporation and a Product Engineer with Ford Motor Company. Ms. Sroka earned her Bachelor of Science Degree in Mechanical Engineering from Pennsylvania State University in 1995 and her Master of Business Administration Degree from the University of Michigan in 2000. We believe that Ms. Sroka is well qualified to serve as a member of the Board because she has extensive background in accounting, financial management and internal accounting controls.</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Eric R. Ball. </w:t>
      </w:r>
      <w:r>
        <w:rPr>
          <w:rFonts w:ascii="Times New Roman" w:cs="Times New Roman" w:eastAsia="Times New Roman" w:hAnsi="Times New Roman"/>
          <w:sz w:val="18"/>
          <w:szCs w:val="18"/>
          <w:color w:val="auto"/>
        </w:rPr>
        <w:t>Dr. Eric R. Ball has been a member of our Board since our IPO in 2021. Since 2016,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 Ball has been the General Partner of Impact Venture Capital, a Silicon Valley based venture firm investing in early-stage applied-AI start-up companies. From 2015 until 2016, Dr. Ball served as the Chief Financial Officer for C3 AI, an enterprise AI software provider. From 2005 to 2015, Dr. Ball served as Senior Vice President and Treasurer for Oracle. Prior to 2005, Dr. Ball served in a variety of finance roles at Flextronics International, Cisco Systems, Avery Dennison, and AT&amp;T. Dr. Ball has served as the Chairman of the Board of CapConnect+, a start-up company that is focused on linking corporate bond issuers to their institutional buyers, since 2020. Dr. Ball has also served as an advisor to Kyriba, a private treasury management software provider, since 2017. Dr. Ball has also served as a Board member and Audit Chairman of Glu Mobile Inc, a developer and publisher of mobile games from 2013 until April 2021. Dr. Ball received his Ph.D. in management at the Drucker-Ito School of Claremont Graduate University. Dr. Ball received his MBA in finance and MA in economics at the University of Rochester. Dr. Ball graduated with honors from the University of Michigan with a Bachelor of Arts degree in Economics. Dr. Ball is also the co-author of the book “Unlocking the Ivory Tower”. We believe that Dr. Ball is well-qualified to serve as a director of the company given his extensive finance, mergers &amp; acquisition, investing and public company experience in the technology industry.</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Majid Emami. </w:t>
      </w:r>
      <w:r>
        <w:rPr>
          <w:rFonts w:ascii="Times New Roman" w:cs="Times New Roman" w:eastAsia="Times New Roman" w:hAnsi="Times New Roman"/>
          <w:sz w:val="18"/>
          <w:szCs w:val="18"/>
          <w:color w:val="auto"/>
        </w:rPr>
        <w:t>Dr. Majid Emami has been Vice President of Engineering of the Company since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consummation of the Business Combination in April 2022. Dr. Emami is a co-founder of SoundHound and has served as Vice President of Engineering since 2006. Dr. Emami leads SoundHound’s research and development efforts related to speech recognition and machine learning and holds 16 patents related to Voice AI technology. Dr. Emami received a Bachelor of Science in Electrical Engineering in 2000 from the University of Toronto and a Masters and a Ph.D. in Electrical Engineering, with a focus in wireless communications, in 2007, both from Stanford University.</w:t>
      </w:r>
    </w:p>
    <w:p>
      <w:pPr>
        <w:spacing w:after="0" w:line="102"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Zubin Irani. </w:t>
      </w:r>
      <w:r>
        <w:rPr>
          <w:rFonts w:ascii="Times New Roman" w:cs="Times New Roman" w:eastAsia="Times New Roman" w:hAnsi="Times New Roman"/>
          <w:sz w:val="18"/>
          <w:szCs w:val="18"/>
          <w:color w:val="auto"/>
        </w:rPr>
        <w:t>Zubin Irani has been Chief Revenue Officer of the Company since the consummation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Business Combination in April 2022. Mr. Irani has served as SoundHound’s Chief Revenue Officer since 2021. Prior to joining SoundHound, Mr. Irani served as Chief Executive Officer and a member of the board of directors of Cprime Inc., an Alten Group company (between 2014 to 2021, after Cprime Inc. was acquired by the Alten Group, and from 2007 to 2014, while Cprime Inc, was a privately-held company). Prior to Cprime Inc., Mr. Irani held leadership roles at The DirecTV Group Inc. and Deloitte Consulting LLP. Mr. Irani received a Bachelor of Science in Business Administration from the University of Southern California in 2000 and a Master of Business Administration in 2013 concurrently from the University of California, Berkeley and Columbia University.</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Timothy Stonehocker. </w:t>
      </w:r>
      <w:r>
        <w:rPr>
          <w:rFonts w:ascii="Times New Roman" w:cs="Times New Roman" w:eastAsia="Times New Roman" w:hAnsi="Times New Roman"/>
          <w:sz w:val="18"/>
          <w:szCs w:val="18"/>
          <w:color w:val="auto"/>
        </w:rPr>
        <w:t>Timothy Stonehocker has been Chief Technology Officer of the Company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consummation of the Business Combination in April 2022. Mr. Stonehocker has served as SoundHound’s Chief Technology Officer since 2010. Mr. Stonehocker specializes in audio recognition algorithms, search technologies, and scalable systems, and has applied his experience to positions he has held since joining SoundHound in 2006, including as SoundHound’s Principal Search Architect before assuming his current role as Chief Technology Officer. Prior to SoundHound, Mr. Stonehocker worked on core order pipeline systems at Amazon, Inc. in Seattle and was part of the team of engineers that relocated to Palo Alto in 2004 to form the Amazon, Inc. subsidiary A9.com. He earned his Bachelor of Science Degree with distinction in Computer Science in 2003 and his Master of Arts in Music in 2003, both from Stanford University.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9" w:name="page80"/>
    <w:bookmarkEnd w:id="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Amir Arbabi. </w:t>
      </w:r>
      <w:r>
        <w:rPr>
          <w:rFonts w:ascii="Times New Roman" w:cs="Times New Roman" w:eastAsia="Times New Roman" w:hAnsi="Times New Roman"/>
          <w:sz w:val="18"/>
          <w:szCs w:val="18"/>
          <w:color w:val="auto"/>
        </w:rPr>
        <w:t>Amir Arbabi has been Vice President, Business Development of the Company since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consummation of the Business Combination in April 2022. Mr. Arbabi has served as SoundHound’s Vice President, Business Development since May 2006 and as Corporate Secretary of SoundHound since May 2008. Prior to joining SoundHound, Mr. Arbabi was a corporate attorney at the law firm Venture Law Group (later acquired by the law firm Heller Ehrman LLP) from 2000 to 2006. He has also been an advisor to Sequoia Games, Inc. since September 2019. Mr. Arbabi earned a Bachelor of Arts with distinction in Economics from Stanford University in 1997 and a Juris Doctorate from Harvard Law School in 2000.</w:t>
      </w:r>
    </w:p>
    <w:p>
      <w:pPr>
        <w:spacing w:after="0" w:line="115"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Nitesh Sharan. </w:t>
      </w:r>
      <w:r>
        <w:rPr>
          <w:rFonts w:ascii="Times New Roman" w:cs="Times New Roman" w:eastAsia="Times New Roman" w:hAnsi="Times New Roman"/>
          <w:sz w:val="18"/>
          <w:szCs w:val="18"/>
          <w:color w:val="auto"/>
        </w:rPr>
        <w:t>Nitesh Sharan has been Chief Executive Officer of the Company since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consummation of the Business Combination in April 2022. Mr. Sharan has served as the Chief Financial Officer at SoundHound since September 2021. In this capacity, Mr. Sharan oversees SoundHound’s accounting, financial planning, investor relations, treasury and capital planning functions. Prior to joining SoundHound, between May 2016 and September 2021, Mr. Sharan held several executive roles at Nike, Inc. including Treasurer, Head of Investor Relations and Chief Financial Officer of Global Operations. Prior to Nike Inc., Mr. Sharan was the Vice President and Assistant Treasurer at Hewlett-Packard Inc., from June 2001 to April 2016, and was a Senior Consultant at Accenture plc from 1996 to 2000. Mr. Sharan received a Bachelor of Science in Management from Case Western Reserve University in 1996 and a Master of Business of Administration from Northwestern University in 2001. He is a CFA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charterholder.</w:t>
      </w:r>
    </w:p>
    <w:p>
      <w:pPr>
        <w:spacing w:after="0" w:line="6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Warren Heit. </w:t>
      </w:r>
      <w:r>
        <w:rPr>
          <w:rFonts w:ascii="Times New Roman" w:cs="Times New Roman" w:eastAsia="Times New Roman" w:hAnsi="Times New Roman"/>
          <w:sz w:val="18"/>
          <w:szCs w:val="18"/>
          <w:color w:val="auto"/>
        </w:rPr>
        <w:t>Warren Heit has been Vice President Legal and General Counsel of the Company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consummation of the Business Combination in April 2022. Mr. Heit has served as the Vice President Legal and General Counsel of SoundHound since March 2018. Prior to joining SoundHound, Mr. Heit was a partner at the law firm White &amp; Case LLP, where he practiced law from September 1999 to December 2017. From September 1990 to September 1999, Mr. Heit practiced law with patent law firm Pennie &amp; Edmonds LLP. Mr. Heit earned his Bachelor of Science in Electrical Engineering and Computer Science with distinction from Tufts University in 1986 and his Juris Doctorate from the Fordham University School of Law in 1990.</w:t>
      </w:r>
    </w:p>
    <w:p>
      <w:pPr>
        <w:spacing w:after="0" w:line="10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Zagorsek. </w:t>
      </w:r>
      <w:r>
        <w:rPr>
          <w:rFonts w:ascii="Times New Roman" w:cs="Times New Roman" w:eastAsia="Times New Roman" w:hAnsi="Times New Roman"/>
          <w:sz w:val="18"/>
          <w:szCs w:val="18"/>
          <w:color w:val="auto"/>
        </w:rPr>
        <w:t>Michael Zagorsek has been Chief Operating Officer of the Company since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consummation of the Business Combination in April 2022. Mr. Zagorsek has served as SoundHound’s Chief Operating Officer since November 2020, where Mr. Zagorsek is principally responsible for company operations, oversight of business workflow, company planning, reporting, goal-setting, and strategy. Prior to assuming that role, Mr. Zagorsek was SoundHound’s Vice President of Product Marketing, from July 2016 to November 2020, in which capacity he was responsible for SoundHound’s marketing activities, including demand generation, product marketing, content marketing, public relations and design. Prior to SoundHound, Mr. Zagorsek was the Head of Product Marketing for Core Products at Square, Inc. from October 2014 to July 2016 and the Vice President of Product Marketing at Leap Motion Inc., from October 2012 to March 2014. From 2007 to 2012, Mr. Zagorsek was Director of Marketing Communications at Apple Inc., overseeing apple.com, email marketing, Apple Online Store and retail digital marketing communications. Mr. Zagorsek received a Bachelor of Commerce from Carleton University in 1998 and a Masters of Arts in International Business from Bradford University in 1998.</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Kamyar Mohajer, the brother of SoundHound’s CEO, Keyvan Mohajer, is an employee of SoundHound and serves as the Company’s Vice President of Corporate Strategy and International Expansion.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Nasdaq listing rules require that a majority of the board of directors of a company listed on Nasdaq be composed of “independent directors,” which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each of Dr. Ball, Mr. Marcus and Ms. Sroka, will be an independent director under the Nasdaq listing rules and Rule 10A-3 of the Exchange Act. In making these determinations, our Board of Directors considered the current and prior relationships that each non-employee director has with SoundHound AI and all other facts and circumstances our Board of Directors deemed relevant in determining independence, including the beneficial ownership of our common stock by each non-employee director, and the transactions involving them described in the section entitled “</w:t>
      </w:r>
      <w:r>
        <w:rPr>
          <w:rFonts w:ascii="Times New Roman" w:cs="Times New Roman" w:eastAsia="Times New Roman" w:hAnsi="Times New Roman"/>
          <w:sz w:val="18"/>
          <w:szCs w:val="18"/>
          <w:i w:val="1"/>
          <w:iCs w:val="1"/>
          <w:color w:val="auto"/>
        </w:rPr>
        <w:t>Certain Relationships and Related Transactions</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0" w:name="page81"/>
    <w:bookmarkEnd w:id="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Board of Directors has one class of directors, with each director being elected in each year and serving a one-year term.</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Role of Board in Risk Oversight Process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face a number of risks, including those described under the caption “Risk Factors” contained elsewhere in this prospectus. Our board of directors believes that risk management is an important part of establishing, updating and executing on our business strategy. Our board of directors has oversight responsibility relating to risks that could affect the corporate strategy, business objectives, compliance, operations, and the financial condition and performance of our company. Our board of directors focuses its oversight on the most significant risks facing us and on our processes to identify, prioritize, assess, manage and mitigate those risks. Our board of directors receives regular reports from members of our senior management on areas of material risk to us, including strategic, operational, financial, legal and regulatory risks. While our board of directors has an oversight role, management is principally tasked with direct responsibility for management and assessment of risks and the implementation of processes and controls to mitigate their effects on us.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standing committees of our Board of Directors consist of an Audit Committee, a Compensation Committee, and a Nominating and Corporate Governance Committee. The composition of each committee is set forth below.</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Audit Committee has been established in accordance with Section 3(a)(58)(A) of the Exchange Act and consists of Dr. Ball, Mr. Marcus and Ms. Sroka, each of whom is an independent director and is “financially literate” as defined under the Nasdaq listing standards. Dr. Ball serves as chair of the Audit Committee. Our Board has determined that Dr. Ball, qualifies as an “audit committee financial expert,” as defined under rules and regulations of the SEC.</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audit committee’s duties are specified in our Audit Committee Charter.</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Compensation Committee consists of Mr. Marcus and Dr. Ball, each of whom is an independent director under Nasdaq’s listing standards, and Mr. Marcus serves as chair of the Compensation Committee. The functions of the Compensation Committee are set forth in a Compensation Committee Charter.</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Mr. Marcus, and Dr. Ball, each of whom is an independent director under Nasdaq’s listing standards. Mr. Marcus serves as the chair of the Nominating and Corporate Governance Committee. The Nominating and Corporate Governance Committee is responsible for overseeing the selection of persons to be nominated to serve on the Board. The Nominating and Corporate Governance Committee considers persons identified by its members, management, shareholders, investment bankers and others.</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guidelines for selecting nominees, including nominees who will permit the Continuing Company to comply with applicable California and Nasdaq diversity standards, will be specified in the Nominating and Corporate Governance Committee Charter.</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new Code of Business Conduct and Ethics for our directors, officers, employees and certain affiliates in accordance with applicable federal securities laws, a copy of which is available on our website at </w:t>
      </w:r>
      <w:r>
        <w:rPr>
          <w:rFonts w:ascii="Times New Roman" w:cs="Times New Roman" w:eastAsia="Times New Roman" w:hAnsi="Times New Roman"/>
          <w:sz w:val="18"/>
          <w:szCs w:val="18"/>
          <w:i w:val="1"/>
          <w:iCs w:val="1"/>
          <w:color w:val="auto"/>
        </w:rPr>
        <w:t>www.soundhound.com</w:t>
      </w:r>
      <w:r>
        <w:rPr>
          <w:rFonts w:ascii="Times New Roman" w:cs="Times New Roman" w:eastAsia="Times New Roman" w:hAnsi="Times New Roman"/>
          <w:sz w:val="18"/>
          <w:szCs w:val="18"/>
          <w:color w:val="auto"/>
        </w:rPr>
        <w:t>. A printed copy of the Code of Business Conduct and Ethics available to any stockholder who so requests. Requests for a printed copy may be directed to: 5400 Betsy Ross Drive, Santa Clara, CA 95054 Attention: Dr. Keyvan Mohajer.</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1" w:name="page82"/>
    <w:bookmarkEnd w:id="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If we amend or grant a waiver of one or more of the provisions of our Code of Business Conduct and Ethics, we intend to satisfy the requirements under Item 5.05 of Form 8-K regarding the disclosure of amendments to or waivers from provisions of our Code of Business Conduct and Ethics that apply to our principal executive officer, principal financial officer and principal accounting officer by posting the required information on our website at </w:t>
      </w:r>
      <w:r>
        <w:rPr>
          <w:rFonts w:ascii="Times New Roman" w:cs="Times New Roman" w:eastAsia="Times New Roman" w:hAnsi="Times New Roman"/>
          <w:sz w:val="18"/>
          <w:szCs w:val="18"/>
          <w:i w:val="1"/>
          <w:iCs w:val="1"/>
          <w:color w:val="auto"/>
        </w:rPr>
        <w:t>www.soundhound.com</w:t>
      </w:r>
      <w:r>
        <w:rPr>
          <w:rFonts w:ascii="Times New Roman" w:cs="Times New Roman" w:eastAsia="Times New Roman" w:hAnsi="Times New Roman"/>
          <w:sz w:val="18"/>
          <w:szCs w:val="18"/>
          <w:color w:val="auto"/>
        </w:rPr>
        <w:t>. The information on this website is not part of this prospectus.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Officer and Director Compensation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board of directors expects to adopt a nonemployee director compensation program (the “Director Compensation Policy”). The Director Compensation Policy will be designed to align compensation with our business objectives and the creation of stockholder value, while enabling us to attract, retain, incentivize and reward non-employee directors who contribute to our long-term success. The Director Compensation Policy provides for an annual cash retainer for all non-employee directors, in addition to equity grants determined by the compensation committee and reimbursement for reasonable expenses incurred in connection with attending board and committee meetings. Our board of directors expects to review non-employee director compensation periodically to ensure that non-employee director compensation remains competitive such that we are able to recruit and retain qualified directors.</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policies with respect to the compensation of its executive officers are administered by our board of directors in consultation with its compensation committee. We may also rely on data and analyses from third parties, such as compensation consultants, in connection with its compensation programs. We intend to design and implement programs to provide for compensation that is sufficient to attract, motivate and retain executives and potentially other individuals and to establish an appropriate relationship between executive compensation and the creation of stockholder value.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2" w:name="page83"/>
    <w:bookmarkEnd w:id="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46"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Throughout this section, unless otherwise noted, “we,” “us,” “our” and similar terms refer to SoundHound prior to the consummation of the Business Combination, and to the Company and its subsidiaries after the Business Combination.</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To achieve the Company’s goals, we are in the process of designing a compensation and benefits program to attract, retain, incentivize and reward deeply talented and qualified executives who share its philosophy and desire to work towards achieving our goals. We believe our compensation program should promote our success and align executive incentives with the long-term interests of our stockholders. SoundHound’s compensation arrangements consisted principally of a base salary, an annual cash incentive bonus and equity compensation, as described below.</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SoundHound’s board of directors (the “SoundHound Board”) had historically determined the compensation of SoundHound’s executive officers. For the year ended December 31, 2021, SoundHound’s named executive officers were Dr. Keyvan Mohajer, Chief Executive Officer, Nitesh Sharan, Chief Financial Officer, and Timothy Stonehocker, Chief Technology Officer.</w:t>
      </w:r>
    </w:p>
    <w:p>
      <w:pPr>
        <w:spacing w:after="0" w:line="9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This section provides an overview of SoundHound’s executive compensation arrangements with its executive officers, including a narrative description of the material factors necessary to understand the information disclosed in the summary compensation table below. This section may contain forward-looking statements that are based on our current plans, considerations, expectations and determinations regarding future compensation programs. Actual compensation programs that we adopt following the completion of the Business Combination may differ materially from the currently planned programs summarized in this discussion.</w:t>
      </w:r>
    </w:p>
    <w:p>
      <w:pPr>
        <w:spacing w:after="0" w:line="3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Summary Compensation Table for Fiscal Year 2021</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the named executive officers for the fiscal year ended December 31, 2021.</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Fiscal</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Bonus</w:t>
            </w: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82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6"/>
                <w:szCs w:val="16"/>
                <w:b w:val="1"/>
                <w:bCs w:val="1"/>
                <w:color w:val="auto"/>
                <w:w w:val="94"/>
              </w:rPr>
              <w:t>Awards</w:t>
            </w:r>
            <w:r>
              <w:rPr>
                <w:rFonts w:ascii="Times New Roman" w:cs="Times New Roman" w:eastAsia="Times New Roman" w:hAnsi="Times New Roman"/>
                <w:sz w:val="18"/>
                <w:szCs w:val="18"/>
                <w:b w:val="1"/>
                <w:bCs w:val="1"/>
                <w:color w:val="auto"/>
                <w:w w:val="94"/>
                <w:vertAlign w:val="superscript"/>
              </w:rPr>
              <w:t>(1)</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2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Position</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66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70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88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r>
      <w:tr>
        <w:trPr>
          <w:trHeight w:val="47"/>
        </w:trPr>
        <w:tc>
          <w:tcPr>
            <w:tcW w:w="2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2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Dr. Keyvan Mohajer,</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260,000</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ind w:left="42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ind w:left="88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260,000</w:t>
            </w:r>
          </w:p>
        </w:tc>
        <w:tc>
          <w:tcPr>
            <w:tcW w:w="20" w:type="dxa"/>
            <w:vAlign w:val="bottom"/>
          </w:tcPr>
          <w:p>
            <w:pPr>
              <w:spacing w:after="0"/>
              <w:rPr>
                <w:sz w:val="16"/>
                <w:szCs w:val="16"/>
                <w:color w:val="auto"/>
              </w:rPr>
            </w:pPr>
          </w:p>
        </w:tc>
      </w:tr>
      <w:tr>
        <w:trPr>
          <w:trHeight w:val="257"/>
        </w:trPr>
        <w:tc>
          <w:tcPr>
            <w:tcW w:w="22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CEO</w:t>
            </w: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196"/>
        </w:trPr>
        <w:tc>
          <w:tcPr>
            <w:tcW w:w="22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Nitesh Sharan,</w:t>
            </w:r>
          </w:p>
        </w:tc>
        <w:tc>
          <w:tcPr>
            <w:tcW w:w="6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83,333</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75,000</w:t>
            </w:r>
            <w:r>
              <w:rPr>
                <w:rFonts w:ascii="Times New Roman" w:cs="Times New Roman" w:eastAsia="Times New Roman" w:hAnsi="Times New Roman"/>
                <w:sz w:val="20"/>
                <w:szCs w:val="20"/>
                <w:color w:val="auto"/>
                <w:vertAlign w:val="superscript"/>
              </w:rPr>
              <w:t>(3)</w:t>
            </w:r>
          </w:p>
        </w:tc>
        <w:tc>
          <w:tcPr>
            <w:tcW w:w="100" w:type="dxa"/>
            <w:vAlign w:val="bottom"/>
          </w:tcPr>
          <w:p>
            <w:pPr>
              <w:spacing w:after="0"/>
              <w:rPr>
                <w:sz w:val="17"/>
                <w:szCs w:val="17"/>
                <w:color w:val="auto"/>
              </w:rPr>
            </w:pPr>
          </w:p>
        </w:tc>
        <w:tc>
          <w:tcPr>
            <w:tcW w:w="700" w:type="dxa"/>
            <w:vAlign w:val="bottom"/>
            <w:gridSpan w:val="2"/>
          </w:tcPr>
          <w:p>
            <w:pPr>
              <w:ind w:left="4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952,070</w:t>
            </w:r>
          </w:p>
        </w:tc>
        <w:tc>
          <w:tcPr>
            <w:tcW w:w="1160" w:type="dxa"/>
            <w:vAlign w:val="bottom"/>
            <w:gridSpan w:val="2"/>
          </w:tcPr>
          <w:p>
            <w:pPr>
              <w:ind w:left="8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1,110,403</w:t>
            </w:r>
          </w:p>
        </w:tc>
        <w:tc>
          <w:tcPr>
            <w:tcW w:w="20" w:type="dxa"/>
            <w:vAlign w:val="bottom"/>
          </w:tcPr>
          <w:p>
            <w:pPr>
              <w:spacing w:after="0"/>
              <w:rPr>
                <w:sz w:val="17"/>
                <w:szCs w:val="17"/>
                <w:color w:val="auto"/>
              </w:rPr>
            </w:pPr>
          </w:p>
        </w:tc>
      </w:tr>
      <w:tr>
        <w:trPr>
          <w:trHeight w:val="277"/>
        </w:trPr>
        <w:tc>
          <w:tcPr>
            <w:tcW w:w="22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CFO</w:t>
            </w:r>
            <w:r>
              <w:rPr>
                <w:rFonts w:ascii="Times New Roman" w:cs="Times New Roman" w:eastAsia="Times New Roman" w:hAnsi="Times New Roman"/>
                <w:sz w:val="20"/>
                <w:szCs w:val="20"/>
                <w:i w:val="1"/>
                <w:iCs w:val="1"/>
                <w:color w:val="auto"/>
                <w:vertAlign w:val="superscript"/>
              </w:rPr>
              <w:t>(2)</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28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Timothy Stonehocker,</w:t>
            </w:r>
          </w:p>
        </w:tc>
        <w:tc>
          <w:tcPr>
            <w:tcW w:w="62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250,000</w:t>
            </w:r>
          </w:p>
        </w:tc>
        <w:tc>
          <w:tcPr>
            <w:tcW w:w="700" w:type="dxa"/>
            <w:vAlign w:val="bottom"/>
            <w:shd w:val="clear" w:color="auto" w:fill="CCEEFF"/>
          </w:tcPr>
          <w:p>
            <w:pPr>
              <w:jc w:val="right"/>
              <w:ind w:right="34"/>
              <w:spacing w:after="0" w:line="195" w:lineRule="exact"/>
              <w:rPr>
                <w:sz w:val="20"/>
                <w:szCs w:val="20"/>
                <w:color w:val="auto"/>
              </w:rPr>
            </w:pPr>
            <w:r>
              <w:rPr>
                <w:rFonts w:ascii="Times New Roman" w:cs="Times New Roman" w:eastAsia="Times New Roman" w:hAnsi="Times New Roman"/>
                <w:sz w:val="18"/>
                <w:szCs w:val="18"/>
                <w:color w:val="auto"/>
              </w:rPr>
              <w:t>2,170</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8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252,170</w:t>
            </w:r>
          </w:p>
        </w:tc>
        <w:tc>
          <w:tcPr>
            <w:tcW w:w="20" w:type="dxa"/>
            <w:vAlign w:val="bottom"/>
          </w:tcPr>
          <w:p>
            <w:pPr>
              <w:spacing w:after="0"/>
              <w:rPr>
                <w:sz w:val="17"/>
                <w:szCs w:val="17"/>
                <w:color w:val="auto"/>
              </w:rPr>
            </w:pPr>
          </w:p>
        </w:tc>
      </w:tr>
      <w:tr>
        <w:trPr>
          <w:trHeight w:val="236"/>
        </w:trPr>
        <w:tc>
          <w:tcPr>
            <w:tcW w:w="2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CTO</w:t>
            </w: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40"/>
        </w:trPr>
        <w:tc>
          <w:tcPr>
            <w:tcW w:w="2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6" w:lineRule="auto"/>
        <w:tabs>
          <w:tab w:leader="none" w:pos="912"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disclosed represent the aggregate grant date fair value of stock options granted to our named executive officers during the fiscal year ended December 31, 2021 under our 2016 Incentive Plan, calculated in accordance with Financial Accounting Standards Board ASC Topic 718. The assumptions used in calculating the grant date fair value of the stock options are set forth in the notes to our audited financial statements included elsewhere in this prospectus. This amount does not reflect the actual economic value that may be realized by the named executive officer.</w:t>
      </w:r>
    </w:p>
    <w:p>
      <w:pPr>
        <w:ind w:left="880" w:right="459" w:hanging="426"/>
        <w:spacing w:after="0" w:line="264" w:lineRule="auto"/>
        <w:tabs>
          <w:tab w:leader="none" w:pos="911"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Sharan assumed responsibilities as SoundHound’s Chief Financial Officer in October 2021. Pursuant to his offer letter, Mr. Sharan’s annual salary is $300,000.</w:t>
      </w:r>
    </w:p>
    <w:p>
      <w:pPr>
        <w:ind w:left="880" w:right="459" w:hanging="426"/>
        <w:spacing w:after="0" w:line="288" w:lineRule="auto"/>
        <w:tabs>
          <w:tab w:leader="none" w:pos="887"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Sharan received a $75,000 sign-on/retention payment, subject to repayment if executive’s employment terminates prior to the one-year anniversary of his start date.</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Narrative Disclosure to Summary Compensation Table</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2006 Stock Plan</w:t>
      </w:r>
    </w:p>
    <w:p>
      <w:pPr>
        <w:spacing w:after="0" w:line="16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2006, the SoundHound Board adopted, and SoundHound’s stockholders approved, the Melodis Corporation 2006 Stock Plan (the “2006 Stock Plan”). Mr. Stonehocker holds options under the 2006 Stock Plan, as described below. Following adoption of the 2016 Incentive Plan, as described below, no new awards were made under the 2006 Stock Plan. The following describes the material terms of the 2006 Stock Plan.</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3" w:name="page84"/>
    <w:bookmarkEnd w:id="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Grants, Generally. </w:t>
      </w:r>
      <w:r>
        <w:rPr>
          <w:rFonts w:ascii="Times New Roman" w:cs="Times New Roman" w:eastAsia="Times New Roman" w:hAnsi="Times New Roman"/>
          <w:sz w:val="18"/>
          <w:szCs w:val="18"/>
          <w:color w:val="auto"/>
        </w:rPr>
        <w:t>The 2006 Stock Plan provided for both for the direct award or sale of shares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of incentive stock options (“ISOs”) and non-qualified stock options (“NSOs”). ISOs may be granted only to employees of SoundHound and its affiliates. All other awards may be granted to employees, non-employee directors and consultants of SoundHound and its affiliates.</w:t>
      </w:r>
    </w:p>
    <w:p>
      <w:pPr>
        <w:spacing w:after="0" w:line="11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maximum number of shares of SoundHound common stock that could be issued over the term of the 2006 Stock Plan was 3,313,368 shares. As of December 31, 2021, stock options to purchase 894,474 shares of SoundHound’s common stock with a weighted-average exercise price of $4.76 per share were outstanding under the 2006 Stock Plan. As of December 31, 2021, there were no outstanding awards under the 2006 Stock Plan other than these options.</w:t>
      </w:r>
    </w:p>
    <w:p>
      <w:pPr>
        <w:spacing w:after="0" w:line="11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SoundHound Board, or a committee with authority delegated by the SoundHound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administers the 2006 Stock Plan. Subject to the terms of the 2006 Stock Plan, the administrator has the power to determine: who will be granted awards, when and how each award will be granted, what type of award will be granted, the provisions of each award (which need not be identical), including when a person will be permitted to exercise or otherwise receive cash or shares under the award, the number of shares subject to an award, and the fair market value applicable to an award. The administrator also has the discretion to effect, with the consent of any adversely affected participant, an option exchange program whereby outstanding options are exchanged for options with a lower exercise price or are amended to decrease the exercise price as a result of a decline in the fair market value of SoundHound’s common stock. The administrator also has the authority to accelerate the time(s) at which an award may vest or be exercised, and to construe, interpret, and settle all controversies regarding the terms of the 2006 Stock Plan and awards granted thereunder.</w:t>
      </w:r>
    </w:p>
    <w:p>
      <w:pPr>
        <w:spacing w:after="0" w:line="11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SoundHound’s employees and service providers have historically received stock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2006 Stock Plan. Mr. Stonehocker has been granted a mix of ISOs and NSOs. See the “Outstanding Equity Awards at 2021 Fiscal Year End” table below for further information about SoundHound’s named executive officers’ outstanding options as of December 31, 2021.</w:t>
      </w:r>
    </w:p>
    <w:p>
      <w:pPr>
        <w:spacing w:after="0" w:line="11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exercise price per share of options granted under the 2006 Stock Plan must be at least 100% of the fair market value per share of SoundHound’s common stock on the grant date. Subject to the provisions of the 2006 Stock Plan, the administrator determines the other terms of options, including any vesting and exercisability requirements, the method of payment of the option exercise price, the option expiration date, and the period following termination of service during which options may remain exercisable.</w:t>
      </w:r>
    </w:p>
    <w:p>
      <w:pPr>
        <w:spacing w:after="0" w:line="11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Changes to Capital Structure; Corporate Transactions. </w:t>
      </w:r>
      <w:r>
        <w:rPr>
          <w:rFonts w:ascii="Times New Roman" w:cs="Times New Roman" w:eastAsia="Times New Roman" w:hAnsi="Times New Roman"/>
          <w:sz w:val="18"/>
          <w:szCs w:val="18"/>
          <w:color w:val="auto"/>
        </w:rPr>
        <w:t>In the event of certain changes to SoundHound’s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structure, such as a stock split, reverse stock split, stock dividend, combination, recapitalization or reclassification of the common stock, or any other increase or decrease in the number of issued shares of SoundHound’s common stock effected without receipt of consideration by the Company, appropriate adjustments will be made to (a) the number of shares available for issuance under the 2006 Stock Plan, and</w:t>
      </w:r>
    </w:p>
    <w:p>
      <w:pPr>
        <w:spacing w:after="0" w:line="1" w:lineRule="exact"/>
        <w:rPr>
          <w:sz w:val="20"/>
          <w:szCs w:val="20"/>
          <w:color w:val="auto"/>
        </w:rPr>
      </w:pPr>
    </w:p>
    <w:p>
      <w:pPr>
        <w:jc w:val="both"/>
        <w:ind w:left="460" w:right="459" w:hanging="6"/>
        <w:spacing w:after="0" w:line="252" w:lineRule="auto"/>
        <w:tabs>
          <w:tab w:leader="none" w:pos="71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covered by and, as applicable, the exercise price and the kind of underlying security of each outstanding award granted under the 2006 Stock Plan. In the event SoundHound is party to a “corporate transaction” or “change of control” (as each is defined in the 2006 Stock Plan), each outstanding option shall be assumed or an equivalent option shall be substituted by such successor corporation or a parent or subsidiary of such successor corporation, unless the successor corporation does not agree to assume the award or to substitute an equivalent option, in which case such option shall terminate upon the consummation of the transaction.</w:t>
      </w:r>
    </w:p>
    <w:p>
      <w:pPr>
        <w:spacing w:after="0" w:line="107"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Plan Amendment or Termination. </w:t>
      </w:r>
      <w:r>
        <w:rPr>
          <w:rFonts w:ascii="Times New Roman" w:cs="Times New Roman" w:eastAsia="Times New Roman" w:hAnsi="Times New Roman"/>
          <w:sz w:val="18"/>
          <w:szCs w:val="18"/>
          <w:color w:val="auto"/>
        </w:rPr>
        <w:t>The SoundHound Board may amend, modify, or terminate the 2006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Plan at any time, although such change may not materially and adversely affect a participant’s rights under an outstanding award without the participant’s written consent.</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2016 Incentive Plan</w:t>
      </w:r>
    </w:p>
    <w:p>
      <w:pPr>
        <w:spacing w:after="0" w:line="16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2016, the SoundHound Board adopted, and SoundHound’s stockholders approved, the SoundHound, Inc. 2016 Equity Incentive Plan (the “2016 Incentive Plan”). Each of the named executive officers hold options under the 2016 Incentive Plan, as described below.</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As the SoundHound AI, Inc. 2022 Incentive Award Plan was approved by ATSP’s stockholders, the 2016 Incentive Plan was terminated and no further awards will be granted under it after the consummation of the Business Combination.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4" w:name="page85"/>
    <w:bookmarkEnd w:id="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describes the material terms of the 2016 Incentive Plan.</w:t>
      </w:r>
    </w:p>
    <w:p>
      <w:pPr>
        <w:spacing w:after="0" w:line="15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Grants, Generally. </w:t>
      </w:r>
      <w:r>
        <w:rPr>
          <w:rFonts w:ascii="Times New Roman" w:cs="Times New Roman" w:eastAsia="Times New Roman" w:hAnsi="Times New Roman"/>
          <w:sz w:val="18"/>
          <w:szCs w:val="18"/>
          <w:color w:val="auto"/>
        </w:rPr>
        <w:t>The 2016 Incentive Plan provides both for the direct award or sale of shares and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grant of ISOs and NQSOs. ISOs may be granted only to employees of SoundHound and its affiliates. All other awards may be granted to employees, non-employee directors and consultants of SoundHound and its affiliates.</w:t>
      </w:r>
    </w:p>
    <w:p>
      <w:pPr>
        <w:spacing w:after="0" w:line="11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maximum number of shares of SoundHound common stock that may be issued over the term of the 2016 Incentive Plan is 701,460 shares. As of December 31, 2021, stock options to purchase 4,575,809 shares of SoundHound’s common stock with a weighted-average exercise price of $22.01 per share were outstanding under the 2016 Incentive Plan. As of December 31, 2021, there were no outstanding awards under the 2016 Incentive Plan other than these options.</w:t>
      </w:r>
    </w:p>
    <w:p>
      <w:pPr>
        <w:spacing w:after="0" w:line="10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SoundHound Board, or a committee with authority delegated by the SoundHound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administers the 2016 Incentive Plan. Subject to the terms of the 2016 Incentive Plan, the administrator has the power to determine: who will be granted awards, when and how each award will be granted, what type of award will be granted, the provisions of each award (which need not be identical), including when a person will be permitted to exercise or otherwise receive cash or shares under the award, the number of shares subject to an award, and the fair market value applicable to an award. The administrator also has the discretion to effect, with the consent of any adversely affected participant, the reduction of the exercise, purchase or strike price of any outstanding award; the cancellation of any outstanding award and the grant in substitution therefor of a new award or other valuable consideration, or any other action that is treated as a repricing under generally accepted accounting principles. The administrator also has the authority to accelerate the time(s) at which an award may vest or be exercised, and to construe, interpret, and settle all controversies regarding the terms of the 2016 Incentive Plan and awards granted thereunder.</w:t>
      </w:r>
    </w:p>
    <w:p>
      <w:pPr>
        <w:spacing w:after="0" w:line="12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SoundHound’s employees and service providers have historically received stock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2016 Incentive Plan. Each of the named executive officers has been granted a mix of ISOs and NSOs. See the “Outstanding Equity Awards at 2021 Fiscal Year End” table below for further information about SoundHound’s named executive officers’ outstanding options as of December 31, 2021.</w:t>
      </w:r>
    </w:p>
    <w:p>
      <w:pPr>
        <w:spacing w:after="0" w:line="11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exercise price per share of options granted under the 2016 Incentive Plan must be at least 100% of the fair market value per share of SoundHound’s common stock on the grant date. Subject to the provisions of the 2016 Incentive Plan, the administrator determines the other terms of options, including any vesting and exercisability requirements, the method of payment of the option exercise price, the option expiration date, and the period following termination of service during which options may remain exercisable.</w:t>
      </w:r>
    </w:p>
    <w:p>
      <w:pPr>
        <w:spacing w:after="0" w:line="10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RSUs. </w:t>
      </w:r>
      <w:r>
        <w:rPr>
          <w:rFonts w:ascii="Times New Roman" w:cs="Times New Roman" w:eastAsia="Times New Roman" w:hAnsi="Times New Roman"/>
          <w:sz w:val="18"/>
          <w:szCs w:val="18"/>
          <w:color w:val="auto"/>
        </w:rPr>
        <w:t>A restricted stock unit (“RSU”) is a right to receive a share of SoundHound’s common stock,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cost to the recipient, upon satisfaction of certain conditions, including vesting conditions, established by the administrator. RSUs vest at the rate determined by the administrator and any unvested RSUs will generally be forfeited upon termination of the recipient’s service. Settlement of RSUs may be made in the form of cash, stock or a combination of cash and stock, as determined by the administrator. Recipients of RSUs generally will have no voting or dividend rights prior to the time the vesting conditions are satisfied and the award is settled. At the administrator’s discretion and as set forth in the applicable award agreement, RSUs may provide for the right to dividend equivalents which will generally be subject to the same conditions and restrictions as the RSUs to which they pertain.</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Changes to Capital Structure; Corporate Transactions. </w:t>
      </w:r>
      <w:r>
        <w:rPr>
          <w:rFonts w:ascii="Times New Roman" w:cs="Times New Roman" w:eastAsia="Times New Roman" w:hAnsi="Times New Roman"/>
          <w:sz w:val="18"/>
          <w:szCs w:val="18"/>
          <w:color w:val="auto"/>
        </w:rPr>
        <w:t>In the event of certain changes to SoundHound’s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structure, such as a stock dividend, stock split or reverse stock split, appropriate adjustments will be made to (a) the number of shares available for issuance under the 2016 Incentive Plan, and (b) the number of shares covered by and, as applicable, the exercise price and the kind of underlying security of each outstanding award granted under the 2016 Incentive Plan. In the event SoundHound is party to a “corporate transaction” or “change in control” (as each is defined in the 2016 Incentive Plan), the administrator may take one or more of the following actions to provide for: (i) the continuation of the awards by SoundHound (if SoundHound is the surviving corporation), (ii) the assumption or substitution of awards by the successor or surviving corporation,</w:t>
      </w:r>
    </w:p>
    <w:p>
      <w:pPr>
        <w:spacing w:after="0" w:line="3" w:lineRule="exact"/>
        <w:rPr>
          <w:sz w:val="20"/>
          <w:szCs w:val="20"/>
          <w:color w:val="auto"/>
        </w:rPr>
      </w:pPr>
    </w:p>
    <w:p>
      <w:pPr>
        <w:ind w:left="780" w:hanging="326"/>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notice, the termination of unexercised or unvested awards prior to the reorganization event,</w:t>
      </w:r>
    </w:p>
    <w:p>
      <w:pPr>
        <w:spacing w:after="0" w:line="9" w:lineRule="exact"/>
        <w:rPr>
          <w:rFonts w:ascii="Times New Roman" w:cs="Times New Roman" w:eastAsia="Times New Roman" w:hAnsi="Times New Roman"/>
          <w:sz w:val="18"/>
          <w:szCs w:val="18"/>
          <w:color w:val="auto"/>
        </w:rPr>
      </w:pPr>
    </w:p>
    <w:p>
      <w:pPr>
        <w:jc w:val="both"/>
        <w:ind w:left="460" w:right="479" w:hanging="6"/>
        <w:spacing w:after="0" w:line="255" w:lineRule="auto"/>
        <w:tabs>
          <w:tab w:leader="none" w:pos="77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acceleration of vesting applicable to an award, (v) the cancellation and purchase of outstanding awards for the amount that could have been obtained upon the exercise of the award and sale of the underlying stock had such award been currently exercisable, or (vi) the cancellation of the outstanding award.</w:t>
      </w:r>
    </w:p>
    <w:p>
      <w:pPr>
        <w:spacing w:after="0" w:line="116"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Plan Amendment or Termination. </w:t>
      </w:r>
      <w:r>
        <w:rPr>
          <w:rFonts w:ascii="Times New Roman" w:cs="Times New Roman" w:eastAsia="Times New Roman" w:hAnsi="Times New Roman"/>
          <w:sz w:val="18"/>
          <w:szCs w:val="18"/>
          <w:color w:val="auto"/>
        </w:rPr>
        <w:t>The SoundHound Board may amend, modify, or terminate the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Plan at any time, although such change may not materially impair a participant’s rights under an outstanding award without the participant’s written consent.</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5" w:name="page86"/>
    <w:bookmarkEnd w:id="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Agreements with SoundHound’s Named Executive Officers</w:t>
      </w:r>
    </w:p>
    <w:p>
      <w:pPr>
        <w:spacing w:after="0" w:line="14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SoundHound currently maintains an employment agreement with its Chief Executive Officer, along with a separate change in control bonus letter agreement. SoundHound has also entered offer letter agreements with its Chief Financial Officer and Chief Technology Officer, as summarized below. Effective as of January 5, 2022, Mr. Zubin Irani will join SoundHound as its Chief Revenue Officer. Although Mr. Irani’s appointment is effective as of the 2022 fiscal year, a description of the material terms of Mr. Irani’s employment arrangement is included as well. Each named executive officer has entered into the Company’s standard form of confidential information and inventions assignment agreement.</w:t>
      </w:r>
    </w:p>
    <w:p>
      <w:pPr>
        <w:spacing w:after="0" w:line="12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SoundHound expects to enter into new employment arrangements with each of its named executive officers prior to the Closing of the Business Combination, which will govern the terms of their continuing employment with SoundHound and, following the completion of the Business Combination, with the Company. SoundHound is still in the process of negotiating, approving and implementing these agreements.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Agreements with Chief Executive Officer</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SoundHound entered into an employment agreement with Mr. Mohajer, its Chief Executive Officer, on January 23, 2006, and pursuant to its terms, Mr. Mohajer’s base salary is reviewed by the SoundHound Board as part of the Company’s normal salary review process. For fiscal year 2021, Mr. Mohajer’s base salary was $260,000. The CEO employment agreement entitles Mr. Mohajer to participate in any bonus compensation plans as the Company may from time to time adopt for the benefit of management, along with any standard benefit plans available to similarly-situated employees. If Mr. Mohajer’s employment is terminated without cause (as defined in the CEO employment agreement), he is entitled to continued payment of his then current base salary for a period of two months.</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Mr. Mohajer and SoundHound entered into a change in control bonus letter agreement on May 23, 2017, pursuant to which the Company will pay up to $1,414.050 to Mr. Mohajer upon the consummation of a change in control transaction (as defined in the bonus letter agreement) provided Mr. Mohajer is a Company employee as of such closing or if Mr. Mohajer was terminated without cause within 60 days prior to the closing. Any change in control bonus is payable in a lump-sum, unless the transaction proceeds include earn out payments, amounts subject to escrow or holdback, or other contingencies, in which case the change in control bonus will be subject to hold back and delayed payment to reflect the contingent transaction proceeds. The change in control bonus is subject to further reduction if the amount payable per share of Company common stock is less than $12.10 or if necessary to avoid adverse tax results under Code Section 280G. The change in control bonus may be paid in cash, fully vested shares issued by the Company’s acquirer, or such other form of consideration paid to the Company’s securityholders in the transaction.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Agreements with Chief Financial Officer</w:t>
      </w:r>
    </w:p>
    <w:p>
      <w:pPr>
        <w:spacing w:after="0" w:line="160"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SoundHound entered into an offer letter agreement with Mr. Sharan, its Chief Financial Officer, as of September 10, 2021, pursuant to which Mr. Sharan is entitled to a base salary of $300,000 per year, along with any standard benefit plans available to similarly-situated employees. Additionally, beginning in January 2022, Mr. Sharan will be eligible for an annual performance-based cash bonus of up to 50% of his annual base salary amount, to be determined in accordance with mutually agreed goals and job performance. Mr. Sharan received a $75,000 one-time sign-on/retention payment, subject to repayment if executive’s employment terminates prior to the one-year anniversary of his start date. Mr. Sharan is eligible to earn a $75,000 one-time closing payment if a liquidity occurs within 12 months of his hire date and Mr. Sharan remains continuously employed through such date.</w:t>
      </w:r>
    </w:p>
    <w:p>
      <w:pPr>
        <w:spacing w:after="0" w:line="12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If Mr. Sharan’s employment is terminated without cause or due to a constructive termination (in each, as defined in the CFO letter agreement), he is entitled to continued payment of his then current base salary for a period of two months.</w:t>
      </w:r>
    </w:p>
    <w:p>
      <w:pPr>
        <w:spacing w:after="0" w:line="9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Pursuant to the terms of the CFO letter agreement, Mr. Sharan was granted options to purchase up to 55,555 shares of SoundHound common stock, at an exercise price of $41.75 per share, pursuant to the 2016 Incentive Plan.</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Under the CFO letter agreement, the Company agreed to recommend an award of 300,000 restricted stock units (“RSUs”) and 200,000 performance stock units (“PSUs”) on the listing date of a liquidity event (based on a converted cap table of 200 million shares). The RSU and PSU grants will be made pursuant to the SoundHound AI, Inc. 2022 Incentive Award Plan expected to be established in connection with the Closing, subject to the approval thereof by ATSP’s stockholders and approval of any specific grant thereunder by the board of directors of the Company (the “SoundHound AI Board”).</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6" w:name="page87"/>
    <w:bookmarkEnd w:id="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The Options, RSUs, and PSUs have a four-year time-based vesting schedule, with 25% of the award vesting on the one-year anniversary of the CFO’s hire date and 3/48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of the award vesting each quarter thereafter, subject to Mr. Sharan’s continued employment through such dates. Following a change in control (as defined in the CFO letter agreement), any unvested portion of the option or RSU awards shall accelerate if the CFO is terminated without cause or terminates due to a constructive termination (each as defined in the CFO letter agreement).</w:t>
      </w:r>
    </w:p>
    <w:p>
      <w:pPr>
        <w:spacing w:after="0" w:line="12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PSUs are subject to additional performance-based vesting conditions, with half of the PSU award vesting if a share of the Company’s common stock (measured using a rolling six-month average) increases by a certain percentage over the “base price” (defined as the higher of the opening price of the Company’s common stock on the listing date of a liquidity event or $10.00). 25% of the PSU award vests on a 50% increase over the base price, and another 25% of the PSU award vests on a 100% increase over the base price. An additional 25% of the PSU award vests on the achievement of $100.0 million of GAAP revenue in a trailing 12 months during the four-year PSU period. The final 25% of the PSU award vests on the Company achieving positive cash flow in a trailing 12 months during the four-year PSU period.</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Agreements with Chief Technology Officer</w:t>
      </w:r>
    </w:p>
    <w:p>
      <w:pPr>
        <w:spacing w:after="0" w:line="16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SoundHound entered into an offer letter agreement as of September 5, 2006, for Mr. Stonehocker to become Algorithm Designer. Mr. Stonehocker was promoted to Chief Technology Officer as of January 2010. For fiscal year 2021, Mr. Stonehocker’s base salary was $250,000. Under Mr. Stonehocker’s letter agreement, he is eligible to participate in any standard benefit plans available to similarly-situated employees.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Arrangements with Chief Revenue Officer</w:t>
      </w:r>
    </w:p>
    <w:p>
      <w:pPr>
        <w:spacing w:after="0" w:line="14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foregoing tables do not include information with respect to Mr. Zubin Irani, who commenced his service as SoundHound’s Chief Revenue Officer in January 2022, pursuant to the terms of an offer letter agreement dated September 14, 2021. Under the CRO letter agreement, Mr. Irani is entitled to a base salary of $300,000 per year, along with any standard benefit plans available to similarly-situated employees. Mr. Irani will be eligible for an annual performance-based cash bonus of up to 100% of his annual base salary amount, which shall be linked to mutually agreed upon Company revenue goals and job performance.</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his engagement, during the 2021 fiscal year, Mr. Irani received options to purchase 37,037 shares of SoundHound common stock, at an exercise price of $41.75 per share, pursuant to the 2016 Incentive Plan. The options have a fair value of $634,180 (calculated in accordance with Financial Accounting Standards Board ASC Topic 718).</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Under the CRO letter agreement, the Company agreed to recommend an award of 300,000 restricted stock units (“RSUs”) and 300,000 performance stock units (“PSUs”) on the listing date of a liquidity event (based on a converted cap table of 200 million shares). The RSU and PSU grants will be made pursuant to the SoundHound AI, Inc. 2022 Incentive Award Plan expected to be established in connection with the Closing, subject to the approval thereof by ATSP’s stockholders and approval of any specific grant thereunder by SoundHound AI Board.</w:t>
      </w:r>
    </w:p>
    <w:p>
      <w:pPr>
        <w:spacing w:after="0" w:line="106" w:lineRule="exact"/>
        <w:rPr>
          <w:sz w:val="20"/>
          <w:szCs w:val="20"/>
          <w:color w:val="auto"/>
        </w:rPr>
      </w:pPr>
    </w:p>
    <w:p>
      <w:pPr>
        <w:jc w:val="both"/>
        <w:ind w:left="460" w:right="479" w:firstLine="432"/>
        <w:spacing w:after="0" w:line="251" w:lineRule="auto"/>
        <w:rPr>
          <w:sz w:val="20"/>
          <w:szCs w:val="20"/>
          <w:color w:val="auto"/>
        </w:rPr>
      </w:pPr>
      <w:r>
        <w:rPr>
          <w:rFonts w:ascii="Times New Roman" w:cs="Times New Roman" w:eastAsia="Times New Roman" w:hAnsi="Times New Roman"/>
          <w:sz w:val="18"/>
          <w:szCs w:val="18"/>
          <w:color w:val="auto"/>
        </w:rPr>
        <w:t>The Options, RSUs, and PSUs have a four-year time-based vesting schedule, with 3/48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of the award vesting on each quarter following the CRO’s hire date, subject to Mr. Irani’s continued employment through such dates. Following a change in control (as defined in the CRO letter agreement), any unvested portion of the option or RSU awards shall accelerate if the CRO is terminated without cause or terminates due to a constructive termination (each as defined in the CRO letter agreement).</w:t>
      </w:r>
    </w:p>
    <w:p>
      <w:pPr>
        <w:spacing w:after="0" w:line="12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PSUs are subject to additional GAAP revenue performance-based vesting conditions, with 50,000 PSUs each vesting upon the first achievement of $30.0 million, $100.0 million, $200.0 million, and $300.0 million of GAAP revenue in a trailing 12 months during the four-year PSU period and 100,000 PSUs shall vest upon the first achievement of $400.0 million of GAAP revenue in a trailing 12 months during the four-year PSU period.</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Mr. Irani’s employment is terminated without cause or due to a constructive termination (in each, as defined in the CRO letter agreement), he is entitled to continued payment of his then current base salary for the greater of six months or 12 months, minus the number of months he was employed by SoundHound, if the termination is in the first 12 months of employment.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7" w:name="page88"/>
    <w:bookmarkEnd w:id="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2021 FISCAL YEAR END</w:t>
      </w:r>
    </w:p>
    <w:p>
      <w:pPr>
        <w:spacing w:after="0" w:line="148"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outstanding equity awards held by SoundHound’s Named Executive Officers as of December 31, 2021.</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6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6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8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640" w:type="dxa"/>
            <w:vAlign w:val="bottom"/>
            <w:gridSpan w:val="3"/>
            <w:vMerge w:val="continue"/>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w:t>
            </w: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6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Start</w:t>
            </w: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100" w:type="dxa"/>
            <w:vAlign w:val="bottom"/>
          </w:tcPr>
          <w:p>
            <w:pPr>
              <w:spacing w:after="0"/>
              <w:rPr>
                <w:sz w:val="12"/>
                <w:szCs w:val="12"/>
                <w:color w:val="auto"/>
              </w:rPr>
            </w:pPr>
          </w:p>
        </w:tc>
        <w:tc>
          <w:tcPr>
            <w:tcW w:w="5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 w:type="dxa"/>
            <w:vAlign w:val="bottom"/>
          </w:tcPr>
          <w:p>
            <w:pPr>
              <w:spacing w:after="0"/>
              <w:rPr>
                <w:sz w:val="16"/>
                <w:szCs w:val="16"/>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3"/>
        </w:trPr>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7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Dr. Keyvan Mohajer,</w:t>
            </w:r>
          </w:p>
        </w:tc>
        <w:tc>
          <w:tcPr>
            <w:tcW w:w="100" w:type="dxa"/>
            <w:vAlign w:val="bottom"/>
            <w:shd w:val="clear" w:color="auto" w:fill="CCEEFF"/>
          </w:tcPr>
          <w:p>
            <w:pPr>
              <w:spacing w:after="0"/>
              <w:rPr>
                <w:sz w:val="7"/>
                <w:szCs w:val="7"/>
                <w:color w:val="auto"/>
              </w:rPr>
            </w:pPr>
          </w:p>
        </w:tc>
        <w:tc>
          <w:tcPr>
            <w:tcW w:w="760" w:type="dxa"/>
            <w:vAlign w:val="bottom"/>
            <w:shd w:val="clear" w:color="auto" w:fill="CCEEFF"/>
          </w:tcPr>
          <w:p>
            <w:pPr>
              <w:jc w:val="center"/>
              <w:spacing w:after="0" w:line="88" w:lineRule="exact"/>
              <w:rPr>
                <w:sz w:val="20"/>
                <w:szCs w:val="20"/>
                <w:color w:val="auto"/>
              </w:rPr>
            </w:pPr>
            <w:r>
              <w:rPr>
                <w:rFonts w:ascii="Times New Roman" w:cs="Times New Roman" w:eastAsia="Times New Roman" w:hAnsi="Times New Roman"/>
                <w:sz w:val="10"/>
                <w:szCs w:val="10"/>
                <w:color w:val="auto"/>
              </w:rPr>
              <w:t>03/28/2017</w:t>
            </w:r>
          </w:p>
        </w:tc>
        <w:tc>
          <w:tcPr>
            <w:tcW w:w="108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shd w:val="clear" w:color="auto" w:fill="CCEEFF"/>
          </w:tcPr>
          <w:p>
            <w:pPr>
              <w:spacing w:after="0"/>
              <w:rPr>
                <w:sz w:val="7"/>
                <w:szCs w:val="7"/>
                <w:color w:val="auto"/>
              </w:rPr>
            </w:pPr>
          </w:p>
        </w:tc>
        <w:tc>
          <w:tcPr>
            <w:tcW w:w="780" w:type="dxa"/>
            <w:vAlign w:val="bottom"/>
            <w:shd w:val="clear" w:color="auto" w:fill="CCEEFF"/>
          </w:tcPr>
          <w:p>
            <w:pPr>
              <w:jc w:val="right"/>
              <w:ind w:right="68"/>
              <w:spacing w:after="0" w:line="88" w:lineRule="exact"/>
              <w:rPr>
                <w:sz w:val="20"/>
                <w:szCs w:val="20"/>
                <w:color w:val="auto"/>
              </w:rPr>
            </w:pPr>
            <w:r>
              <w:rPr>
                <w:rFonts w:ascii="Times New Roman" w:cs="Times New Roman" w:eastAsia="Times New Roman" w:hAnsi="Times New Roman"/>
                <w:sz w:val="10"/>
                <w:szCs w:val="10"/>
                <w:color w:val="auto"/>
              </w:rPr>
              <w:t>150,000</w:t>
            </w:r>
          </w:p>
        </w:tc>
        <w:tc>
          <w:tcPr>
            <w:tcW w:w="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12.10</w:t>
            </w:r>
          </w:p>
        </w:tc>
        <w:tc>
          <w:tcPr>
            <w:tcW w:w="80" w:type="dxa"/>
            <w:vAlign w:val="bottom"/>
            <w:shd w:val="clear" w:color="auto" w:fill="CCEEFF"/>
          </w:tcPr>
          <w:p>
            <w:pPr>
              <w:spacing w:after="0"/>
              <w:rPr>
                <w:sz w:val="7"/>
                <w:szCs w:val="7"/>
                <w:color w:val="auto"/>
              </w:rPr>
            </w:pPr>
          </w:p>
        </w:tc>
        <w:tc>
          <w:tcPr>
            <w:tcW w:w="880" w:type="dxa"/>
            <w:vAlign w:val="bottom"/>
            <w:shd w:val="clear" w:color="auto" w:fill="CCEEFF"/>
          </w:tcPr>
          <w:p>
            <w:pPr>
              <w:jc w:val="center"/>
              <w:spacing w:after="0" w:line="88" w:lineRule="exact"/>
              <w:rPr>
                <w:sz w:val="20"/>
                <w:szCs w:val="20"/>
                <w:color w:val="auto"/>
              </w:rPr>
            </w:pPr>
            <w:r>
              <w:rPr>
                <w:rFonts w:ascii="Times New Roman" w:cs="Times New Roman" w:eastAsia="Times New Roman" w:hAnsi="Times New Roman"/>
                <w:sz w:val="10"/>
                <w:szCs w:val="10"/>
                <w:color w:val="auto"/>
              </w:rPr>
              <w:t>03/28/2027</w:t>
            </w:r>
          </w:p>
        </w:tc>
        <w:tc>
          <w:tcPr>
            <w:tcW w:w="0" w:type="dxa"/>
            <w:vAlign w:val="bottom"/>
          </w:tcPr>
          <w:p>
            <w:pPr>
              <w:spacing w:after="0"/>
              <w:rPr>
                <w:sz w:val="1"/>
                <w:szCs w:val="1"/>
                <w:color w:val="auto"/>
              </w:rPr>
            </w:pPr>
          </w:p>
        </w:tc>
      </w:tr>
      <w:tr>
        <w:trPr>
          <w:trHeight w:val="40"/>
        </w:trPr>
        <w:tc>
          <w:tcPr>
            <w:tcW w:w="17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080" w:type="dxa"/>
            <w:vAlign w:val="bottom"/>
            <w:gridSpan w:val="2"/>
            <w:vMerge w:val="continue"/>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345"/>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CEO</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Nitesh Sharan,</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09/27/2021</w:t>
            </w:r>
          </w:p>
        </w:tc>
        <w:tc>
          <w:tcPr>
            <w:tcW w:w="10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09/15/2021</w:t>
            </w:r>
            <w:r>
              <w:rPr>
                <w:rFonts w:ascii="Times New Roman" w:cs="Times New Roman" w:eastAsia="Times New Roman" w:hAnsi="Times New Roman"/>
                <w:sz w:val="21"/>
                <w:szCs w:val="21"/>
                <w:color w:val="auto"/>
                <w:vertAlign w:val="superscript"/>
              </w:rPr>
              <w:t>(2)</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55,555</w:t>
            </w: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41.75</w:t>
            </w:r>
          </w:p>
        </w:tc>
        <w:tc>
          <w:tcPr>
            <w:tcW w:w="8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09/27/2031</w:t>
            </w:r>
          </w:p>
        </w:tc>
        <w:tc>
          <w:tcPr>
            <w:tcW w:w="0" w:type="dxa"/>
            <w:vAlign w:val="bottom"/>
          </w:tcPr>
          <w:p>
            <w:pPr>
              <w:spacing w:after="0"/>
              <w:rPr>
                <w:sz w:val="1"/>
                <w:szCs w:val="1"/>
                <w:color w:val="auto"/>
              </w:rPr>
            </w:pPr>
          </w:p>
        </w:tc>
      </w:tr>
      <w:tr>
        <w:trPr>
          <w:trHeight w:val="212"/>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CFO</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1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Stonehocker,</w:t>
            </w:r>
          </w:p>
        </w:tc>
        <w:tc>
          <w:tcPr>
            <w:tcW w:w="8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05/19/2015</w:t>
            </w:r>
          </w:p>
        </w:tc>
        <w:tc>
          <w:tcPr>
            <w:tcW w:w="10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r>
              <w:rPr>
                <w:rFonts w:ascii="Times New Roman" w:cs="Times New Roman" w:eastAsia="Times New Roman" w:hAnsi="Times New Roman"/>
                <w:sz w:val="21"/>
                <w:szCs w:val="21"/>
                <w:color w:val="auto"/>
                <w:vertAlign w:val="superscript"/>
              </w:rPr>
              <w:t>(3)</w:t>
            </w: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05/19/2025</w:t>
            </w:r>
          </w:p>
        </w:tc>
        <w:tc>
          <w:tcPr>
            <w:tcW w:w="0" w:type="dxa"/>
            <w:vAlign w:val="bottom"/>
          </w:tcPr>
          <w:p>
            <w:pPr>
              <w:spacing w:after="0"/>
              <w:rPr>
                <w:sz w:val="1"/>
                <w:szCs w:val="1"/>
                <w:color w:val="auto"/>
              </w:rPr>
            </w:pPr>
          </w:p>
        </w:tc>
      </w:tr>
      <w:tr>
        <w:trPr>
          <w:trHeight w:val="283"/>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CTO</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12/15/2016</w:t>
            </w:r>
          </w:p>
        </w:tc>
        <w:tc>
          <w:tcPr>
            <w:tcW w:w="10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11/01/2016</w:t>
            </w:r>
            <w:r>
              <w:rPr>
                <w:rFonts w:ascii="Times New Roman" w:cs="Times New Roman" w:eastAsia="Times New Roman" w:hAnsi="Times New Roman"/>
                <w:sz w:val="21"/>
                <w:szCs w:val="21"/>
                <w:color w:val="auto"/>
                <w:vertAlign w:val="superscript"/>
              </w:rPr>
              <w:t>(4)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75,000</w:t>
            </w: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12/15/2026</w:t>
            </w:r>
          </w:p>
        </w:tc>
        <w:tc>
          <w:tcPr>
            <w:tcW w:w="0" w:type="dxa"/>
            <w:vAlign w:val="bottom"/>
          </w:tcPr>
          <w:p>
            <w:pPr>
              <w:spacing w:after="0"/>
              <w:rPr>
                <w:sz w:val="1"/>
                <w:szCs w:val="1"/>
                <w:color w:val="auto"/>
              </w:rPr>
            </w:pPr>
          </w:p>
        </w:tc>
      </w:tr>
      <w:tr>
        <w:trPr>
          <w:trHeight w:val="302"/>
        </w:trPr>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08/15/2019</w:t>
            </w:r>
          </w:p>
        </w:tc>
        <w:tc>
          <w:tcPr>
            <w:tcW w:w="10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01/08/2019</w:t>
            </w:r>
            <w:r>
              <w:rPr>
                <w:rFonts w:ascii="Times New Roman" w:cs="Times New Roman" w:eastAsia="Times New Roman" w:hAnsi="Times New Roman"/>
                <w:sz w:val="21"/>
                <w:szCs w:val="21"/>
                <w:color w:val="auto"/>
                <w:vertAlign w:val="superscript"/>
              </w:rPr>
              <w:t>(2)</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16,250</w:t>
            </w:r>
          </w:p>
        </w:tc>
        <w:tc>
          <w:tcPr>
            <w:tcW w:w="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13,750</w:t>
            </w: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w:t>
            </w: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08/15/2029</w:t>
            </w:r>
          </w:p>
        </w:tc>
        <w:tc>
          <w:tcPr>
            <w:tcW w:w="0" w:type="dxa"/>
            <w:vAlign w:val="bottom"/>
          </w:tcPr>
          <w:p>
            <w:pPr>
              <w:spacing w:after="0"/>
              <w:rPr>
                <w:sz w:val="1"/>
                <w:szCs w:val="1"/>
                <w:color w:val="auto"/>
              </w:rPr>
            </w:pPr>
          </w:p>
        </w:tc>
      </w:tr>
      <w:tr>
        <w:trPr>
          <w:trHeight w:val="250"/>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880" w:hanging="426"/>
        <w:spacing w:after="0"/>
        <w:tabs>
          <w:tab w:leader="none" w:pos="8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award was fully vested from the grant date.</w:t>
      </w:r>
    </w:p>
    <w:p>
      <w:pPr>
        <w:spacing w:after="0" w:line="26" w:lineRule="exact"/>
        <w:rPr>
          <w:rFonts w:ascii="Times New Roman" w:cs="Times New Roman" w:eastAsia="Times New Roman" w:hAnsi="Times New Roman"/>
          <w:sz w:val="16"/>
          <w:szCs w:val="16"/>
          <w:color w:val="auto"/>
        </w:rPr>
      </w:pPr>
    </w:p>
    <w:p>
      <w:pPr>
        <w:ind w:left="880" w:right="479" w:hanging="426"/>
        <w:spacing w:after="0" w:line="254" w:lineRule="auto"/>
        <w:tabs>
          <w:tab w:leader="none" w:pos="884"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award has a four-year vesting schedule, with 25% of the award vesting 12 months after Vesting Start Date and 3/48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of the award vesting each quarter thereafter.</w:t>
      </w:r>
    </w:p>
    <w:p>
      <w:pPr>
        <w:spacing w:after="0" w:line="1" w:lineRule="exact"/>
        <w:rPr>
          <w:rFonts w:ascii="Times New Roman" w:cs="Times New Roman" w:eastAsia="Times New Roman" w:hAnsi="Times New Roman"/>
          <w:sz w:val="16"/>
          <w:szCs w:val="16"/>
          <w:color w:val="auto"/>
        </w:rPr>
      </w:pPr>
    </w:p>
    <w:p>
      <w:pPr>
        <w:ind w:left="880" w:right="479" w:hanging="426"/>
        <w:spacing w:after="0" w:line="257" w:lineRule="auto"/>
        <w:tabs>
          <w:tab w:leader="none" w:pos="89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May 19, 2015, option grant made to Mr. Stonehocker was under the 2006 Stock Plan. All other awards described in this chart were made under the 2016 Incentive Plan.</w:t>
      </w:r>
    </w:p>
    <w:p>
      <w:pPr>
        <w:ind w:left="880" w:right="479" w:hanging="426"/>
        <w:spacing w:after="0" w:line="258" w:lineRule="auto"/>
        <w:tabs>
          <w:tab w:leader="none" w:pos="951"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award has a four-year vesting schedule, with 1/48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of the award vesting each month following Vesting Start Date.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8" w:name="page89"/>
    <w:bookmarkEnd w:id="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No directors received compensation for their service on ATSP’s board of directors in 2021. Following the consummation of the Business Combination, we intend to adopt an appropriate non-employee director compensation program pursuant to which our non-employee directors will be eligible to receive a combination of an annual cash retainer, meeting fees, and/or equity-based awards.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9" w:name="page90"/>
    <w:bookmarkEnd w:id="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EXECUTIVE COMPENSATION ARRANGEMENTS — POST-CLOSING ARRANGEMENTS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2022 Equity Incentive Plan</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board adopted, and stockholders approved, the SoundHound AI, Inc. 2022 Incentive Award Plan (the “Incentive Award Plan”) , in order to facilitate the grant of equity awards to attract, retain and incentivize employees (including the named executive officers), independent contractors and directors of the Company and its affiliates, which is essential to the Company’s long term success.</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purpose of the Incentive Award Plan is to enhance our ability to attract, retain and motivate persons who make (or are expected to make) important contributions by providing these individuals with equity ownership opportunities and/or equity-linked compensatory opportunities.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Summary of the Incentive Award Plan</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This section summarizes certain principal features of the Incentive Award Plan.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board adopted, and stockholders approved, the Incentive Award Plan. The Company is authorized to grant equity awards to eligible service providers following consummation of the Business Combination (the “Business Combination Date”).</w:t>
      </w:r>
    </w:p>
    <w:p>
      <w:pPr>
        <w:spacing w:after="0" w:line="108" w:lineRule="exact"/>
        <w:rPr>
          <w:sz w:val="20"/>
          <w:szCs w:val="20"/>
          <w:color w:val="auto"/>
        </w:rPr>
      </w:pPr>
    </w:p>
    <w:p>
      <w:pPr>
        <w:ind w:left="1300" w:hanging="41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Purpose of the Incentive Award Plan Proposal</w:t>
      </w:r>
    </w:p>
    <w:p>
      <w:pPr>
        <w:spacing w:after="0" w:line="15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purpose of the Incentive Award Plan is to promote the long-term success of the Company and the creation of shareholder value by encouraging service providers to focus on critical long-range corporate objectives and linking service providers directly to shareholder interests through increased stock ownership. ATSP believes that the Incentive Award Plan will be important in helping to attract and retain service providers of the Company with exceptional qualifications.</w:t>
      </w:r>
    </w:p>
    <w:p>
      <w:pPr>
        <w:spacing w:after="0" w:line="102" w:lineRule="exact"/>
        <w:rPr>
          <w:sz w:val="20"/>
          <w:szCs w:val="20"/>
          <w:color w:val="auto"/>
        </w:rPr>
      </w:pPr>
    </w:p>
    <w:p>
      <w:pPr>
        <w:ind w:left="1300" w:hanging="41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Reasons for the Approval of the Incentive Award Plan Proposal</w:t>
      </w:r>
    </w:p>
    <w:p>
      <w:pPr>
        <w:spacing w:after="0" w:line="15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Shareholder approval of the Incentive Award Plan is necessary in order for the Company to (a) meet the shareholder approval requirements of the Nasdaq and (b) grant incentive stock options (“ISOs”). Shareholders are also being asked to approve an annual limitation on Incentive Award Plan awards granted to non-employee directors as part of their compensation for their services as directors.</w:t>
      </w:r>
    </w:p>
    <w:p>
      <w:pPr>
        <w:spacing w:after="0" w:line="112" w:lineRule="exact"/>
        <w:rPr>
          <w:sz w:val="20"/>
          <w:szCs w:val="20"/>
          <w:color w:val="auto"/>
        </w:rPr>
      </w:pPr>
    </w:p>
    <w:p>
      <w:pPr>
        <w:ind w:left="1300" w:hanging="41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Consequences if the Incentive Award Plan Proposal is Not Approved</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the Incentive Award Plan is not approved by ATSP’s stockholders, the Incentive Award Plan will not become effective and the Company will not be able to grant equity awards under the Incentive Award Plan. ATSP believes that the Company’s ability to recruit, retain and incentivize top talent will be adversely affected if the Incentive Award Plan is not approved.</w:t>
      </w:r>
    </w:p>
    <w:p>
      <w:pPr>
        <w:spacing w:after="0" w:line="112" w:lineRule="exact"/>
        <w:rPr>
          <w:sz w:val="20"/>
          <w:szCs w:val="20"/>
          <w:color w:val="auto"/>
        </w:rPr>
      </w:pPr>
    </w:p>
    <w:p>
      <w:pPr>
        <w:ind w:left="1300" w:hanging="41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Terms of the Incentive Award Plan</w:t>
      </w:r>
    </w:p>
    <w:p>
      <w:pPr>
        <w:spacing w:after="0" w:line="15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material terms of the Incentive Award Plan, as currently contemplated by ATSP’s Board, are summarized below. This summary, however, is not intended to be a complete description of the Incentive Award Plan and is qualified in its entirety by reference to the complete text of the Incentive Award Plan. To the extent there is a conflict between the terms of this summary and the Incentive Award Plan, the terms of the Incentive Award Plan will control.</w:t>
      </w:r>
    </w:p>
    <w:p>
      <w:pPr>
        <w:spacing w:after="0" w:line="10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Incentive Award Plan will be administered by the Company’s Board or by one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committees to which the board of directors delegates such administration (as applicable, the “Incentive Award Plan Administrator”). Subject to the terms of the Incentive Award Plan, the Incentive Award Plan Administrator will have the authority to (a) determine the eligible individuals who are to receive awards under the Incentive Award Plan, (b) determine the terms and conditions of awards granted under the Incentive Award Plan, (c) determine performance criteria and the achievement of such criteria, (d) accelerate the vesting or exercisability of, payment for or lapse of restrictions on, awards and (e) make all other decisions related to the Incentive Award Plan and awards granted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0" w:name="page91"/>
    <w:bookmarkEnd w:id="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thereunder. The Incentive Award Plan Administrator may also delegate to one or more senior officers of the Company the authority to grant awards, subject to terms and conditions determined by the Incentive Award Plan Administrator and within the limitations of Section 16 of the Exchange Act.</w:t>
      </w:r>
    </w:p>
    <w:p>
      <w:pPr>
        <w:spacing w:after="0" w:line="106"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Types of Awards. </w:t>
      </w:r>
      <w:r>
        <w:rPr>
          <w:rFonts w:ascii="Times New Roman" w:cs="Times New Roman" w:eastAsia="Times New Roman" w:hAnsi="Times New Roman"/>
          <w:sz w:val="18"/>
          <w:szCs w:val="18"/>
          <w:color w:val="auto"/>
        </w:rPr>
        <w:t>The Incentive Award Plan provides for the grant of stock options, which may be ISOs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nonstatutory stock options (“NSOs”), stock appreciation rights (“SARs”), restricted shares, restricted stock units (“RSUs”) and other stock or cash-based awards that the Incentive Award Plan Administrator determines are consistent with the purpose of the Incentive Award Plan and the interests of the Company, or collectively, awards.</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Share Reserve. </w:t>
      </w:r>
      <w:r>
        <w:rPr>
          <w:rFonts w:ascii="Times New Roman" w:cs="Times New Roman" w:eastAsia="Times New Roman" w:hAnsi="Times New Roman"/>
          <w:sz w:val="18"/>
          <w:szCs w:val="18"/>
          <w:color w:val="auto"/>
        </w:rPr>
        <w:t>The number of shares of the Company’s Common Stock that may be issued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Award Plan is equal to the sum of (x) ten percent (10%) of the aggregate number of shares of the Company’s Common Stock issued and outstanding immediately after the Closing (as calculated after giving effect to the Redemption) plus (y) the annual increase in shares described below. All of the shares available under the Incentive Award Plan (before giving effect to the annual increases) may be issued upon the exercise of ISOs. On the first day of each calendar year during the term of the Incentive Award Plan, beginning on January 1, 2023 and continuing until (and including) January 1, 2032, the number of shares available under the Incentive Award Plan will automatically increase by a number equal to the lesser of (a) five percent (5%) of the total number of shares of the Company’s Common Stock issued and outstanding shares on December 31 of the calendar year immediately preceding the date of such increase and (b) a number of shares of the Company’s Common Stock determined by the Company’s Board.</w:t>
      </w:r>
    </w:p>
    <w:p>
      <w:pPr>
        <w:spacing w:after="0" w:line="11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options, stock appreciation rights, restricted stock units or any other awards are forfeited, cancelled or expire before being exercised or settled in full, the shares subject to such awards will again be available for issuance under the Incentive Award Plan. If stock appreciation rights are exercised or restricted stock units are settled, only the number of shares actually issued upon exercise or settlement of such awards will reduce the number of shares available under the Incentive Award Plan. If restricted shares or shares issued upon exercise of an option are reacquired by the Company pursuant to a forfeiture provision, repurchase right or for any other reason, then such shares will again be available for issuance under the Incentive Award Plan. Shares applied to pay the exercise price of an option or satisfy withholding taxes related to any award will again become available for issuance under the Incentive Award Plan. To the extent an award is settled in cash, the cash settlement will not reduce the number of shares available for issuance under the Incentive Award Plan.</w:t>
      </w:r>
    </w:p>
    <w:p>
      <w:pPr>
        <w:spacing w:after="0" w:line="1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Shares issued under the Incentive Award Plan may be authorized but unissued shares or treasury shares.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the date hereof, no awards have been granted under the Incentive Award Plan.</w:t>
      </w:r>
    </w:p>
    <w:p>
      <w:pPr>
        <w:spacing w:after="0" w:line="13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Annual Limitation on Compensation of Non-Employee Directors. </w:t>
      </w:r>
      <w:r>
        <w:rPr>
          <w:rFonts w:ascii="Times New Roman" w:cs="Times New Roman" w:eastAsia="Times New Roman" w:hAnsi="Times New Roman"/>
          <w:sz w:val="18"/>
          <w:szCs w:val="18"/>
          <w:color w:val="auto"/>
        </w:rPr>
        <w:t>The grant date fair value of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to each non-employee director during any fiscal year of the Company may not exceed $500,000 (on a per-director basis). This limit is increased to $750,000 in the fiscal year a non-employee director is initially appointed or elected to the Company’s Board. The Company’s Board may make exceptions to such limit for a non-employee chairperson or, in extraordinary circumstances, for other non-employee directors, provided the non-employee director receiving such additional compensation does not participate in the decision to award such compensation. Compensation paid to an individual for services as an employee or consultant and awards granted in lieu of cash retainers or other fees will not count towards these limitations.</w:t>
      </w:r>
    </w:p>
    <w:p>
      <w:pPr>
        <w:spacing w:after="0" w:line="10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Employees (including officers), non-employee directors and consultants who render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Company or a parent thereof (whether now existing or subsequently established) are eligible to receive awards under the Incentive Award Plan. ISOs may only be granted to employees of the Company or a parent or subsidiary thereof (whether now existing or subsequently established). As of and assuming Closing of the Business Combination, approximately 165 employees, including 3 executive officers (one of which is an employee director), 5 non-employee directors, and no consultants would be eligible to participate in the Incentive Award Plan.</w:t>
      </w:r>
    </w:p>
    <w:p>
      <w:pPr>
        <w:spacing w:after="0" w:line="115"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International Participation. </w:t>
      </w:r>
      <w:r>
        <w:rPr>
          <w:rFonts w:ascii="Times New Roman" w:cs="Times New Roman" w:eastAsia="Times New Roman" w:hAnsi="Times New Roman"/>
          <w:sz w:val="18"/>
          <w:szCs w:val="18"/>
          <w:color w:val="auto"/>
        </w:rPr>
        <w:t>The Incentive Award Plan Administrator has the authority to implement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sub-plans (or otherwise modify applicable grant terms) for purposes of satisfying applicable foreign laws, conforming to applicable market practices or for qualifying for favorable tax treatment under applicable foreign laws, and the terms and conditions applicable to awards granted under any such sub-plan or modified award may differ from the terms of the Incentive Award Plan. Any shares issued in satisfaction of awards granted under a sub-plan will come from the Incentive Award Plan share reserve.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1" w:name="page92"/>
    <w:bookmarkEnd w:id="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79" w:firstLine="432"/>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Repricing. </w:t>
      </w:r>
      <w:r>
        <w:rPr>
          <w:rFonts w:ascii="Times New Roman" w:cs="Times New Roman" w:eastAsia="Times New Roman" w:hAnsi="Times New Roman"/>
          <w:sz w:val="18"/>
          <w:szCs w:val="18"/>
          <w:color w:val="auto"/>
        </w:rPr>
        <w:t>The Incentive Award Plan Administrator has full authority to reprice (reduce the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of) options and stock appreciation rights or to approve programs in which options and stock appreciation rights are exchanged for cash or other equity awards on terms the Incentive Award Plan Administrator determines.</w:t>
      </w:r>
    </w:p>
    <w:p>
      <w:pPr>
        <w:spacing w:after="0" w:line="32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A stock option is the right to purchase a certain number of shares of stock at a fixed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price which, pursuant to the Incentive Award Plan, may not be less than 100% of the fair market value of the Company’s Common Stock on the date of grant. Subject to limited exceptions, an option may have a term of up to 10 years and will generally expire sooner if the optionee’s service terminates. Options will vest at the rate determined by the Incentive Award Plan Administrator. An optionee may pay the exercise price of an option in cash, or, with the administrator’s consent, with shares of stock the optionee already owns, with proceeds from an immediate sale of the option shares through a broker approved by us, through a net exercise procedure or by any other method permitted by applicable law.</w:t>
      </w:r>
    </w:p>
    <w:p>
      <w:pPr>
        <w:spacing w:after="0" w:line="11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Tax Limitations on Incentive Stock Options. </w:t>
      </w:r>
      <w:r>
        <w:rPr>
          <w:rFonts w:ascii="Times New Roman" w:cs="Times New Roman" w:eastAsia="Times New Roman" w:hAnsi="Times New Roman"/>
          <w:sz w:val="18"/>
          <w:szCs w:val="18"/>
          <w:color w:val="auto"/>
        </w:rPr>
        <w:t>The aggregate fair market value, determined at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of the Company’s Common Stock with respect to ISOs that are exercisable for the first time by an option holder during any calendar year under all of the Company’s stock plans may not exceed $100,000. Options or portions thereof that exceed such limit will generally be treated as NSOs. No ISO may be granted to any person who, at the time of the grant, owns or is deemed to own stock possessing more than 10% of the Company’s total combined voting power or that of any of the Company’s affiliates unless (a) the option exercise price is at least 110% of the fair market value of the stock subject to the option on the date of grant and (b) the term of the ISO does not exceed five years from the date of grant.</w:t>
      </w:r>
    </w:p>
    <w:p>
      <w:pPr>
        <w:spacing w:after="0" w:line="10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An SAR provides the recipient with the right to the appreciation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number of shares of stock. The Incentive Award Plan Administrator determines the exercise price of SARs granted under the Incentive Award Plan, which may not be less than 100% of the fair market value of the Company’s Common Stock on the date of grant. Subject to limited exceptions, an SAR may have a term of up to 10 years and will generally expire sooner if the recipient’s service terminates. SARs will vest at the rate determined by the Incentive Award Plan Administrator. Upon exercise of a SAR, the recipient will receive an amount in cash, stock, or a combination of stock and cash determined by the Incentive Award Plan Administrator, equal to the excess of the fair market value of the shares being exercised over their exercise price.</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Awards. </w:t>
      </w:r>
      <w:r>
        <w:rPr>
          <w:rFonts w:ascii="Times New Roman" w:cs="Times New Roman" w:eastAsia="Times New Roman" w:hAnsi="Times New Roman"/>
          <w:sz w:val="18"/>
          <w:szCs w:val="18"/>
          <w:color w:val="auto"/>
        </w:rPr>
        <w:t>Shares of restricted stock may be issued under the Incentive Award Plan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consideration as the Incentive Award Plan Administrator may determine, including cash, services rendered or to be rendered to the Company or such other forms of consideration permitted under applicable law. Restricted shares may be subject to vesting, as determined by the Incentive Award Plan Administrator. Recipients of restricted shares generally have all of the rights of a shareholder with respect to those shares, including voting rights, however any dividends and other distributions on restricted shares will generally be subject to the same restrictions on transferability and forfeitability as the underlying shares.</w:t>
      </w:r>
    </w:p>
    <w:p>
      <w:pPr>
        <w:spacing w:after="0" w:line="11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An RSU is a right to receive a share, at no cost to the recipient, upon satisfaction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certain conditions, including vesting conditions, established by the Incentive Award Plan Administrator. RSUs vest at the rate determined by the Incentive Award Plan Administrator and any unvested RSUs will generally be forfeited upon termination of the recipient’s service. Settlement of RSUs may be made in the form of cash, stock or a combination of cash and stock, as determined by the Incentive Award Plan Administrator. Recipients of RSUs generally will have no voting or dividend rights prior to the time the vesting conditions are satisfied and the award is settled. At the Incentive Award Plan Administrator’s discretion and as set forth in the applicable RSU agreement, RSUs may provide for the right to dividend equivalents which will generally be subject to the same conditions and restrictions as the RSUs to which they pertain.</w:t>
      </w:r>
    </w:p>
    <w:p>
      <w:pPr>
        <w:spacing w:after="0" w:line="10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Awards. </w:t>
      </w:r>
      <w:r>
        <w:rPr>
          <w:rFonts w:ascii="Times New Roman" w:cs="Times New Roman" w:eastAsia="Times New Roman" w:hAnsi="Times New Roman"/>
          <w:sz w:val="18"/>
          <w:szCs w:val="18"/>
          <w:color w:val="auto"/>
        </w:rPr>
        <w:t>The Incentive Award Plan Administrator may grant other awards based in whole 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by reference to the Company’s Common Stock and may grant awards under other plans and programs that will be settled with shares issued under the Incentive Award Plan. The Incentive Award Plan Administrator will determine the terms and conditions of any such awards.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2" w:name="page93"/>
    <w:bookmarkEnd w:id="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Changes to Capital Structure. </w:t>
      </w:r>
      <w:r>
        <w:rPr>
          <w:rFonts w:ascii="Times New Roman" w:cs="Times New Roman" w:eastAsia="Times New Roman" w:hAnsi="Times New Roman"/>
          <w:sz w:val="18"/>
          <w:szCs w:val="18"/>
          <w:color w:val="auto"/>
        </w:rPr>
        <w:t>In the event of certain changes in capitalization, including a stock split,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reverse stock split or stock dividend, proportionate adjustments will be made in the number and kind of shares available for issuance under the Incentive Award Plan, the limit on the number of shares that may be issued under the Incentive Award Plan as ISOs, the number and kind of shares subject to each outstanding award and/or the exercise price of each outstanding award.</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If the Company is party to a merger, consolidation or certain change in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each outstanding award will be treated as described in the definitive transaction agreement or as the Incentive Award Plan Administrator determines, which may include the continuation, assumption or substitution of an outstanding award, the cancellation of an outstanding award after an opportunity to exercise or the cancellation of an outstanding award in exchange for a payment equal to the value of the shares subject to such award less any applicable exercise price. In general, if an award held by a participant who remains in service at the effective time of a change in control transaction is not continued, assumed or substituted, then the award will vest in full.</w:t>
      </w:r>
    </w:p>
    <w:p>
      <w:pPr>
        <w:spacing w:after="0" w:line="11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The Incentive Award Plan Administrator may provide, in an individual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or in any other written agreement with a participant, that the award will be subject to acceleration of vesting and exercisability in the event of a change in control or in connection with a termination of employment in connection with or following a change in control.</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Transferability of Awards. </w:t>
      </w:r>
      <w:r>
        <w:rPr>
          <w:rFonts w:ascii="Times New Roman" w:cs="Times New Roman" w:eastAsia="Times New Roman" w:hAnsi="Times New Roman"/>
          <w:sz w:val="18"/>
          <w:szCs w:val="18"/>
          <w:color w:val="auto"/>
        </w:rPr>
        <w:t>Unless the Incentive Award Plan Administrator determines otherwise,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generally will not be transferable other than by beneficiary designation, a will or the laws of descent and distribution. The Incentive Award Plan Administrator may permit transfer of an award in a manner consistent with applicable law.</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w:t>
      </w:r>
      <w:r>
        <w:rPr>
          <w:rFonts w:ascii="Times New Roman" w:cs="Times New Roman" w:eastAsia="Times New Roman" w:hAnsi="Times New Roman"/>
          <w:sz w:val="18"/>
          <w:szCs w:val="18"/>
          <w:color w:val="auto"/>
        </w:rPr>
        <w:t>The Incentive Award Plan Administrator may amend or terminate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Award Plan at any time. Any such amendment or termination will not affect outstanding awards. If not sooner terminated, the Incentive Award Plan will terminate automatically 10 years after its adoption by the ATSP Board. Shareholder approval is not required for any amendment of the Incentive Award Plan, unless required by applicable law, government regulation or exchange listing standards.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Federal Income Tax Aspects of Awards Under the Incentive Award Plan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is a brief summary of the U.S. federal income tax aspects of awards that may be made under the Incentive Award Plan based on existing U.S. federal income tax laws as of the date of this prospectus. This summary covers only the basic tax rules. It does not describe a number of special tax rules, including the alternative minimum tax and various elections that may be applicable under certain circumstances. It also does not reflect provisions of the income tax laws of any municipality, state or foreign country in which a holder may reside, nor does it reflect the tax consequences of a holder’s death. Therefore, no one should rely on this summary for individual tax compliance, planning or decisions. Participants in the Incentive Award Plan should consult their own professional tax advisors concerning tax aspects of awards under the Incentive Award Plan. The discussion below concerning tax deductions that may become available to the Company under U.S. federal tax law is not intended to imply that the Company will necessarily obtain a tax benefit or asset from those deductions. The tax consequences of awards under the Incentive Award Plan depend upon the type of award. Changes to tax laws following the date of this prospectus could alter the tax consequences described below.</w:t>
      </w:r>
    </w:p>
    <w:p>
      <w:pPr>
        <w:spacing w:after="0" w:line="10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Incentive Stock Options. </w:t>
      </w:r>
      <w:r>
        <w:rPr>
          <w:rFonts w:ascii="Times New Roman" w:cs="Times New Roman" w:eastAsia="Times New Roman" w:hAnsi="Times New Roman"/>
          <w:sz w:val="18"/>
          <w:szCs w:val="18"/>
          <w:color w:val="auto"/>
        </w:rPr>
        <w:t>No taxable income is recognized by an optionee upon the grant or vesting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ISO, and no taxable income is recognized at the time an ISO is exercised unless the optionee is subject to the alternative minimum tax. The excess of the fair market value of the purchased shares on the exercise date over the exercise price paid for the shares is includable in alternative minimum taxable income.</w:t>
      </w:r>
    </w:p>
    <w:p>
      <w:pPr>
        <w:spacing w:after="0" w:line="11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the optionee holds the purchased shares for more than one year after the date the ISO was exercised and more than two years after the ISO was granted (the “required ISO holding periods”), then the optionee will generally recognize long-term capital gain or loss upon disposition of such shares. The gain or loss will equal the difference between the amount realized upon the disposition of the shares and the exercise price paid for such shares. If the optionee disposes of the purchased shares before satisfying either of the required ISO holding periods, then the optionee will recognize ordinary income equal to the fair market value of the shares on the date the ISO was exercised over the exercise price paid for the shares (or, if less, the amount realized on a sale of such shares). Any additional gain will be a capital gain and will be treated as short-term or long-term capital gain depending on how long the shares were held by the optionee.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3" w:name="page94"/>
    <w:bookmarkEnd w:id="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Nonstatutory Stock Options. </w:t>
      </w:r>
      <w:r>
        <w:rPr>
          <w:rFonts w:ascii="Times New Roman" w:cs="Times New Roman" w:eastAsia="Times New Roman" w:hAnsi="Times New Roman"/>
          <w:sz w:val="18"/>
          <w:szCs w:val="18"/>
          <w:color w:val="auto"/>
        </w:rPr>
        <w:t>No taxable income is recognized by an optionee upon the grant or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 NSO, provided the NSO does not have a readily ascertainable fair market value. If the NSO does not have a readily ascertainable fair market value, the optionee will generally recognize ordinary income in the year in which the option is exercised equal to the excess of the fair market value of the purchased shares on the exercise date over the exercise price paid for the shares. If the optionee is an employee or former employee, the optionee will be required to satisfy the tax withholding requirements applicable to such income. Upon resale of the purchased shares, any subsequent appreciation or depreciation in the value of the shares will be treated as short-term or long-term capital gain or loss depending on how long the shares were held by the optionee.</w:t>
      </w:r>
    </w:p>
    <w:p>
      <w:pPr>
        <w:spacing w:after="0" w:line="11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A participant who receives an award of restricted stock generally does not recognize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taxable income at the time of the award. Instead, the participant recognizes ordinary income when the shares vest, subject to withholding if the participant is an employee or former employee. The amount of taxable income is equal to the fair market value of the shares on the vesting date(s) less the amount, if any, paid for the shares. Alternatively, a participant may make a one-time election to recognize income at the time the participant receives restricted stock in an amount equal to the fair market value of the restricted stock (less any amount paid for the shares) on the date of the award by making an election under Section 83(b) of the Code.</w:t>
      </w:r>
    </w:p>
    <w:p>
      <w:pPr>
        <w:spacing w:after="0" w:line="115"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Stock Unit Awards. </w:t>
      </w:r>
      <w:r>
        <w:rPr>
          <w:rFonts w:ascii="Times New Roman" w:cs="Times New Roman" w:eastAsia="Times New Roman" w:hAnsi="Times New Roman"/>
          <w:sz w:val="18"/>
          <w:szCs w:val="18"/>
          <w:color w:val="auto"/>
        </w:rPr>
        <w:t>In general, no taxable income results upon the grant of an RSU.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recipient will generally recognize ordinary income, subject to withholding if the recipient is an employee or former employee, equal to the fair market value of the shares that are delivered to the recipient upon settlement of the RSU. Upon resale of the shares acquired pursuant to an RSU, any subsequent appreciation or depreciation in the value of the shares will be treated as short-term or long-term capital gain or loss depending on how long the shares were held by the recipient.</w:t>
      </w:r>
    </w:p>
    <w:p>
      <w:pPr>
        <w:spacing w:after="0" w:line="101"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In general, no taxable income results upon the grant of a SAR. A 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generally recognize ordinary income in the year of exercise equal to the value of the shares or other consideration received. In the case of a current or former employee, this amount is subject to withholding.</w:t>
      </w:r>
    </w:p>
    <w:p>
      <w:pPr>
        <w:spacing w:after="0" w:line="10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Section 409A. </w:t>
      </w:r>
      <w:r>
        <w:rPr>
          <w:rFonts w:ascii="Times New Roman" w:cs="Times New Roman" w:eastAsia="Times New Roman" w:hAnsi="Times New Roman"/>
          <w:sz w:val="18"/>
          <w:szCs w:val="18"/>
          <w:color w:val="auto"/>
        </w:rPr>
        <w:t>The foregoing description assumes that Section 409A of the Code does not apply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In general, options and stock appreciation rights are exempt from Section 409A if the exercise price per share is at least equal to the fair market value per share of the underlying stock at the time the option or stock appreciation right was granted. RSUs are subject to Section 409A unless they are settled within two and one half months after the end of the later of (a) the end of the Company’s fiscal year in which vesting occurs or</w:t>
      </w:r>
    </w:p>
    <w:p>
      <w:pPr>
        <w:spacing w:after="0" w:line="1" w:lineRule="exact"/>
        <w:rPr>
          <w:sz w:val="20"/>
          <w:szCs w:val="20"/>
          <w:color w:val="auto"/>
        </w:rPr>
      </w:pPr>
    </w:p>
    <w:p>
      <w:pPr>
        <w:jc w:val="both"/>
        <w:ind w:left="460" w:right="459" w:hanging="6"/>
        <w:spacing w:after="0" w:line="252" w:lineRule="auto"/>
        <w:tabs>
          <w:tab w:leader="none" w:pos="73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end of the calendar year in which vesting occurs. Restricted stock awards are not generally subject to Section 409A. If an award is subject to Section 409A and the provisions for the exercise or settlement of that award do not comply with Section 409A, then the participant would be required to recognize ordinary income whenever a portion of the award vested (regardless of whether it had been exercised or settled). This amount would also be subject to a 20% U.S. federal tax and premium interest </w:t>
      </w:r>
      <w:r>
        <w:rPr>
          <w:rFonts w:ascii="Times New Roman" w:cs="Times New Roman" w:eastAsia="Times New Roman" w:hAnsi="Times New Roman"/>
          <w:sz w:val="18"/>
          <w:szCs w:val="18"/>
          <w:i w:val="1"/>
          <w:iCs w:val="1"/>
          <w:color w:val="auto"/>
        </w:rPr>
        <w:t>in addition to</w:t>
      </w:r>
      <w:r>
        <w:rPr>
          <w:rFonts w:ascii="Times New Roman" w:cs="Times New Roman" w:eastAsia="Times New Roman" w:hAnsi="Times New Roman"/>
          <w:sz w:val="18"/>
          <w:szCs w:val="18"/>
          <w:color w:val="auto"/>
        </w:rPr>
        <w:t xml:space="preserve"> the U.S. federal income tax at the participant’s usual marginal rate for ordinary income.</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Tax Treatment of the Company. </w:t>
      </w:r>
      <w:r>
        <w:rPr>
          <w:rFonts w:ascii="Times New Roman" w:cs="Times New Roman" w:eastAsia="Times New Roman" w:hAnsi="Times New Roman"/>
          <w:sz w:val="18"/>
          <w:szCs w:val="18"/>
          <w:color w:val="auto"/>
        </w:rPr>
        <w:t>The Company will generally be entitled to an income tax deduction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 and to the extent a participant recognizes ordinary income as a result of an award granted under the Incentive Award Plan. However, Section 162(m) of the Code may limit the deductibility of certain awards granted under the Incentive Award Plan. Although the Incentive Award Plan Administrator considers the deductibility of compensation as one factor in determining executive compensation, the Incentive Award Plan Administrator retains the discretion to award and pay compensation that is not deductible as it believes that it is in the shareholders’ best interests to maintain flexibility in the approach to executive compensation and to structure a program that the Company considers to be the most effective in attracting, motivating and retaining key employees.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Incentive Award Plan Benefits</w:t>
      </w:r>
    </w:p>
    <w:p>
      <w:pPr>
        <w:spacing w:after="0" w:line="14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Benefits to be received under the Incentive Award Plan are not determinable since they depend on discretionary decisions to be made by the Incentive Award Plan Administrator regarding which participants are selected and what awards are made under the Incentive Award Plan.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4" w:name="page95"/>
    <w:bookmarkEnd w:id="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Registration with the SEC</w:t>
      </w:r>
    </w:p>
    <w:p>
      <w:pPr>
        <w:spacing w:after="0" w:line="14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intend to file a registration statement on Form S-8 registering the shares of the Company’s Common Stock reserved for issuance under the Incentive Award Plan as soon as reasonably practicable after we become eligible to use such form.</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2022 Employee Stock Purchase Plan</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board adopted, and stockholders approved, the Employee Stock Purchase Agreement (the “ESPP”), in order to allow employees of the Company and its affiliates to purchase shares of Class A Common Stock at a discount through payroll deductions and to benefit from stock price appreciation, thus enhancing the alignment of employee and stockholder interests.</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ESPP is described in more detail below.</w:t>
      </w:r>
    </w:p>
    <w:p>
      <w:pPr>
        <w:spacing w:after="0" w:line="144" w:lineRule="exact"/>
        <w:rPr>
          <w:sz w:val="20"/>
          <w:szCs w:val="20"/>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Overview</w:t>
      </w:r>
    </w:p>
    <w:p>
      <w:pPr>
        <w:spacing w:after="0" w:line="15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Board has approved and adopted, and ATSP shareholders approved, the ESPP. The Company is authorized to provide eligible employees of the Company and its designated subsidiaries with an opportunity to purchase shares of the Company’s Class A Common Stock at a discount to the market price and to pay for such purchases through payroll deductions in accordance with the ESPP’s terms.</w:t>
      </w:r>
    </w:p>
    <w:p>
      <w:pPr>
        <w:spacing w:after="0" w:line="112" w:lineRule="exact"/>
        <w:rPr>
          <w:sz w:val="20"/>
          <w:szCs w:val="20"/>
          <w:color w:val="auto"/>
        </w:rPr>
      </w:pPr>
    </w:p>
    <w:p>
      <w:pPr>
        <w:ind w:left="1280" w:hanging="394"/>
        <w:spacing w:after="0"/>
        <w:tabs>
          <w:tab w:leader="none" w:pos="1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Purpose of the ESPP</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purpose of the ESPP is to provide employees of the Company and its designated subsidiaries (whether now existing or subsequently established) with the ability to acquire shares of the Company’s Class A Common Stock at a discount to the market price and to pay for such purchases through payroll deductions or other approved contributions. ATSP believes that the ESPP will be important in helping to attract and retain employees of the Company.</w:t>
      </w:r>
    </w:p>
    <w:p>
      <w:pPr>
        <w:spacing w:after="0" w:line="116" w:lineRule="exact"/>
        <w:rPr>
          <w:sz w:val="20"/>
          <w:szCs w:val="20"/>
          <w:color w:val="auto"/>
        </w:rPr>
      </w:pPr>
    </w:p>
    <w:p>
      <w:pPr>
        <w:ind w:left="1320" w:hanging="434"/>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Reasons for the Approval of the ESPP</w:t>
      </w:r>
    </w:p>
    <w:p>
      <w:pPr>
        <w:spacing w:after="0" w:line="15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ESPP, and the right of participants to make purchases thereunder, is intended to meet the requirements of an employee stock purchase plan as defined in Section 423 of the Code. Shareholder approval of the ESPP was necessary in order to satisfy the requirements under Section 423 of the Code and to meet the shareholder approval requirements of the Nasdaq.</w:t>
      </w:r>
    </w:p>
    <w:p>
      <w:pPr>
        <w:spacing w:after="0" w:line="99" w:lineRule="exact"/>
        <w:rPr>
          <w:sz w:val="20"/>
          <w:szCs w:val="20"/>
          <w:color w:val="auto"/>
        </w:rPr>
      </w:pPr>
    </w:p>
    <w:p>
      <w:pPr>
        <w:ind w:left="1280" w:hanging="394"/>
        <w:spacing w:after="0"/>
        <w:tabs>
          <w:tab w:leader="none" w:pos="12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the ESPP’s Material Terms and Features</w:t>
      </w:r>
    </w:p>
    <w:p>
      <w:pPr>
        <w:spacing w:after="0" w:line="15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following summary of the principal provisions of the ESPP is qualified in its entirety by reference to the full text of the ESPP. To the extent there is a conflict between this summary and the ESPP, the terms of the ESPP will govern.</w:t>
      </w:r>
    </w:p>
    <w:p>
      <w:pPr>
        <w:spacing w:after="0" w:line="106"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ESPP is intended to qualify as an “employee stock purchase plan” under Section 423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Code; however, the ESPP also allows the Company to conduct offerings for non-U.S. employees that do not qualify under Section 423 of the Code as described in “International Participation” below. During regularly scheduled “offering periods” under the ESPP, participants will be able to request payroll deductions which will be applied periodically to purchase a number of shares of the Company’s Class A Common Stock at a discount to the market price and in an amount determined in accordance with the ESPP’s terms.</w:t>
      </w:r>
    </w:p>
    <w:p>
      <w:pPr>
        <w:spacing w:after="0" w:line="10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ESPP will be administered by the Company’s Board or by one or more committees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which the board of directors delegates such administration (as applicable, the “ESPP Administrator”). Subject to the terms of the ESPP, the ESPP Administrator will have the complete discretion to establish the terms and conditions of offering periods under the ESPP, to interpret the ESPP and to make all decisions related to the operation of the ESPP.</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Shares Available for Issuance. </w:t>
      </w:r>
      <w:r>
        <w:rPr>
          <w:rFonts w:ascii="Times New Roman" w:cs="Times New Roman" w:eastAsia="Times New Roman" w:hAnsi="Times New Roman"/>
          <w:sz w:val="18"/>
          <w:szCs w:val="18"/>
          <w:color w:val="auto"/>
        </w:rPr>
        <w:t>Up to a maximum of two percent (2%) of the aggregate number of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Company’s Class A Common Stock issued and outstanding immediately after the Closing (as calculated after giving effect to the Redemption) may be issued under the ESPP, plus an annual increase in shares described below.</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5" w:name="page96"/>
    <w:bookmarkEnd w:id="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the first day of each calendar year during the term of the ESPP, beginning on January 1, 2023 and continuing until (and including) January 1, 2032, the aggregate number of shares of the Company’s Class A Common Stock that may be issued under the ESPP will automatically increase by a number equal to the lesser of (a) one percent (1%) of the total number of shares of the Company’s Class A Common Stock issued and outstanding shares on December 31 of the calendar year immediately preceding the date of such increase and</w:t>
      </w:r>
    </w:p>
    <w:p>
      <w:pPr>
        <w:spacing w:after="0" w:line="3" w:lineRule="exact"/>
        <w:rPr>
          <w:sz w:val="20"/>
          <w:szCs w:val="20"/>
          <w:color w:val="auto"/>
        </w:rPr>
      </w:pPr>
    </w:p>
    <w:p>
      <w:pPr>
        <w:jc w:val="both"/>
        <w:ind w:left="460" w:right="479" w:hanging="6"/>
        <w:spacing w:after="0" w:line="255" w:lineRule="auto"/>
        <w:tabs>
          <w:tab w:leader="none" w:pos="72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of the Company’s Class A Common Stock determined by the Company’s Board. Shares of the Company’s Class A Common Stock issued under the ESPP may be authorized but unissued shares or treasury shares. As of the date hereof, no rights to purchase shares have been granted under the ESPP.</w:t>
      </w:r>
    </w:p>
    <w:p>
      <w:pPr>
        <w:spacing w:after="0" w:line="11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Eligibility and Participation. </w:t>
      </w:r>
      <w:r>
        <w:rPr>
          <w:rFonts w:ascii="Times New Roman" w:cs="Times New Roman" w:eastAsia="Times New Roman" w:hAnsi="Times New Roman"/>
          <w:sz w:val="18"/>
          <w:szCs w:val="18"/>
          <w:color w:val="auto"/>
        </w:rPr>
        <w:t>All employees (including officers and employee directors) who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employed by the Company or a designated subsidiary (whether currently existing or subsequently established) or, solely in the case of an offering period that is not intended to qualify under Section 423 of the Code, a designated affiliate (whether currently existing or subsequently established), are eligible to participate in the ESPP, resulting in approximately 165 employees (including 3 executive officers, one of which is an employee director) as eligible participants. The ESPP Administrator may exclude certain categories of employees from participating in any offering period to the extent permitted by Section 423 of the Code, including part-time employees, seasonal employees, employees who have not completed a minimum period of service with the company and/or highly compensated employees. No employee will be allowed to participate in the ESPP if his or her participation in the ESPP is prohibited by local law or if complying with local law would cause the ESPP or an offering period that is intended to qualify under Section 423 of the Code to violate the requirements of Section 423 of the Code. In the case of an offering period that is not intended to qualify under Section 423 of the Code, the ESPP Administrator may exclude any individual(s) from participation if the ESPP Administrator determines that the participation of such individual(s) is not advisable or practicable. Also, in accordance with Section 423 of the Code, no employee may be granted a right to purchase shares of the Company’s Class A Common Stock under the ESPP if, immediately after such grant, such employee would own stock and/or hold outstanding options to purchase stock possessing 5% or more of the total combined voting power or value of all classes of stock of the Company or any parent or subsidiary (including in such calculation stock held directly or indirectly by or for the benefit of the employee and stock held by certain persons related to the employee).</w:t>
      </w:r>
    </w:p>
    <w:p>
      <w:pPr>
        <w:spacing w:after="0" w:line="12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ESPP will permit an eligible employee to purchase the Company’s Class A Common Stock through payroll deductions, which may not exceed fifteen percent (15%) of the employee’s eligible compensation (or such lower limit as may be determined by the ESPP Administrator for an offering period). Employees will be able to withdraw their accumulated payroll deductions prior to the end of the offering period in accordance with the terms of the offering period. Participation in the ESPP will end automatically upon termination of employment. In the event of withdrawal or termination of participation in the ESPP, a participant’s accumulated payroll contributions will be refunded without interest.</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Certain limitations on the number of shares of the Company’s Class A Common Stock that a participant may purchase apply. For example, the right granted to an employee may not permit him or her to purchase more than $25,000 worth of shares of the Company’s Class A Common Stock under the ESPP (determined on the basis of the fair market value per share as of the start of the applicable offering period) for each calendar year in which the right is outstanding. The ESPP Administrator may also establish one or more limits on the number of shares that may be purchased during any offering period and/or purchase period. Unless the ESPP Administrator provides otherwise with respect to an offering period, no participant may purchase more than 5,000 shares during any purchase period within an offering period.</w:t>
      </w:r>
    </w:p>
    <w:p>
      <w:pPr>
        <w:spacing w:after="0" w:line="12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International Participation. </w:t>
      </w:r>
      <w:r>
        <w:rPr>
          <w:rFonts w:ascii="Times New Roman" w:cs="Times New Roman" w:eastAsia="Times New Roman" w:hAnsi="Times New Roman"/>
          <w:sz w:val="18"/>
          <w:szCs w:val="18"/>
          <w:color w:val="auto"/>
        </w:rPr>
        <w:t>To provide the Company with greater flexibility in structuring its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programs for non-U.S. employees, the ESPP also permits the Company to grant employees of the Company’s non-U.S. subsidiaries and affiliates rights to purchase shares of the Company’s Class A Common Stock pursuant to other offering periods and/or sub-plans adopted by the ESPP Administrator in order to achieve tax, securities law or other compliance objectives. While the ESPP is intended to be a qualified “employee stock purchase plan” within the meaning of Section 423 of the Code, any such international sub-plans or offerings are not required to satisfy those U.S. tax code requirements and therefore may have terms that differ from the ESPP terms applicable in the U.S.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6" w:name="page97"/>
    <w:bookmarkEnd w:id="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Offering Periods and Purchase Price. </w:t>
      </w:r>
      <w:r>
        <w:rPr>
          <w:rFonts w:ascii="Times New Roman" w:cs="Times New Roman" w:eastAsia="Times New Roman" w:hAnsi="Times New Roman"/>
          <w:sz w:val="18"/>
          <w:szCs w:val="18"/>
          <w:color w:val="auto"/>
        </w:rPr>
        <w:t>The ESPP will be implemented through a series of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of up to twenty-seven (27) months, which may consist of one or more purchase periods. During each purchase period, payroll contributions will accumulate without interest. On the last trading day of the purchase period, accumulated payroll deductions will be used to purchase the Company’s Class A Common Stock.</w:t>
      </w:r>
    </w:p>
    <w:p>
      <w:pPr>
        <w:spacing w:after="0" w:line="11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purchase price for each offering period will be established by the ESPP Administrator and may not be less than eighty-five percent (85%) of the fair market value per share of the Company’s Class A Common Stock on either the first trading day in an offering period or on the purchase date, whichever is lower.</w:t>
      </w:r>
    </w:p>
    <w:p>
      <w:pPr>
        <w:spacing w:after="0" w:line="106"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Changes in Capital Structure. </w:t>
      </w:r>
      <w:r>
        <w:rPr>
          <w:rFonts w:ascii="Times New Roman" w:cs="Times New Roman" w:eastAsia="Times New Roman" w:hAnsi="Times New Roman"/>
          <w:sz w:val="18"/>
          <w:szCs w:val="18"/>
          <w:color w:val="auto"/>
        </w:rPr>
        <w:t>In the event that there is a specified type of change in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structure, such as a stock split, appropriate adjustments will be made to (a) the number of shares reserved under the ESPP and the maximum size of the annual increase in shares, (b) the individual participant share limitations described in the ESPP and (c) the purchase price per share and the number and class of stock covered by each outstanding right under the ESPP which has not yet been exercised.</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Corporate Reorganization. </w:t>
      </w:r>
      <w:r>
        <w:rPr>
          <w:rFonts w:ascii="Times New Roman" w:cs="Times New Roman" w:eastAsia="Times New Roman" w:hAnsi="Times New Roman"/>
          <w:sz w:val="18"/>
          <w:szCs w:val="18"/>
          <w:color w:val="auto"/>
        </w:rPr>
        <w:t>In the event of certain corporate reorganizations, any offering period then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progress will terminate unless the ESPP is continued, assumed or substituted by the surviving entity or its parent. In the event an offering period is terminated, a new purchase date will be set for such offering period prior the effective time of the reorganization and a participant’s accumulated contributions will be applied to his or her purchase rights outstanding on such date.</w:t>
      </w:r>
    </w:p>
    <w:p>
      <w:pPr>
        <w:spacing w:after="0" w:line="116"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w:t>
      </w:r>
      <w:r>
        <w:rPr>
          <w:rFonts w:ascii="Times New Roman" w:cs="Times New Roman" w:eastAsia="Times New Roman" w:hAnsi="Times New Roman"/>
          <w:sz w:val="18"/>
          <w:szCs w:val="18"/>
          <w:color w:val="auto"/>
        </w:rPr>
        <w:t>The ESPP Administrator will have the right to amend, suspend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 the ESPP at any time. Any increase in the aggregate number of shares to be issued under the ESPP is subject to shareholder approval except for (a) the automatic annual increase in shares and (b) any share increase resulting from changes in the Company’s capital structure. Any other amendment to the ESPP is subject to shareholder approval only to the extent required under applicable law or regulation. The ESPP will terminate automatically 10 years after its adoption by the Board.</w:t>
      </w:r>
    </w:p>
    <w:p>
      <w:pPr>
        <w:spacing w:after="0" w:line="117" w:lineRule="exact"/>
        <w:rPr>
          <w:sz w:val="20"/>
          <w:szCs w:val="20"/>
          <w:color w:val="auto"/>
        </w:rPr>
      </w:pPr>
    </w:p>
    <w:p>
      <w:pPr>
        <w:ind w:left="1300" w:hanging="41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Federal Income Tax Consequences of Participating in the ESPP</w:t>
      </w:r>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following is a brief summary of the general U.S. federal income tax consequences of participation in the ESPP as of the date of this prospectus. This summary is not complete and does not discuss the tax consequences of a participant’s death or the income tax laws of any state or foreign country in which the participant may reside. Tax consequences for any particular individual may be different. Therefore, no one should rely on this summary for individual tax compliance, planning or decisions. Participants in the ESPP should consult their own professional tax advisors concerning tax aspects of awards under the ESPP.</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described above, the ESPP has a domestic component intended to qualify under Section 423 of the Code and an international component not intended to so qualify. The tax consequences for a U.S. taxpayer will depend on whether he or she participates in the domestic component or the international component. Further, changes to tax laws following the date of this prospectus could alter the tax consequences described below.</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U.S. Component</w:t>
      </w:r>
    </w:p>
    <w:p>
      <w:pPr>
        <w:spacing w:after="0" w:line="16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Payroll deductions under the ESPP are made on an after-tax basis (i.e., contributions to the ESPP do not reduce a participant’s taxable income).</w:t>
      </w:r>
    </w:p>
    <w:p>
      <w:pPr>
        <w:spacing w:after="0" w:line="8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ESPP, and the right of U.S. participants to make purchases thereunder, is intended to qualify for favorable federal income tax treatment associated with rights granted under an “employee stock purchase plan” that qualifies under provisions of Section 423 of the Code. As a result, participants in the ESPP will generally not recognize taxable income until they sell or otherwise dispose of the shares purchased under the ESPP. The amount of taxable income a participant will recognize in connection with the sale or other disposition of shares purchased under the ESPP will depend on how long the shares were held. If the shares were held at least two years from the start of the offering period in which the shares were purchased and one year from the date the shares were purchased, then the amount of ordinary income recognized will be equal to the lesser of (a) the difference between the fair market value of the shares on the date of disposition and the purchase price paid for the shares or (b) the excess of the fair market value of the shares at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7" w:name="page98"/>
    <w:bookmarkEnd w:id="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start of the offering period in which the shares were acquired over the purchase price, and any additional gain will be long-term capital gain. If a sale or other disposition occurs before satisfying one or both holding periods, then the participant will recognize ordinary income equal to the excess of the fair market value of the shares on the purchase date over the purchase price paid for the shares. Any additional gain or loss recognized upon disposition of the shares will be a capital gain or loss, which will be long-term if the shares were held at least one year. Under current law, no withholding applies to transactions under the ESPP.</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International Component</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Rights granted under the international component are not intended to qualify for favorable U.S. federal income tax treatment associated with rights granted under an employee stock purchase plan which qualifies under the provisions of Section 423 of the Code. With respect to any participant who is subject to U.S. federal income tax with respect to participation under this component, he or she will have compensation income equal to the value of the Company’s Class A Common Stock on the day he or she purchases the Company’s Class A Common Stock, less the purchase price, and will be subject to withholding for income, Medicare and social security taxes, as applicable, on such amount. When a participant sells the Company’s Class A Common Stock purchased under the ESPP, he or she also will have a capital gain or loss equal to the difference between the sales proceeds and the value of the Company’s Class A Common Stock on the day he or she purchased the stock. Any capital gain or loss will be short-term or long-term, depending on how long the stock has been held.</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Tax Consequences to ATSP</w:t>
      </w:r>
    </w:p>
    <w:p>
      <w:pPr>
        <w:spacing w:after="0" w:line="16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There are no federal income tax consequences to ATSP by reason of the grant or exercise of rights under the ESPP. ATSP is generally entitled to a deduction to the extent amounts are taxed as ordinary income to a participant in connection with a sale or disposition of shares prior to satisfaction of the holding periods described above.</w:t>
      </w:r>
    </w:p>
    <w:p>
      <w:pPr>
        <w:spacing w:after="0" w:line="99" w:lineRule="exact"/>
        <w:rPr>
          <w:sz w:val="20"/>
          <w:szCs w:val="20"/>
          <w:color w:val="auto"/>
        </w:rPr>
      </w:pPr>
    </w:p>
    <w:p>
      <w:pPr>
        <w:ind w:left="1280" w:hanging="394"/>
        <w:spacing w:after="0"/>
        <w:tabs>
          <w:tab w:leader="none" w:pos="12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Plan Benefits</w:t>
      </w:r>
    </w:p>
    <w:p>
      <w:pPr>
        <w:spacing w:after="0" w:line="158"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Benefits to be received under the ESPP are not determinable since they depend on terms to be established by the Company and discretionary participant elections whether and to what extent to participate in the ESPP.</w:t>
      </w:r>
    </w:p>
    <w:p>
      <w:pPr>
        <w:spacing w:after="0" w:line="94" w:lineRule="exact"/>
        <w:rPr>
          <w:sz w:val="20"/>
          <w:szCs w:val="20"/>
          <w:color w:val="auto"/>
        </w:rPr>
      </w:pPr>
    </w:p>
    <w:p>
      <w:pPr>
        <w:ind w:left="1280" w:hanging="394"/>
        <w:spacing w:after="0"/>
        <w:tabs>
          <w:tab w:leader="none" w:pos="12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with the SEC</w:t>
      </w:r>
    </w:p>
    <w:p>
      <w:pPr>
        <w:spacing w:after="0" w:line="14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intend to file a registration statement on Form S-8 registering the shares of the Company’s Class A Common Stock reserved for issuance under the ESPP as soon as reasonably practicable after we become eligible to use such form.</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Post-Closing Employment Agreements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It is currently anticipated that each of SoundHound’s Named Executive Officers will enter into employment agreements with the Company. The terms and conditions of the employment agreements have not been determined as of the date of this prospectus.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8" w:name="page99"/>
    <w:bookmarkEnd w:id="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48"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each transaction since January 1, 2018 and each currently proposed transaction in which:</w:t>
      </w:r>
    </w:p>
    <w:p>
      <w:pPr>
        <w:spacing w:after="0" w:line="94" w:lineRule="exact"/>
        <w:rPr>
          <w:sz w:val="20"/>
          <w:szCs w:val="20"/>
          <w:color w:val="auto"/>
        </w:rPr>
      </w:pPr>
    </w:p>
    <w:p>
      <w:pPr>
        <w:ind w:left="1300" w:hanging="414"/>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has been or is to be a participant;</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exceeds the lesser of (a) $120,000 or (b) one percent of the average of SoundHound’s total assets at year-end for the fiscal years ended December 31, 2020, 2019 and 2018; and</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9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SoundHound’s directors, executive officers or holders of more than 5% of its capital stock prior to the Business Combination, or any immediate family member of, or person sharing the household with, any of these individuals, had or will have a direct or indirect material interest.</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Since January 1, 2018, in connection with the equity financing rounds in which SoundHound has engaged since that date, SoundHound has entered into the following agreements with investors in such financings that including holders of more than 5% of SoundHound’s capital stock.</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Investors’ Rights Agreement</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connection with the issuances of shares of its Series D-3 Preferred Stock in August 2020, SoundHound entered into an amended and restated investors’ rights agreement (the “Investors’ Rights Agreement”) with certain holders of SoundHound’s capital stock. The Investors’ Rights Agreement provides for, among other things, certain preemptive rights and demand and S-3 registration rights. The following directors, executive officers and holders of more than 5% of SoundHound capital stock and their affiliates are parties to the Investors’ Rights Agreement:</w:t>
      </w:r>
    </w:p>
    <w:p>
      <w:pPr>
        <w:spacing w:after="0" w:line="106" w:lineRule="exact"/>
        <w:rPr>
          <w:sz w:val="20"/>
          <w:szCs w:val="20"/>
          <w:color w:val="auto"/>
        </w:rPr>
      </w:pPr>
    </w:p>
    <w:p>
      <w:pPr>
        <w:ind w:left="1300" w:hanging="41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Larry Marcus;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Catalyst Partners III, L.P.;</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Kamran Elahian;</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Walden Venture Capital VII, L.P.</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Investors’ Rights Agreement terminated upon the Closing of the Business Combination.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connection with the issuances of shares of its Series D-3 Preferred Stock in August 2020, SoundHound entered into an amended and restated voting agreement (the “Voting Agreement”) with certain holders of SoundHound’s capital stock. The Voting Agreement provides for, among other things, holders party thereto with certain voting rights in accordance with its terms, including in matters related to the composition of the SoundHound Board. The following directors, executive officers and holders of more than 5% of SoundHound capital stock and their affiliates are parties to the Voting Agreement:</w:t>
      </w:r>
    </w:p>
    <w:p>
      <w:pPr>
        <w:spacing w:after="0" w:line="106" w:lineRule="exact"/>
        <w:rPr>
          <w:sz w:val="20"/>
          <w:szCs w:val="20"/>
          <w:color w:val="auto"/>
        </w:rPr>
      </w:pPr>
    </w:p>
    <w:p>
      <w:pPr>
        <w:ind w:left="1300" w:hanging="414"/>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Larry Marcus;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Catalyst Partners III, L.P.;</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Kamran Elahian;</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Walden Venture Capital VII, L.P.</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Voting Agreement terminated upon the Closing of the Business Combination.</w:t>
      </w:r>
    </w:p>
    <w:p>
      <w:pPr>
        <w:spacing w:after="0" w:line="18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9" w:name="page100"/>
    <w:bookmarkEnd w:id="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 and Co-Sale Agreement</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issuances of shares of its Series D-3 Preferred Stock in August 2020, SoundHound entered into an amended and restated right of first refusal and co-sale agreement (the “Co-Sale Agreement”) with certain holders of SoundHound’s capital stock. The following directors, executive officers and holders of more than 5% of SoundHound capital stock and their affiliates are parties to the Co-Sale Agreement:</w:t>
      </w:r>
    </w:p>
    <w:p>
      <w:pPr>
        <w:spacing w:after="0" w:line="112" w:lineRule="exact"/>
        <w:rPr>
          <w:sz w:val="20"/>
          <w:szCs w:val="20"/>
          <w:color w:val="auto"/>
        </w:rPr>
      </w:pPr>
    </w:p>
    <w:p>
      <w:pPr>
        <w:ind w:left="1300" w:hanging="41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Larry Marcus;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Catalyst Partners III, L.P.;</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Kamran Elahian;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Walden Venture Capital VII, L.P.</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Co-Sale Agreement terminated upon the Closing of the Business Combination.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Registration Rights Agreement</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certain holders of SoundHound’s capital stock entered into an amended and restated registration rights agreement prior to the Closing with certain existing stockholders of ATSP with respect to the shares of Class A Common Stock they owned at the Closing, and with certain SoundHound stockholders. The Amended and Restated Registration Rights Agreement requires ATSP to, among other things, file a resale shelf registration statement on behalf of the stockholders no later than 60 days after the Closing. The Amended and Restated Registration Rights Agreement also provides certain demand registration rights and piggyback registration rights to the stockholders, subject to underwriter cutbacks and issuer blackout periods. ATSP will agree to pay certain fees and expenses relating to registrations under the Amended and Restated Registration Rights Agreement.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SoundHound’s Engagement of Guggenheim Securities</w:t>
      </w:r>
    </w:p>
    <w:p>
      <w:pPr>
        <w:spacing w:after="0" w:line="162"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In February 2021, SoundHound entered into an engagement letter (the “Guggenheim Engagement Letter”) pursuant to which SoundHound engaged Guggenheim Securities to act as (a) SoundHound’s financial advisor in connection with the Business Combination and (b) SoundHound’s capital markets advisor with respect to the PIPE Investment. Upon consummation of the Business Combination, Guggenheim Securities received certain agreed upon fees in consideration of its services pursuant to the Guggenheim Engagement Letter. In addition, SoundHound has agreed to reimburse Guggenheim Securities for certain expenses and to indemnify Guggenheim Securities against certain liabilities arising out of its engagement.</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brother of Larry Marcus, one of the members of SoundHound’s Board of Directors, is a Senior Advisor to Guggenheim Securities, a stockholder of SoundHound and a member of the Guggenheim Securities investment banking team that has been engaged by SoundHound pursuant to the Guggenheim Engagement Letter. Mr. Marcus’ brother is also an investor in SoundHound (holding less than 5% of SoundHound’s outstanding capital stock) and an advisor to SoundHound (in consideration for which advisory services he received, in 2011, options to purchase shares of SoundHound common stock. In addition, Mr. Marcus’ brother separately owns an indirect equity stake in SoundHound that represents, in aggregate with the shares of SoundHound common stock he holds after exercising the options, an equity interest of less than one half of 1% of the total outstanding capital stock of SoundHound. Mr. Marcus did not participate in SoundHound’s decision to engage Guggenheim Securities and disclosed the fact that his brother would be involved in the advisory services to be provided by Guggenheim Securities to SoundHound pursuant to the Guggenheim Engagement Letter in advance of the determination by SoundHound’s Board of Directors to engage Guggenheim Securities.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Party Transactions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SoundHound AI has adopted a written related person transaction policy that sets forth the following policies and procedures for the review and approval or ratification of related person transactions.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0" w:name="page101"/>
    <w:bookmarkEnd w:id="1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 “Related Person Transaction” is a transaction, arrangement or relationship in which SoundHound AI or any of its subsidiaries was, is or will be a participant, the amount of which involved exceeds the lesser of $120,000 or one percent of the average of SoundHound AI’s total assets at year-end for the last two completed fiscal years, and in which any related person had, has or will have a direct or indirect material interest. A “Related Person” means:</w:t>
      </w:r>
    </w:p>
    <w:p>
      <w:pPr>
        <w:spacing w:after="0" w:line="116" w:lineRule="exact"/>
        <w:rPr>
          <w:sz w:val="20"/>
          <w:szCs w:val="20"/>
          <w:color w:val="auto"/>
        </w:rPr>
      </w:pPr>
    </w:p>
    <w:p>
      <w:pPr>
        <w:ind w:left="1320" w:right="459" w:hanging="434"/>
        <w:spacing w:after="0" w:line="282" w:lineRule="auto"/>
        <w:tabs>
          <w:tab w:leader="none" w:pos="1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SoundHound AI’s officers or one of the SoundHound AI’s directors;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SoundHound AI to be the beneficial owner of more than five percent (5%) of its voting stock;</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7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5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ten percent (10%) or greater beneficial ownership interest.</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SoundHound AI will have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charter, the audit committee will have the responsibility to review related party transactions.</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All of the transactions described in this section were entered into prior to the adoption of this policy.</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Certain of the foregoing disclosures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Copies of certain of the agreements (or forms of the agreements) have been filed as exhibits to the registration statement of which this prospectus is a part, and are available electronically on the website of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Related Person Transaction Policy</w:t>
      </w:r>
    </w:p>
    <w:p>
      <w:pPr>
        <w:spacing w:after="0" w:line="162"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Effective upon the consummation of the Business Combination, SoundHound AI adopted a related person transaction policy that sets forth its procedures for the identification, review, consideration and approval or ratification of related person transactions. For purposes of SoundHound AI’s policy only, a related person transaction is a transaction, arrangement or relationship, or any series of similar transactions, arrangements or relationships, in which SoundHound AI and any related person are, were or will be participants in which the amount involved exceeds $120,000. Transactions involving compensation for services provided to SoundHound AI as an employee or director are not covered by this policy. A related person is any executive officer, director or beneficial owner of more than 5% of any class of SoundHound AI’s voting securities and any of their respective immediate family members and any entity owned or controlled by such persons.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SoundHound AI’s management must present information regarding the related person transaction to the Company’s audit committee, or, if audit committee approval would be inappropriate, to another independent body of SoundHound AI’s Board of Directors, for review, consideration and approval or ratification. The presentation must include a description of, among other things, the material facts, the interests, direct and indirect, of the related persons, the benefits to SoundHound AI of the transaction and whether the transaction is on terms that are comparable to the terms available to or from, as the case may be, an unrelated third party or to or from employees generally. Under the policy, SoundHound AI will collect information that SoundHound AI deems reasonably necessary from each director, executive officer and, to the extent feasible, significant stockholder</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1" w:name="page102"/>
    <w:bookmarkEnd w:id="1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to enable SoundHound AI to identify any existing or potential related-person transactions and to effectuate the terms of the policy. In addition, under SoundHound AI’s Code of Conduct that SoundHound AI expects to adopt prior to the Closing of this Business Combination, SoundHound AI’s employees and directors will have an affirmative responsibility to disclose any transaction or relationship that reasonably could be expected to give rise to a conflict of interest. In considering related person transactions, SoundHound AI’s audit committee, or other independent body of SoundHound AI’s Board of Directors, will take into account the relevant available facts and circumstances including, but not limited to:</w:t>
      </w:r>
    </w:p>
    <w:p>
      <w:pPr>
        <w:spacing w:after="0" w:line="121" w:lineRule="exact"/>
        <w:rPr>
          <w:sz w:val="20"/>
          <w:szCs w:val="20"/>
          <w:color w:val="auto"/>
        </w:rPr>
      </w:pPr>
    </w:p>
    <w:p>
      <w:pPr>
        <w:ind w:left="1300" w:hanging="41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costs and benefits to SoundHound AI;</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that the related person is a director, immediate family member of a director or an entity with which a director is affiliated;</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7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 or to or from employees generally.</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policy requires that, in determining whether to approve, ratify or reject a related person transaction, SoundHound AI’s audit committee, or other independent body of SoundHound AI’s Board of Directors, must consider, in light of known circumstances, whether the transaction is in, or is not inconsistent with, SoundHound AI’s best interests and those of SoundHound AI’s stockholders, as SoundHound AI’s audit committee, or other independent body of SoundHound AI’s Board of Directors, determines in the good faith exercise of its discretion.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ATSP Related Person Transactions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January 4, 2021, the Sponsor paid $25,000, or approximately $0.009 per share for 2,875,000 founder shares. Up to 375,000 founder shares were subject to forfeiture by the Sponsor depending on the extent to which the underwriters’ over-allotment option was exercised. On March 10, 2021, ATSP effected a stock dividend of 0.2 shares for each founder share outstanding, resulting in an aggregate of 3,450,000 founder shares outstanding and held by the Sponsor and ATSP’s directors (up to 450,000 of which were subject to forfeiture by the Sponsor if the underwriters’ over-allotment option were not exercised in full). On March 19, 2021, the underwriters partially exercised the over-allotment option to purchase 1,300,000 public Units. As a result, 125,000 founder shares were forfeited.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Private Units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Simultaneously with the closing of the IPO, ATSP consummated the sale of 390,000 Private Units at a price of $10.00 per Private Unit in a private placement to the Sponsor and EarlyBirdCapital, Inc., generating gross proceeds of $3,900,000. Each Private Unit consists of (i) one Subunit, which consists of one share of common stock and one-quarter of one redeemable Warrant, and (ii) one-quarter of one redeemable Warrant. ATSP granted the underwriters in the IPO a 45-day option to purchase up to 1,800,000 additional Units to cover over-allotments, if any. On March 19, 2021, the underwriters partially exercised the over-allotment option to purchase 1,300,000 Units, generating an aggregate of gross proceeds of $13,000,000. In connection with the underwriters’ exercise of their over-allotment option, ATSP also consummated the sale of an additional 26,000 Private Units at $10.00 per Private Unit to the Sponsor and EarlyBirdCapital, generating gross proceeds of $260,000.</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Promissory Note</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January 4, 2021, the Sponsor agreed to loan ATSP up to $300,000 to be used for a portion of the expenses of the IPO (the “Promissory Note”). These loans were non-interest bearing, unsecured and were due at the earlier of March 31, 2021 or the closing of the IPO.</w:t>
      </w:r>
    </w:p>
    <w:p>
      <w:pPr>
        <w:spacing w:after="0" w:line="9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February 1, 2021, the Sponsor funded to ATSP $100,000 pursuant to the Promissory Note. On February 10, 2021, the Sponsor funded to ATSP an additional $25,000 pursuant to the Promissory Note, for an aggregate amount of $125,000. On March 15, 2021, the Promissory Note in an aggregate amount of $125,000 was fully repaid by ATSP to the Sponsor.</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2" w:name="page103"/>
    <w:bookmarkEnd w:id="1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Consulting Agreement</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March 16, 2021, ATSP entered into a Consulting Agreement with Dr. Julia, a director of ATSP, pursuant to which Dr. Julia agreed to introduce to ATSP one or more potential candidates for ATSP to pursue regarding a potential business combination in exchange for a single consulting fee equal to 1.0% of the enterprise value of the target company paid in cash, not to exceed 2.0% of the Trust Account, payable concurrent with the Closing of the business combination with the target introduced by Dr. Julia. Upon the Closing, Dr. Julia was entitled to a finder’s fee of $2.66 million.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order to meet the working capital needs following the consummation of the IPO if the funds not held in the Trust Account are insufficient, the Sponsor, Initial Stockholders, officers, directors and their affiliates could have, but were not obligated to, loan ATSP funds, from time to time or at any time, in whatever amount they deem reasonable in their sole discretion.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At the closing of the Business Combination, no such working capital loans were outstanding.</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Administrative Service Fee</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Commencing on the effective date of the registration statement of the IPO through the acquisition of a target business, ATSP paid an affiliate of the Chief Executive Officer, an aggregate fee of $10,000 per month for providing ATSP with office space and certain office and secretarial services. As of December 31, 2021, ATSP had recorded $97,097 for the period from March 10, 2021 through December 31, 2021.</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Other than the foregoing, no compensation of any kind, including any reimbursement, consulting fee or monies in respect of any payment of a loan, was paid by us to the Sponsor, officers and directors, or any of their affiliates, prior to, or in connection with any services rendered in order to effectuate, the consummation of an initial business combination (regardless of the type of transaction that it is). However, these individuals were eligible to be reimbursed for any out-of-pocket expenses incurred in connection with activities on our behalf such as identifying potential target businesses and performing due diligence on suitable business combinations. Our audit committee reviewed on a quarterly basis all payments that were made to the Sponsor, officers, directors or our or their affiliates and determined which expenses and the amount of expenses that were reimbursed. There was no cap or ceiling on the reimbursement of out-of-pocket expenses incurred by such persons in connection with activities on our behalf.</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3" w:name="page104"/>
    <w:bookmarkEnd w:id="1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48"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the Company regarding beneficial ownership of shares of the Company’s Common Stock as of the Closing Date by:</w:t>
      </w:r>
    </w:p>
    <w:p>
      <w:pPr>
        <w:spacing w:after="0" w:line="94" w:lineRule="exact"/>
        <w:rPr>
          <w:sz w:val="20"/>
          <w:szCs w:val="20"/>
          <w:color w:val="auto"/>
        </w:rPr>
      </w:pPr>
    </w:p>
    <w:p>
      <w:pPr>
        <w:ind w:left="1320" w:right="459" w:hanging="434"/>
        <w:spacing w:after="0" w:line="282" w:lineRule="auto"/>
        <w:tabs>
          <w:tab w:leader="none" w:pos="135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the Company to be the beneficial owner of more than 5% of the Company’s outstanding Common Stock;</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named executive officers and directors;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as a group.</w:t>
      </w:r>
    </w:p>
    <w:p>
      <w:pPr>
        <w:spacing w:after="0" w:line="15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warrants and certain other derivative securities that are currently exercisable or will become exercisable within 60 days.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percentage of beneficial ownership is based on 196,144,941 shares of Company common stock issued and outstanding as of May13, 2022, which calculation includes (i) 155,748,341 shares of the Company’s Class A Common Stock and (ii) 40,396,600 shares of the Company’s Class B Common Stock. Voting power represents the combined voting power of shares of Class A Common Stock and Class B Common Stock owned beneficially by such person.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w:t>
      </w:r>
    </w:p>
    <w:p>
      <w:pPr>
        <w:spacing w:after="0" w:line="11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accordance with SEC rules, shares of our common stock which may be acquired upon exercise of stock options or warrants which are currently exercisable or which become exercisable within 60 days of the date of the Closing are deemed beneficially owned by the holders of such options and warrants and are deemed outstanding for the purpose of computing the percentage of ownership of such person, but are not treated as outstanding for the purpose of computing the percentage of ownership of any other person.</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Unless otherwise indicated, the business address of each of the entities, directors and executives in this table is 5400 Betsy Ross Drive, Santa Clara, CA 95054. Unless otherwise indicated and subject to community property laws and similar laws, the Company believes that all parties named in the table below have sole voting and investment power with respect to all shares of common stock beneficially owned by them.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4" w:name="page105"/>
    <w:bookmarkEnd w:id="1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Beneficial Ownership Table</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Address of</w:t>
            </w: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 of Class A</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 of Class B</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 of Total Voting</w:t>
            </w:r>
          </w:p>
        </w:tc>
        <w:tc>
          <w:tcPr>
            <w:tcW w:w="0" w:type="dxa"/>
            <w:vAlign w:val="bottom"/>
          </w:tcPr>
          <w:p>
            <w:pPr>
              <w:spacing w:after="0"/>
              <w:rPr>
                <w:sz w:val="1"/>
                <w:szCs w:val="1"/>
                <w:color w:val="auto"/>
              </w:rPr>
            </w:pPr>
          </w:p>
        </w:tc>
      </w:tr>
      <w:tr>
        <w:trPr>
          <w:trHeight w:val="212"/>
        </w:trPr>
        <w:tc>
          <w:tcPr>
            <w:tcW w:w="2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Beneficial Owners</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 Class</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 Class</w:t>
            </w:r>
          </w:p>
        </w:tc>
        <w:tc>
          <w:tcPr>
            <w:tcW w:w="126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Power</w:t>
            </w:r>
          </w:p>
        </w:tc>
        <w:tc>
          <w:tcPr>
            <w:tcW w:w="0" w:type="dxa"/>
            <w:vAlign w:val="bottom"/>
          </w:tcPr>
          <w:p>
            <w:pPr>
              <w:spacing w:after="0"/>
              <w:rPr>
                <w:sz w:val="1"/>
                <w:szCs w:val="1"/>
                <w:color w:val="auto"/>
              </w:rPr>
            </w:pPr>
          </w:p>
        </w:tc>
      </w:tr>
      <w:tr>
        <w:trPr>
          <w:trHeight w:val="46"/>
        </w:trPr>
        <w:tc>
          <w:tcPr>
            <w:tcW w:w="2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36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Directors and Executive</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Officers</w:t>
            </w: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Keyvan Mohajer</w:t>
            </w:r>
            <w:r>
              <w:rPr>
                <w:rFonts w:ascii="Times New Roman" w:cs="Times New Roman" w:eastAsia="Times New Roman" w:hAnsi="Times New Roman"/>
                <w:sz w:val="20"/>
                <w:szCs w:val="20"/>
                <w:color w:val="auto"/>
                <w:vertAlign w:val="superscript"/>
              </w:rPr>
              <w:t>(1)</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833,435</w:t>
            </w: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16,639,064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63"/>
        </w:trPr>
        <w:tc>
          <w:tcPr>
            <w:tcW w:w="2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Hom</w:t>
            </w:r>
          </w:p>
        </w:tc>
        <w:tc>
          <w:tcPr>
            <w:tcW w:w="1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5,173,780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83"/>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Larry Marcus</w:t>
            </w:r>
            <w:r>
              <w:rPr>
                <w:rFonts w:ascii="Times New Roman" w:cs="Times New Roman" w:eastAsia="Times New Roman" w:hAnsi="Times New Roman"/>
                <w:sz w:val="20"/>
                <w:szCs w:val="20"/>
                <w:color w:val="auto"/>
                <w:vertAlign w:val="superscript"/>
              </w:rPr>
              <w:t>(2)</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919,751</w:t>
            </w: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Diana Sroka</w:t>
            </w:r>
          </w:p>
        </w:tc>
        <w:tc>
          <w:tcPr>
            <w:tcW w:w="1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Eric R. Ball</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Seyed Majid Emami</w:t>
            </w:r>
            <w:r>
              <w:rPr>
                <w:rFonts w:ascii="Times New Roman" w:cs="Times New Roman" w:eastAsia="Times New Roman" w:hAnsi="Times New Roman"/>
                <w:sz w:val="20"/>
                <w:szCs w:val="20"/>
                <w:color w:val="auto"/>
                <w:vertAlign w:val="superscript"/>
              </w:rPr>
              <w:t>(3)</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666,748</w:t>
            </w:r>
          </w:p>
        </w:tc>
        <w:tc>
          <w:tcPr>
            <w:tcW w:w="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18,583,756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43"/>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Zubin Irani</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2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Stonehocker</w:t>
            </w:r>
            <w:r>
              <w:rPr>
                <w:rFonts w:ascii="Times New Roman" w:cs="Times New Roman" w:eastAsia="Times New Roman" w:hAnsi="Times New Roman"/>
                <w:sz w:val="20"/>
                <w:szCs w:val="20"/>
                <w:color w:val="auto"/>
                <w:vertAlign w:val="superscript"/>
              </w:rPr>
              <w:t>(4)</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1,508,000</w:t>
            </w:r>
          </w:p>
        </w:tc>
        <w:tc>
          <w:tcPr>
            <w:tcW w:w="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Nitesh Sharan</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Zagorsek</w:t>
            </w:r>
            <w:r>
              <w:rPr>
                <w:rFonts w:ascii="Times New Roman" w:cs="Times New Roman" w:eastAsia="Times New Roman" w:hAnsi="Times New Roman"/>
                <w:sz w:val="20"/>
                <w:szCs w:val="20"/>
                <w:color w:val="auto"/>
                <w:vertAlign w:val="superscript"/>
              </w:rPr>
              <w:t>(5)</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839,219</w:t>
            </w:r>
          </w:p>
        </w:tc>
        <w:tc>
          <w:tcPr>
            <w:tcW w:w="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46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All directors and executive</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officers as a group (10</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46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individuals)</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12,041,153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40,396,600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40"/>
        </w:trPr>
        <w:tc>
          <w:tcPr>
            <w:tcW w:w="2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Holders</w:t>
            </w: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46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Global Catalyst Partners III, L.P.</w:t>
            </w:r>
          </w:p>
        </w:tc>
        <w:tc>
          <w:tcPr>
            <w:tcW w:w="1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35,188,205</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7"/>
                <w:szCs w:val="17"/>
                <w:color w:val="auto"/>
              </w:rPr>
            </w:pPr>
          </w:p>
        </w:tc>
        <w:tc>
          <w:tcPr>
            <w:tcW w:w="13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72"/>
        </w:trPr>
        <w:tc>
          <w:tcPr>
            <w:tcW w:w="236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(6)</w:t>
            </w: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860" w:hanging="406"/>
        <w:spacing w:after="0"/>
        <w:tabs>
          <w:tab w:leader="none" w:pos="86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6" w:lineRule="exact"/>
        <w:rPr>
          <w:sz w:val="20"/>
          <w:szCs w:val="20"/>
          <w:color w:val="auto"/>
        </w:rPr>
      </w:pPr>
    </w:p>
    <w:p>
      <w:pPr>
        <w:ind w:left="880" w:right="479" w:hanging="426"/>
        <w:spacing w:after="0" w:line="264" w:lineRule="auto"/>
        <w:tabs>
          <w:tab w:leader="none" w:pos="949"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833,435 shares of Class A Common Stock, issuable upon exercise of stock options which are currently exercisable.</w:t>
      </w:r>
    </w:p>
    <w:p>
      <w:pPr>
        <w:jc w:val="both"/>
        <w:ind w:left="880" w:right="459" w:hanging="426"/>
        <w:spacing w:after="0" w:line="264" w:lineRule="auto"/>
        <w:tabs>
          <w:tab w:leader="none" w:pos="961"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securities held by Marcus Family Trust, dated 7/8/04, of which Larry Marcus is a trustee. Mr. Marcus disclaims beneficial ownership of these shares except to the extent of any pecuniary interest he may have therein. Does not include securities held of record by Walden Sprout Opportunities Fund-A, LLC. Because Larry Marcus is one of three managing members of such Fund, he is not deemed to be a beneficial owner of the securities held by such Fund. Mr. Marcus’s business address is 2105 Woodside Rd, Woodside, CA 94062.</w:t>
      </w:r>
    </w:p>
    <w:p>
      <w:pPr>
        <w:ind w:left="880" w:right="479" w:hanging="426"/>
        <w:spacing w:after="0" w:line="264" w:lineRule="auto"/>
        <w:tabs>
          <w:tab w:leader="none" w:pos="949"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666,748 shares of Class A Common Stock, issuable upon exercise of stock options which are currently exercisable.</w:t>
      </w:r>
    </w:p>
    <w:p>
      <w:pPr>
        <w:ind w:left="880" w:hanging="426"/>
        <w:spacing w:after="0"/>
        <w:tabs>
          <w:tab w:leader="none" w:pos="8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757,037 shares subject to options that are exercisable within 60 days.</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839,219 shares subject to options that are exercisable within 60 days.</w:t>
      </w:r>
    </w:p>
    <w:p>
      <w:pPr>
        <w:spacing w:after="0" w:line="18" w:lineRule="exact"/>
        <w:rPr>
          <w:rFonts w:ascii="Times New Roman" w:cs="Times New Roman" w:eastAsia="Times New Roman" w:hAnsi="Times New Roman"/>
          <w:sz w:val="16"/>
          <w:szCs w:val="16"/>
          <w:color w:val="auto"/>
        </w:rPr>
      </w:pPr>
    </w:p>
    <w:p>
      <w:pPr>
        <w:jc w:val="both"/>
        <w:ind w:left="880" w:right="459" w:hanging="426"/>
        <w:spacing w:after="0" w:line="276" w:lineRule="auto"/>
        <w:tabs>
          <w:tab w:leader="none" w:pos="913"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Global Catalyst Venture Management III, LLC (“GCVM, III”) is the General Partner of Global Catalyst Partners III, L.P. None of the four managing members of GCVM III is deemed to have or share beneficial ownership with respect to such shares. The business address of Global Catalyst Partners III, L.P. is 309 Quinnhill Road, Los Altos, CA 94024.</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5" w:name="page106"/>
    <w:bookmarkEnd w:id="1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prospectus relates to the offer and resale of an aggregate of up to (i) 56,834,904 Class A Shares by Selling Securityholders (ii) the resale by certain of our affiliates from time to time of up to 40,396,600 Class A Shares issuable upon conversion of shares of Class B Shares, (iii) the resale from time to time of up to 208,000 Placement Warrants and (iv) the issuance by us of up to 6,858,000 Class A Shares upon the exercise of outstanding Public Warrants and Placement Warrants. The Selling Securityholders may from time to time offer and sell any or all of the shares of Class A Common Stock and Warrants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Class A Common Stock or Warrants other than through a public sale. We are also registering the issuance of shares of Class A Common Stock issuable on exercise of Warrants as required by the Warrant Agreement by and between ATSP and Continental Stock Transfer &amp; Trust Company.</w:t>
      </w:r>
    </w:p>
    <w:p>
      <w:pPr>
        <w:spacing w:after="0" w:line="12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table below lists the Selling Securityholders and other information regarding the beneficial ownership of the shares of Common Stock by each of the Selling Securityholders. Percentage of beneficial ownership of shares of Class A Common Stock by a Selling Securityholder after this offering is based on 155,748,341 shares of Class A Common Stock issued and outstanding on May 13, 2022. Additionally, in determining the percentage beneficial ownership of shares of Class A Common Stock of a Selling Securityholder shares of Class A Common Stock issuable to such Selling Securityholder upon the exercise of stock options are included in the number of issued and outstanding shares of Class A Common Stock for such Selling Securityholder, but not stock options held by any other Selling Securityholder.</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cannot advise you as to whether the Selling Securityholders will in fact sell any or all of such securities. In particular, the Selling Securityholders identified below may have sold, transferred or otherwise disposed of all or a portion of their securities after the date on which they provided us with information regarding their securities. Any changed or new information given to us by the Selling Securityholders, including regarding the identity of, and the securities held by, each Selling Securityholder, will be set forth in a prospectus supplement or amendments to the registration statement of which this prospectus is a part, if and when necessary.</w:t>
      </w:r>
    </w:p>
    <w:p>
      <w:pPr>
        <w:spacing w:after="0" w:line="106"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further information regarding the Selling Securityholders’ method of distributing these securities.</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5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500" w:type="dxa"/>
            <w:vAlign w:val="bottom"/>
            <w:gridSpan w:val="4"/>
            <w:vMerge w:val="continue"/>
          </w:tcPr>
          <w:p>
            <w:pPr>
              <w:spacing w:after="0"/>
              <w:rPr>
                <w:sz w:val="12"/>
                <w:szCs w:val="12"/>
                <w:color w:val="auto"/>
              </w:rPr>
            </w:pPr>
          </w:p>
        </w:tc>
        <w:tc>
          <w:tcPr>
            <w:tcW w:w="2940" w:type="dxa"/>
            <w:vAlign w:val="bottom"/>
            <w:gridSpan w:val="7"/>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Securities Beneficially Owned</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w:t>
            </w:r>
          </w:p>
        </w:tc>
        <w:tc>
          <w:tcPr>
            <w:tcW w:w="150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to be Sold</w:t>
            </w:r>
          </w:p>
        </w:tc>
        <w:tc>
          <w:tcPr>
            <w:tcW w:w="294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 this Offering</w:t>
            </w:r>
          </w:p>
        </w:tc>
        <w:tc>
          <w:tcPr>
            <w:tcW w:w="15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this Offering</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after this Offering</w:t>
            </w:r>
            <w:r>
              <w:rPr>
                <w:rFonts w:ascii="Times New Roman" w:cs="Times New Roman" w:eastAsia="Times New Roman" w:hAnsi="Times New Roman"/>
                <w:sz w:val="14"/>
                <w:szCs w:val="14"/>
                <w:b w:val="1"/>
                <w:bCs w:val="1"/>
                <w:color w:val="auto"/>
                <w:vertAlign w:val="superscript"/>
              </w:rPr>
              <w:t>(1)</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top w:val="single" w:sz="8" w:color="auto"/>
            </w:tcBorders>
            <w:gridSpan w:val="2"/>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Borders>
              <w:top w:val="single" w:sz="8" w:color="auto"/>
            </w:tcBorders>
            <w:gridSpan w:val="2"/>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top w:val="single" w:sz="8" w:color="auto"/>
            </w:tcBorders>
            <w:gridSpan w:val="2"/>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6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Names and Addresses</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6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Percentage Warrants</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0"/>
        </w:trPr>
        <w:tc>
          <w:tcPr>
            <w:tcW w:w="2120" w:type="dxa"/>
            <w:vAlign w:val="bottom"/>
            <w:gridSpan w:val="2"/>
            <w:vMerge w:val="continue"/>
          </w:tcPr>
          <w:p>
            <w:pPr>
              <w:spacing w:after="0"/>
              <w:rPr>
                <w:sz w:val="16"/>
                <w:szCs w:val="16"/>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60" w:type="dxa"/>
            <w:vAlign w:val="bottom"/>
            <w:gridSpan w:val="2"/>
            <w:vMerge w:val="continue"/>
          </w:tcPr>
          <w:p>
            <w:pPr>
              <w:spacing w:after="0"/>
              <w:rPr>
                <w:sz w:val="16"/>
                <w:szCs w:val="16"/>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gridSpan w:val="2"/>
            <w:vMerge w:val="continue"/>
          </w:tcPr>
          <w:p>
            <w:pPr>
              <w:spacing w:after="0"/>
              <w:rPr>
                <w:sz w:val="16"/>
                <w:szCs w:val="16"/>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60" w:type="dxa"/>
            <w:vAlign w:val="bottom"/>
            <w:gridSpan w:val="4"/>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Al Gassar International Limited</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1,000,000</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1,000,000</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0"/>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Amy Kaufman</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2,400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Andrew Jordan</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75,000</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12,500</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75,000</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12,500</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0"/>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Arvind Reddy Ramalingam</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7,500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1,250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7,500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1,250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Balasubramanya Bhat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30,000</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5,000</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30,000</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0"/>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Blythe Elizabeth Edwards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97,676</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6,037</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97,676</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6,037</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Brent Callinicos</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75,000</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75,000</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0"/>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Bryant B. Edwards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181,399</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11,213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181,399</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11,213</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CDRD Irrevocable Trust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248,000</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248,000</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0"/>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Christy Albeck</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30,000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30,000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Colleen McGlynn</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2,400</w:t>
            </w: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0"/>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CPS 2022 Trust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204,250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204,250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Daniel L. Sheehan</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100,000</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100,000</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0"/>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David Nussbaum</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54,000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54,000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Cota Capital Master Fund, L.P.</w:t>
            </w:r>
            <w:r>
              <w:rPr>
                <w:rFonts w:ascii="Times New Roman" w:cs="Times New Roman" w:eastAsia="Times New Roman" w:hAnsi="Times New Roman"/>
                <w:sz w:val="21"/>
                <w:szCs w:val="21"/>
                <w:color w:val="auto"/>
                <w:vertAlign w:val="superscript"/>
              </w:rPr>
              <w:t>(2)</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2,038,601</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300,000</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1,738,601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5"/>
        </w:trPr>
        <w:tc>
          <w:tcPr>
            <w:tcW w:w="212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Delphi Asset Management</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Corporation</w:t>
            </w:r>
            <w:r>
              <w:rPr>
                <w:rFonts w:ascii="Times New Roman" w:cs="Times New Roman" w:eastAsia="Times New Roman" w:hAnsi="Times New Roman"/>
                <w:sz w:val="21"/>
                <w:szCs w:val="21"/>
                <w:color w:val="auto"/>
                <w:vertAlign w:val="superscript"/>
              </w:rPr>
              <w:t>(2)</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5,000,000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5,000,000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4"/>
        </w:trPr>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Doug Rogers</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2,400</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2,400</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 Keyvan Mohajer</w:t>
            </w:r>
            <w:r>
              <w:rPr>
                <w:rFonts w:ascii="Times New Roman" w:cs="Times New Roman" w:eastAsia="Times New Roman" w:hAnsi="Times New Roman"/>
                <w:sz w:val="21"/>
                <w:szCs w:val="21"/>
                <w:color w:val="auto"/>
                <w:vertAlign w:val="superscript"/>
              </w:rPr>
              <w:t>(3)</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17,472,499</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17,472,499</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Dr. Majid Emami</w:t>
            </w:r>
            <w:r>
              <w:rPr>
                <w:rFonts w:ascii="Times New Roman" w:cs="Times New Roman" w:eastAsia="Times New Roman" w:hAnsi="Times New Roman"/>
                <w:sz w:val="21"/>
                <w:szCs w:val="21"/>
                <w:color w:val="auto"/>
                <w:vertAlign w:val="superscript"/>
              </w:rPr>
              <w:t>(4)</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19,250,504</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19,250,504</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4"/>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EarlyBirdCapital, Inc.</w:t>
            </w:r>
            <w:r>
              <w:rPr>
                <w:rFonts w:ascii="Times New Roman" w:cs="Times New Roman" w:eastAsia="Times New Roman" w:hAnsi="Times New Roman"/>
                <w:sz w:val="21"/>
                <w:szCs w:val="21"/>
                <w:color w:val="auto"/>
                <w:vertAlign w:val="superscript"/>
              </w:rPr>
              <w:t>(5)</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251,300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33,250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251,300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33,250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3"/>
        </w:trPr>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Ed Kovary</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30,000</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30,000</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0"/>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Eileen Moore</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2,400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2,400</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bl>
    <w:p>
      <w:pPr>
        <w:spacing w:after="0" w:line="181" w:lineRule="exact"/>
        <w:rPr>
          <w:sz w:val="20"/>
          <w:szCs w:val="20"/>
          <w:color w:val="auto"/>
        </w:rPr>
      </w:pPr>
    </w:p>
    <w:p>
      <w:pPr>
        <w:sectPr>
          <w:pgSz w:w="11900" w:h="16838" w:orient="portrait"/>
          <w:cols w:equalWidth="0" w:num="1">
            <w:col w:w="9019"/>
          </w:cols>
          <w:pgMar w:left="1440" w:top="270" w:right="1440" w:bottom="339"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339" w:gutter="0" w:footer="0" w:header="0"/>
          <w:type w:val="continuous"/>
        </w:sectPr>
      </w:pPr>
    </w:p>
    <w:bookmarkStart w:id="106" w:name="page107"/>
    <w:bookmarkEnd w:id="106"/>
    <w:p>
      <w:pPr>
        <w:spacing w:after="0" w:line="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5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500" w:type="dxa"/>
            <w:vAlign w:val="bottom"/>
            <w:gridSpan w:val="4"/>
            <w:vMerge w:val="continue"/>
          </w:tcPr>
          <w:p>
            <w:pPr>
              <w:spacing w:after="0"/>
              <w:rPr>
                <w:sz w:val="12"/>
                <w:szCs w:val="12"/>
                <w:color w:val="auto"/>
              </w:rPr>
            </w:pPr>
          </w:p>
        </w:tc>
        <w:tc>
          <w:tcPr>
            <w:tcW w:w="2940" w:type="dxa"/>
            <w:vAlign w:val="bottom"/>
            <w:gridSpan w:val="7"/>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Securities Beneficially Owned</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w:t>
            </w:r>
          </w:p>
        </w:tc>
        <w:tc>
          <w:tcPr>
            <w:tcW w:w="150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to be Sold</w:t>
            </w:r>
          </w:p>
        </w:tc>
        <w:tc>
          <w:tcPr>
            <w:tcW w:w="294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 this Offering</w:t>
            </w:r>
          </w:p>
        </w:tc>
        <w:tc>
          <w:tcPr>
            <w:tcW w:w="15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this Offering</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after this Offering</w:t>
            </w:r>
            <w:r>
              <w:rPr>
                <w:rFonts w:ascii="Times New Roman" w:cs="Times New Roman" w:eastAsia="Times New Roman" w:hAnsi="Times New Roman"/>
                <w:sz w:val="14"/>
                <w:szCs w:val="14"/>
                <w:b w:val="1"/>
                <w:bCs w:val="1"/>
                <w:color w:val="auto"/>
                <w:vertAlign w:val="superscript"/>
              </w:rPr>
              <w:t>(1)</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top w:val="single" w:sz="8" w:color="auto"/>
            </w:tcBorders>
            <w:gridSpan w:val="2"/>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Borders>
              <w:top w:val="single" w:sz="8" w:color="auto"/>
            </w:tcBorders>
            <w:gridSpan w:val="2"/>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top w:val="single" w:sz="8" w:color="auto"/>
            </w:tcBorders>
            <w:gridSpan w:val="2"/>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6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Names and Addresses</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6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Percentage Warrants</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0"/>
        </w:trPr>
        <w:tc>
          <w:tcPr>
            <w:tcW w:w="2120" w:type="dxa"/>
            <w:vAlign w:val="bottom"/>
            <w:gridSpan w:val="2"/>
            <w:vMerge w:val="continue"/>
          </w:tcPr>
          <w:p>
            <w:pPr>
              <w:spacing w:after="0"/>
              <w:rPr>
                <w:sz w:val="16"/>
                <w:szCs w:val="16"/>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60" w:type="dxa"/>
            <w:vAlign w:val="bottom"/>
            <w:gridSpan w:val="2"/>
            <w:vMerge w:val="continue"/>
          </w:tcPr>
          <w:p>
            <w:pPr>
              <w:spacing w:after="0"/>
              <w:rPr>
                <w:sz w:val="16"/>
                <w:szCs w:val="16"/>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gridSpan w:val="2"/>
            <w:vMerge w:val="continue"/>
          </w:tcPr>
          <w:p>
            <w:pPr>
              <w:spacing w:after="0"/>
              <w:rPr>
                <w:sz w:val="16"/>
                <w:szCs w:val="16"/>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60" w:type="dxa"/>
            <w:vAlign w:val="bottom"/>
            <w:gridSpan w:val="4"/>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Eyal Gutkind</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15,000</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2,500</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15,000</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2,500</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0"/>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Gleeson Cox</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2,400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1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Global Catalyst</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Partners III, L.P.</w:t>
            </w:r>
            <w:r>
              <w:rPr>
                <w:rFonts w:ascii="Times New Roman" w:cs="Times New Roman" w:eastAsia="Times New Roman" w:hAnsi="Times New Roman"/>
                <w:sz w:val="21"/>
                <w:szCs w:val="21"/>
                <w:color w:val="auto"/>
                <w:vertAlign w:val="superscript"/>
              </w:rPr>
              <w:t>(2)(6)</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35,188,205</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35,188,205</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0"/>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Gopi Rao</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15,000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2,500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15,000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Gregory Stoupnitzky</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3,600</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3,600</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0"/>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Harald Link</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200,000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200,000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HTC (BVI) Corp.</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5,931.938</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100,000</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5,831,938</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0"/>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IB CAPITAL PR LLC</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100,000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Jackie Chang</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1,800</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1,800</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0"/>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Jagannadha Sri Harsha Putrevu</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15,000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2,500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15,000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Jalender Reddy Musku</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7,500</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1,250</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7,500</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1,250</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0"/>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Jennifer Wade</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30,000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5,000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30,000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Jillian Carter</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2,400</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2,400</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Joe Mongiello</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1,800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Kai Ming Chan</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50,000</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50,000</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0"/>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Laxminarayan Chavani</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7,500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1,250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7,500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1,250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 Long</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484,963</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484,963</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0"/>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Lorenzen Family Holdings, LLC</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15,000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2,500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15,000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Luc Julia</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25,000</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25,000</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James Hom</w:t>
            </w:r>
            <w:r>
              <w:rPr>
                <w:rFonts w:ascii="Times New Roman" w:cs="Times New Roman" w:eastAsia="Times New Roman" w:hAnsi="Times New Roman"/>
                <w:sz w:val="21"/>
                <w:szCs w:val="21"/>
                <w:color w:val="auto"/>
                <w:vertAlign w:val="superscript"/>
              </w:rPr>
              <w:t>(7)</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5,173,780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5,173,780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4"/>
        </w:trPr>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Jennifer Wade</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30,000</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5,000</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30,000</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0"/>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M&amp;F Fund I LP</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225,000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37,500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225,000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37,500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Maheedhar Gunturu</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40,000</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2,500</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40,000</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2,500</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0"/>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Marc Van Tricht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18,000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18,000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 Cangemi</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1,200</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1,200</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12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Marcus Family Trust, dated</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7/8/04</w:t>
            </w:r>
            <w:r>
              <w:rPr>
                <w:rFonts w:ascii="Times New Roman" w:cs="Times New Roman" w:eastAsia="Times New Roman" w:hAnsi="Times New Roman"/>
                <w:sz w:val="21"/>
                <w:szCs w:val="21"/>
                <w:color w:val="auto"/>
                <w:vertAlign w:val="superscript"/>
              </w:rPr>
              <w:t>(8)</w:t>
            </w:r>
          </w:p>
        </w:tc>
        <w:tc>
          <w:tcPr>
            <w:tcW w:w="12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919,751</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919,751</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3"/>
        </w:trPr>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Mauro Conijeski</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3,600</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3,600</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0"/>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Mayank Kaul</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15,000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2,500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15,000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Melvin Honda</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5,000</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0"/>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Meteora Capital Partners, LP</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225,000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37,500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225,000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37,500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Zagorsek</w:t>
            </w:r>
            <w:r>
              <w:rPr>
                <w:rFonts w:ascii="Times New Roman" w:cs="Times New Roman" w:eastAsia="Times New Roman" w:hAnsi="Times New Roman"/>
                <w:sz w:val="21"/>
                <w:szCs w:val="21"/>
                <w:color w:val="auto"/>
                <w:vertAlign w:val="superscript"/>
              </w:rPr>
              <w:t>(9)</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1,139,030</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1,139,030</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0"/>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Mike Zabaneh</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MKaNN LLC</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3,198,444</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100,000</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3,098,444</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0"/>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Naveen Adibhatla</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30,000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2,500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30,000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Nikesh Mukesh Jain</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15,000</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2,500</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15,000</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2,500</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4"/>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Nitesh Sharan</w:t>
            </w:r>
            <w:r>
              <w:rPr>
                <w:rFonts w:ascii="Times New Roman" w:cs="Times New Roman" w:eastAsia="Times New Roman" w:hAnsi="Times New Roman"/>
                <w:sz w:val="21"/>
                <w:szCs w:val="21"/>
                <w:color w:val="auto"/>
                <w:vertAlign w:val="superscript"/>
              </w:rPr>
              <w:t>(10)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308,677</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308,677</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6"/>
        </w:trPr>
        <w:tc>
          <w:tcPr>
            <w:tcW w:w="21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Pai Family Irrevocable Trust,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30,000</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5,000</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30,000</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92"/>
        </w:trPr>
        <w:tc>
          <w:tcPr>
            <w:tcW w:w="2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dated 02-22-2021</w:t>
            </w: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Patanjali Peri</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15,000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2,500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15,000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Patrick Jordan</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15,000</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2,500</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15,000</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2,500</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0"/>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Pavan Reddy</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15,000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2,500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15,000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Pejman Capital, LLC</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496,293</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100,000</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396,293</w:t>
            </w:r>
          </w:p>
        </w:tc>
        <w:tc>
          <w:tcPr>
            <w:tcW w:w="6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0"/>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Provco Ventures I, LP</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100,000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QFB Tech LP</w:t>
            </w:r>
            <w:r>
              <w:rPr>
                <w:rFonts w:ascii="Times New Roman" w:cs="Times New Roman" w:eastAsia="Times New Roman" w:hAnsi="Times New Roman"/>
                <w:sz w:val="21"/>
                <w:szCs w:val="21"/>
                <w:color w:val="auto"/>
                <w:vertAlign w:val="superscript"/>
              </w:rPr>
              <w:t>(2)</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2,000,000</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2,000,000</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0"/>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Qualcomm Ventures LLC</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500,000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500,000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Rajan Pai</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25,000</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25,000</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0"/>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Ralph Kuskye Jr.</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25,000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25,000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Richard Michael Powell</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48,000</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48,000</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0"/>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Robert Gladstone</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3,600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Ronald Perkes</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2,000</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2,000</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0"/>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Sasidhar Gunturu</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15,000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2,500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15,000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Seshu Kalluri</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22,500</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3,750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22,500</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3,750</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4"/>
        </w:trPr>
        <w:tc>
          <w:tcPr>
            <w:tcW w:w="2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64" w:orient="portrait"/>
          <w:cols w:equalWidth="0" w:num="1">
            <w:col w:w="9019"/>
          </w:cols>
          <w:pgMar w:left="1440" w:top="270" w:right="1440" w:bottom="0" w:gutter="0" w:footer="0" w:header="0"/>
        </w:sectPr>
      </w:pPr>
    </w:p>
    <w:bookmarkStart w:id="107" w:name="page108"/>
    <w:bookmarkEnd w:id="107"/>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Sharny Cherie Kieser</w:t>
            </w:r>
          </w:p>
        </w:tc>
        <w:tc>
          <w:tcPr>
            <w:tcW w:w="10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15,000</w:t>
            </w: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2,500</w:t>
            </w:r>
          </w:p>
        </w:tc>
        <w:tc>
          <w:tcPr>
            <w:tcW w:w="9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15,000</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2,500</w:t>
            </w:r>
          </w:p>
        </w:tc>
        <w:tc>
          <w:tcPr>
            <w:tcW w:w="8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18"/>
        </w:trPr>
        <w:tc>
          <w:tcPr>
            <w:tcW w:w="19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SOMPO Light Vortex Inc.</w:t>
            </w:r>
          </w:p>
        </w:tc>
        <w:tc>
          <w:tcPr>
            <w:tcW w:w="10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100,000</w:t>
            </w: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100,000</w:t>
            </w: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0"/>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Sophia Laurice Casey Cannon</w:t>
            </w:r>
          </w:p>
        </w:tc>
        <w:tc>
          <w:tcPr>
            <w:tcW w:w="10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25,000</w:t>
            </w: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25,000</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1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Spring Creek Capital, LLC</w:t>
            </w:r>
          </w:p>
        </w:tc>
        <w:tc>
          <w:tcPr>
            <w:tcW w:w="10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1,500,000</w:t>
            </w: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1,500,000</w:t>
            </w: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0"/>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Stephen N. Cannon</w:t>
            </w:r>
          </w:p>
        </w:tc>
        <w:tc>
          <w:tcPr>
            <w:tcW w:w="10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34,962</w:t>
            </w: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34,962</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1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Steven Levine</w:t>
            </w:r>
          </w:p>
        </w:tc>
        <w:tc>
          <w:tcPr>
            <w:tcW w:w="10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54,000</w:t>
            </w: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54,000</w:t>
            </w: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6"/>
        </w:trPr>
        <w:tc>
          <w:tcPr>
            <w:tcW w:w="19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Structural Capital</w:t>
            </w:r>
          </w:p>
        </w:tc>
        <w:tc>
          <w:tcPr>
            <w:tcW w:w="10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279,394</w:t>
            </w: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100,000</w:t>
            </w: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179,394</w:t>
            </w:r>
          </w:p>
        </w:tc>
        <w:tc>
          <w:tcPr>
            <w:tcW w:w="72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8"/>
        </w:trPr>
        <w:tc>
          <w:tcPr>
            <w:tcW w:w="1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Investments III, LP</w:t>
            </w:r>
          </w:p>
        </w:tc>
        <w:tc>
          <w:tcPr>
            <w:tcW w:w="10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Subramanian Srinivasan</w:t>
            </w:r>
          </w:p>
        </w:tc>
        <w:tc>
          <w:tcPr>
            <w:tcW w:w="10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30,000</w:t>
            </w: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5,000</w:t>
            </w:r>
          </w:p>
        </w:tc>
        <w:tc>
          <w:tcPr>
            <w:tcW w:w="9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30,000</w:t>
            </w: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5,000</w:t>
            </w:r>
          </w:p>
        </w:tc>
        <w:tc>
          <w:tcPr>
            <w:tcW w:w="8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19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8" w:name="page109"/>
    <w:bookmarkEnd w:id="1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8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480" w:type="dxa"/>
            <w:vAlign w:val="bottom"/>
            <w:gridSpan w:val="4"/>
            <w:vMerge w:val="continue"/>
          </w:tcPr>
          <w:p>
            <w:pPr>
              <w:spacing w:after="0"/>
              <w:rPr>
                <w:sz w:val="12"/>
                <w:szCs w:val="12"/>
                <w:color w:val="auto"/>
              </w:rPr>
            </w:pPr>
          </w:p>
        </w:tc>
        <w:tc>
          <w:tcPr>
            <w:tcW w:w="2960" w:type="dxa"/>
            <w:vAlign w:val="bottom"/>
            <w:gridSpan w:val="7"/>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Securities Beneficially Owned</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w:t>
            </w:r>
          </w:p>
        </w:tc>
        <w:tc>
          <w:tcPr>
            <w:tcW w:w="148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to be Sold</w:t>
            </w:r>
          </w:p>
        </w:tc>
        <w:tc>
          <w:tcPr>
            <w:tcW w:w="29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 this Offering</w:t>
            </w:r>
          </w:p>
        </w:tc>
        <w:tc>
          <w:tcPr>
            <w:tcW w:w="14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this Offering</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after this Offering</w:t>
            </w:r>
            <w:r>
              <w:rPr>
                <w:rFonts w:ascii="Times New Roman" w:cs="Times New Roman" w:eastAsia="Times New Roman" w:hAnsi="Times New Roman"/>
                <w:sz w:val="14"/>
                <w:szCs w:val="14"/>
                <w:b w:val="1"/>
                <w:bCs w:val="1"/>
                <w:color w:val="auto"/>
                <w:vertAlign w:val="superscript"/>
              </w:rPr>
              <w:t>(1)</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top w:val="single" w:sz="8" w:color="auto"/>
            </w:tcBorders>
            <w:gridSpan w:val="2"/>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Borders>
              <w:top w:val="single" w:sz="8" w:color="auto"/>
            </w:tcBorders>
            <w:gridSpan w:val="2"/>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top w:val="single" w:sz="8" w:color="auto"/>
            </w:tcBorders>
            <w:gridSpan w:val="2"/>
          </w:tcPr>
          <w:p>
            <w:pPr>
              <w:jc w:val="center"/>
              <w:ind w:right="80"/>
              <w:spacing w:after="0" w:line="124"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7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Names and Addresses</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0"/>
        </w:trPr>
        <w:tc>
          <w:tcPr>
            <w:tcW w:w="2120" w:type="dxa"/>
            <w:vAlign w:val="bottom"/>
            <w:gridSpan w:val="2"/>
            <w:vMerge w:val="continue"/>
          </w:tcPr>
          <w:p>
            <w:pPr>
              <w:spacing w:after="0"/>
              <w:rPr>
                <w:sz w:val="16"/>
                <w:szCs w:val="16"/>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60" w:type="dxa"/>
            <w:vAlign w:val="bottom"/>
            <w:gridSpan w:val="2"/>
            <w:vMerge w:val="continue"/>
          </w:tcPr>
          <w:p>
            <w:pPr>
              <w:spacing w:after="0"/>
              <w:rPr>
                <w:sz w:val="16"/>
                <w:szCs w:val="16"/>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gridSpan w:val="2"/>
            <w:vMerge w:val="continue"/>
          </w:tcPr>
          <w:p>
            <w:pPr>
              <w:spacing w:after="0"/>
              <w:rPr>
                <w:sz w:val="16"/>
                <w:szCs w:val="16"/>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The Ball Axline Living Trust,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dated July 22, 2014</w:t>
            </w:r>
            <w:r>
              <w:rPr>
                <w:rFonts w:ascii="Times New Roman" w:cs="Times New Roman" w:eastAsia="Times New Roman" w:hAnsi="Times New Roman"/>
                <w:sz w:val="21"/>
                <w:szCs w:val="21"/>
                <w:color w:val="auto"/>
                <w:vertAlign w:val="superscript"/>
              </w:rPr>
              <w:t>(11)</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560,250</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560,250</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6"/>
        </w:trPr>
        <w:tc>
          <w:tcPr>
            <w:tcW w:w="21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The Kollengode Family Trust,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30,000</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5,000</w:t>
            </w: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30,000</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5,000</w:t>
            </w:r>
          </w:p>
        </w:tc>
        <w:tc>
          <w:tcPr>
            <w:tcW w:w="7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8"/>
        </w:trPr>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dated April 8, 2022</w:t>
            </w:r>
          </w:p>
        </w:tc>
        <w:tc>
          <w:tcPr>
            <w:tcW w:w="7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Timothy Stonehocker</w:t>
            </w:r>
            <w:r>
              <w:rPr>
                <w:rFonts w:ascii="Times New Roman" w:cs="Times New Roman" w:eastAsia="Times New Roman" w:hAnsi="Times New Roman"/>
                <w:sz w:val="21"/>
                <w:szCs w:val="21"/>
                <w:color w:val="auto"/>
                <w:vertAlign w:val="superscript"/>
              </w:rPr>
              <w:t>(12)</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1,556,621</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1,556,621</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0"/>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Tracey Fezza</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1,200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VIZIO Investments LLC</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100,000</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100,000</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0"/>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Vijay Parthasarathy</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15,000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2,500</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15,000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2,500</w:t>
            </w: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Vishwesh Pai</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55,000</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2,500</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55,000</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2,500</w:t>
            </w: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5"/>
        </w:trPr>
        <w:tc>
          <w:tcPr>
            <w:tcW w:w="212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Walden Sprout Opportunities</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Fund-A, LLC</w:t>
            </w:r>
            <w:r>
              <w:rPr>
                <w:rFonts w:ascii="Times New Roman" w:cs="Times New Roman" w:eastAsia="Times New Roman" w:hAnsi="Times New Roman"/>
                <w:sz w:val="21"/>
                <w:szCs w:val="21"/>
                <w:color w:val="auto"/>
                <w:vertAlign w:val="superscript"/>
              </w:rPr>
              <w:t>(13)</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525,650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525,650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4"/>
        </w:trPr>
        <w:tc>
          <w:tcPr>
            <w:tcW w:w="2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Wing Yee Teresa Yeung</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375,000</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375,000</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0"/>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Worthy Ray Limited</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100,000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100,000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Zubin Irani</w:t>
            </w:r>
            <w:r>
              <w:rPr>
                <w:rFonts w:ascii="Times New Roman" w:cs="Times New Roman" w:eastAsia="Times New Roman" w:hAnsi="Times New Roman"/>
                <w:sz w:val="21"/>
                <w:szCs w:val="21"/>
                <w:color w:val="auto"/>
                <w:vertAlign w:val="superscript"/>
              </w:rPr>
              <w:t>(14)</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205,787</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205,787</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51"/>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860" w:hanging="406"/>
        <w:spacing w:after="0"/>
        <w:tabs>
          <w:tab w:leader="none" w:pos="86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6" w:lineRule="exact"/>
        <w:rPr>
          <w:sz w:val="20"/>
          <w:szCs w:val="20"/>
          <w:color w:val="auto"/>
        </w:rPr>
      </w:pPr>
    </w:p>
    <w:p>
      <w:pPr>
        <w:jc w:val="both"/>
        <w:ind w:left="880" w:right="459" w:hanging="426"/>
        <w:spacing w:after="0" w:line="264" w:lineRule="auto"/>
        <w:tabs>
          <w:tab w:leader="none" w:pos="892"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do not know when or in what amounts the Selling Securityholders will offer the resale securities for sale, if at all. The Selling Securityholders may sell any or all of the resale securities included in and offered by this prospectus. We cannot estimate the number of resale securities that will be held by the Selling Securityholders after completion of the offering. However, for purposes of this table, we have assumed that after completion of the offering all of the resale securities will have been sold by the Selling Securityholders.</w:t>
      </w:r>
    </w:p>
    <w:p>
      <w:pPr>
        <w:ind w:left="880" w:right="479" w:hanging="426"/>
        <w:spacing w:after="0" w:line="264" w:lineRule="auto"/>
        <w:tabs>
          <w:tab w:leader="none" w:pos="931"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securities are being registered in accordance with the terms of Subscription Agreements dated November 15, 2021 and April 9, 2022, by and between the Company and certain accredited investors.</w:t>
      </w:r>
    </w:p>
    <w:p>
      <w:pPr>
        <w:jc w:val="both"/>
        <w:ind w:left="880" w:right="459" w:hanging="426"/>
        <w:spacing w:after="0" w:line="267" w:lineRule="auto"/>
        <w:tabs>
          <w:tab w:leader="none" w:pos="926"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16,639,064 shares of Class A Common Stock issuable upon conversion of 16,639,064 shares of Class B Common Stock of SoundHound AI. These securities are subject to a contractual lock-up for 12 months following the Closing, subject to limited exceptions, and are being registered in accordance with the terms of an Amended and Restated Registration Rights Agreement, dated as of April 26, 2022, by and between the Company, the Selling Securityholder and the other parties thereto. Also represents 833,435 shares of Class A Common Stock issuable upon exercise of stock options issued pursuant to the Merger Agreement in exchange for SoundHound options granted on February 3, 2012 and March 28, 2017. The shares subject to the option vested 100% at grant date. Dr. Keyvan Mohajer has served as the Chief Executive Officer and a member of the board of directors of the Company since the Closing.</w:t>
      </w:r>
    </w:p>
    <w:p>
      <w:pPr>
        <w:spacing w:after="0" w:line="185"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926"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18,583,756 shares of Class A Common Stock issuable upon conversion of 18,583,756 shares of Class B Common Stock of SoundHound AI. These securities are subject to a contractual lock-up for 6 months following the Closing, subject to limited exceptions, and are being registered in accordance with the terms of an Amended and Restated Registration Rights Agreement, dated as of April 26, 2022, by and between the Company, the Selling Securityholder and the other parties thereto. Also represents 666,748 shares of Class A Common Stock issuable upon exercise of stock options issued pursuant to the Merger Agreement in exchange for SoundHound options granted on February 3, 2012 and March 28, 2017. The shares subject to the option vested 100% at grant date. Dr. Majid Emami has served as a member of the board of directors of the Company since the Closing.</w:t>
      </w:r>
    </w:p>
    <w:p>
      <w:pPr>
        <w:jc w:val="both"/>
        <w:ind w:left="880" w:right="479" w:hanging="426"/>
        <w:spacing w:after="0" w:line="264" w:lineRule="auto"/>
        <w:tabs>
          <w:tab w:leader="none" w:pos="1072"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251,300 shares of Class A Common Stock and (ii) 33,250 shares of Class A Common Stock of SoundHound AI, Inc. issuable upon exercise of warrants to purchase 33,250 shares of Class A Common Stock held by EarlyBirdCapital and/or its transferees and designees.</w:t>
      </w:r>
    </w:p>
    <w:p>
      <w:pPr>
        <w:jc w:val="both"/>
        <w:ind w:left="880" w:right="459" w:hanging="426"/>
        <w:spacing w:after="0" w:line="264" w:lineRule="auto"/>
        <w:tabs>
          <w:tab w:leader="none" w:pos="941"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35,188,205 shares of Class A Common Stock of SoundHound AI, Inc. Kamran Elahian has voting and investment control of the shares held by Global Catalyst Partners III, L.P. and may be deemed to beneficially own the securities owned directly by Global Catalyst Partners III, L.P. Kamran Elahian served as a member of the board of directors of SoundHound, Inc. prior to the Closing.</w:t>
      </w:r>
    </w:p>
    <w:p>
      <w:pPr>
        <w:jc w:val="both"/>
        <w:ind w:left="880" w:right="459" w:hanging="426"/>
        <w:spacing w:after="0" w:line="264" w:lineRule="auto"/>
        <w:tabs>
          <w:tab w:leader="none" w:pos="972"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5,173,780 shares of Class A Common Stock issuable upon conversion of 5,173,780 shares of Class B Common Stock of SoundHound AI. James Hom has served as a member of the board of directors of the Company since the Closing. These securities are subject to a contractual lock-up for 6 months following the Closing, subject to limited exceptions, and are being registered in accordance with the terms of an Amended and Restated Registration Rights Agreement, dated as of April 26, 2022, by and between the Company, the Selling Securityholder and the other parties thereto.</w:t>
      </w:r>
    </w:p>
    <w:p>
      <w:pPr>
        <w:ind w:left="880" w:right="479" w:hanging="426"/>
        <w:spacing w:after="0" w:line="288" w:lineRule="auto"/>
        <w:tabs>
          <w:tab w:leader="none" w:pos="1021"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Marcus Family Trust, dated 7/8/04, is a trust, with Larry Marcus appointed as the trustee with investment authority. Larry Marcus has served as a member of the board of directors of the Company since the Closing.</w:t>
      </w:r>
    </w:p>
    <w:p>
      <w:pPr>
        <w:sectPr>
          <w:pgSz w:w="11900" w:h="16838" w:orient="portrait"/>
          <w:cols w:equalWidth="0" w:num="1">
            <w:col w:w="9019"/>
          </w:cols>
          <w:pgMar w:left="1440" w:top="270" w:right="1440"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9" w:name="page110"/>
    <w:bookmarkEnd w:id="1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ind w:left="880" w:right="459" w:hanging="426"/>
        <w:spacing w:after="0" w:line="263" w:lineRule="auto"/>
        <w:tabs>
          <w:tab w:leader="none" w:pos="983"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issuance of (i) 416,718 shares of Class A Common Stock issuable upon exercise of stock options issued pursuant to the Merger Agreement in exchange for SoundHound options granted September 6, 2017 which are fully vested as of the date of this filing, (ii) 138,906 shares of Class A Common Stock issuable upon exercise of stock options issued pursuant to the Merger Agreement in exchange for SoundHound options granted on September 6, 2017 which are fully vested as of the date of this filing, (iii) 138,907 shares of Class A Common Stock issuable upon exercise of stock options issued pursuant to the Merger Agreement in exchange for SoundHound options granted on August 15, 2019; the shares subject to the option vested 25% of the shares on August 1, 2020 and the remainder vests in 36 equal monthly installments thereafter and (iv) 444,499 shares of Class A Common Stock issuable upon exercise of stock options issued pursuant to the Merger Agreement in exchange for SoundHound options granted on October 27, 2020; the shares subject to the option vest in 48 equal monthly installments beginning November 1, 2020. Michael Zagorsek served as the Chief Operating Officer of SoundHound, Inc. prior to the Closing.</w:t>
      </w:r>
    </w:p>
    <w:p>
      <w:pPr>
        <w:spacing w:after="0" w:line="3"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925"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308,677 shares of Class A Common Stock of SoundHound AI, Inc., issuable upon exercise of options, issued pursuant to the Merger Agreement in exchange for SoundHound options granted on September 27, 2021. The shares subject to the option vested 25% of the shares on September 15, 2022 and the remainder vests in 36 equal monthly installments thereafter, subject to Mr. Nitesh’s continuous service through each such vesting date. Nitesh Sharan served as the Chief Financial Officer of SoundHound, Inc. prior to the Closing.</w:t>
      </w:r>
    </w:p>
    <w:p>
      <w:pPr>
        <w:jc w:val="both"/>
        <w:ind w:left="880" w:right="459" w:hanging="426"/>
        <w:spacing w:after="0" w:line="288" w:lineRule="auto"/>
        <w:tabs>
          <w:tab w:leader="none" w:pos="983"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Ball Axline Living Trust, dated July 22, 2014, is a trust, with Dr. Eric Ball appointed as the trustee with investment authority. Dr. Eric Ball has served as a member of the board of directors of the Company since the Closing.</w:t>
      </w:r>
    </w:p>
    <w:p>
      <w:pPr>
        <w:spacing w:after="0" w:line="165" w:lineRule="exact"/>
        <w:rPr>
          <w:rFonts w:ascii="Times New Roman" w:cs="Times New Roman" w:eastAsia="Times New Roman" w:hAnsi="Times New Roman"/>
          <w:sz w:val="16"/>
          <w:szCs w:val="16"/>
          <w:color w:val="auto"/>
        </w:rPr>
      </w:pPr>
    </w:p>
    <w:p>
      <w:pPr>
        <w:jc w:val="both"/>
        <w:ind w:left="880" w:right="459" w:hanging="426"/>
        <w:spacing w:after="0" w:line="266" w:lineRule="auto"/>
        <w:tabs>
          <w:tab w:leader="none" w:pos="892"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issuance of (i) 750,964 Class A Shares in exchange for securities of SoundHound, Inc. pursuant to the Merger Agreement (ii) 222,250 shares of Class A Common Stock issuable upon exercise of stock options issued pursuant to the Merger Agreement in exchange for SoundHound options granted between October17, 2006 and May19, 2015 which vested 100% at grant date, (iii) 416,719 shares of Class A Common Stock issuable upon exercise of stock options issued pursuant to the Merger Agreement in exchange for SoundHound options granted on December 15, 2016 which are fully vested as of the date of this filing and (iv) 166,688 shares of Class A Common Stock issuable upon exercise of stock options issued pursuant to the Merger Agreement in exchange for SoundHound options granted on August 15, 2019. The shares subject to the option vested 25% of the shares on January 8, 2019 and the remainder vests in 36 equal monthly installments thereafter, subject to Mr. Stonehocker’s continuous service through each such vesting date. Timothy Stonehocker served as the Chief Technology Officer of SoundHound, Inc. prior to the Closing.</w:t>
      </w:r>
    </w:p>
    <w:p>
      <w:pPr>
        <w:spacing w:after="0" w:line="188"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997"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525,650 shares of Class A Common Stock of SoundHound AI, Inc. Larry Marcus has voting and investment control of the shares held by Walden Sprout Opportunities Fund-A, LLC and may be deemed to beneficially own the securities owned directly by Walden Sprout Opportunities Fund-A, LLC. Larry Marcus has served as a member of the board of directors of the Company since the Closing.</w:t>
      </w:r>
    </w:p>
    <w:p>
      <w:pPr>
        <w:jc w:val="both"/>
        <w:ind w:left="880" w:right="479" w:hanging="426"/>
        <w:spacing w:after="0" w:line="276" w:lineRule="auto"/>
        <w:tabs>
          <w:tab w:leader="none" w:pos="898"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205,787 shares of Class A Common Stock issuable upon exercise of stock options issued pursuant to the Merger Agreement in exchange for SoundHound options granted September 20, 2021 which vest quarterly over 4 years. Zubin Irani served as the Chief Revenue Officer of SoundHound, Inc. prior to the Closing.</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0" w:name="page111"/>
    <w:bookmarkEnd w:id="1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following is a summary of the rights of our common stock and preferred stock, certain provisions of our Amended Charter and our Amended and Restated Bylaws and applicable law. This summary does not purport to be complete and is qualified in its entirety by the provisions of our Amended Charter and our Amended and Restated Bylaws, copies of which have been filed as exhibits to the registration statement and are incorporated by reference to our registration statement, of which this prospectus forms a part.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As of the date of this prospectus, our authorized capital stock consists of 500,000,000 shares, par value $0.0001 per share, consisting of: 499,000,000 shares of common stock, of which, 455,000,000 shares shall be Class A Common Stock and 44,000,000 shares shall be Class B Common Stock; and 1,000,000 shares of Preferred Stock. Our authorized but unissued shares of common stock and preferred stock are available for issuance without further action by our stockholders, unless such action is required by applicable law or the rules of any stock exchange or automated quotation system on which our securities may be listed or traded in the future.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 A Common Stock and Class B Common Stock</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There were 196,144,941 shares of Company common stock issued and outstanding as of May 13, 2022, which calculation includes 155,748,341 shares of the Company’s Class A Common Stock, 40,396,600 shares of the Company’s Class B Common Stock. In addition, there are 6,858,000 shares of Class A Common Stock issuable upon exercise of outstanding warrants, no shares of Class B Common Stock issuable upon exercise of outstanding warrants, 5,357,808 shares of Class A Common Stock issuable upon exercise of outstanding stock options and no shares of Class B Common Stock issuable upon exercise of outstanding stock options.</w:t>
      </w:r>
    </w:p>
    <w:p>
      <w:pPr>
        <w:spacing w:after="0" w:line="10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Amended Charter provides for two classes of Common Stock, with the Class B Common Stock being entitled to ten votes per share and having certain rights to convert into, and under certain circumstances being subject to mandatory conversion into, shares of Class A Common Stock. The Amended Charter provides that, subject to the rights of any holders of any series of Preferred Stock, each holder of Class A Common Stock shall have the right to one (1) vote per share of Class A Common Stock held of record by such holder as of the applicable record date on all matters submitted to a vote at any meeting of stockholders and each holder of Class B Common Stock shall have the right to ten votes per share of Class B Common Stock held of record by such holder as of the applicable record date on all matters properly submitted to stockholders entitled to vote thereon. The Amended Charter will provide, for mandatory or optional conversion of the Class B Common Stock upon the occurrence of circumstances described in the Amended Charter. The holders of outstanding shares of Class A Common Stock and Class B Common Stock are entitled to receive dividends out of assets or funds legally available for the payment of dividends of such times and in such amounts as our board of directors from time to time may determine. Our Class A Common Stock Class B Common Stock is not entitled to pre-emptive rights and is not subject to conversion or redemption. Upon liquidation, dissolution or winding up of our company, the assets legally available for distribution to stockholders are distributable ratably among the holders of our Class A Common Stock and Class B Common Stock after payment of liquidation preferences, if any, on any outstanding payment of other claims of creditors. The rights, preferences and privileges of holders of Class A Common Stock and Class B Common Stock are subject to and may be adversely affected by the rights of the holders of shares of any series of preferred stock that we may designate and issue in the future.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we have no shares of preferred stock designated or outstanding, but our board of directors will be authorized, without further action by the stockholders, to establish one or more class or series, and fix the relative rights and preferences of the company’s undesignated capital stock.</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we had outstanding options to purchase an aggregate 5,357,808 shares of our Class A Common Stock.</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1" w:name="page112"/>
    <w:bookmarkEnd w:id="1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As of the date of this prospectus, 6,858,000 Warrants are outstanding. The terms of the Placement Warrants and the terms of the Public Warrants are identical. Each whole Warrant entitles the registered holder to purchase one share of common stock at a price of $11.50 per share, subject to adjustment as discussed below, at any time commencing 30 days after the completion of an initial business combination. However, no Warrants will be exercisable for cash unless we have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our initial business combination, warrantholders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our completion of an initial business combination, at 5:00 p.m., New York City time, or earlier upon redemption or liquidation.</w:t>
      </w:r>
    </w:p>
    <w:p>
      <w:pPr>
        <w:spacing w:after="0" w:line="12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at least 50% of the then outstanding public Warrants, including Warrants included in the Public Subunits, in order to make any change that adversely affects the interests of the registered holders.</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exercise price and number of shares of common stock issuable on exercise of the Warrants may be adjusted in certain circumstances including in the event of a stock dividend, extraordinary dividend or our recapitalization, reorganization, merger or consolidation. However, except as described below, the Warrants will not be adjusted for issuances of shares of common stock at a price below their respective exercise prices.</w:t>
      </w:r>
    </w:p>
    <w:p>
      <w:pPr>
        <w:spacing w:after="0" w:line="9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addition, if (x) we issue additional shares of common stock or equity-linked securities for capital raising purposes in connection with the Closing of our initial business combination at an issue price or effective issue price of less than $9.20 per share (with such issue price or effective issue price to be determined in good faith by the Board, and in the case of any such issuance to our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our initial business</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2" w:name="page113"/>
    <w:bookmarkEnd w:id="1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combination on the date of the consummation of our initial business combination (net of redemptions), and</w:t>
      </w:r>
    </w:p>
    <w:p>
      <w:pPr>
        <w:spacing w:after="0" w:line="27" w:lineRule="exact"/>
        <w:rPr>
          <w:sz w:val="20"/>
          <w:szCs w:val="20"/>
          <w:color w:val="auto"/>
        </w:rPr>
      </w:pPr>
    </w:p>
    <w:p>
      <w:pPr>
        <w:jc w:val="both"/>
        <w:ind w:left="460" w:right="459" w:hanging="6"/>
        <w:spacing w:after="0" w:line="253" w:lineRule="auto"/>
        <w:tabs>
          <w:tab w:leader="none" w:pos="70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is below $9.20 per share, the exercise price of the Warrants will be adjusted (to the nearest cent) to be equal to 115% of the greater of (i) the Market Value or (ii) the price at which we issue the additional shares of common stock or equity-linked securities, and the $18.00 redemption trigger price will be adjusted to 180% of this amount.</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24" w:lineRule="exact"/>
        <w:rPr>
          <w:sz w:val="20"/>
          <w:szCs w:val="20"/>
          <w:color w:val="auto"/>
        </w:rPr>
      </w:pPr>
    </w:p>
    <w:p>
      <w:pPr>
        <w:jc w:val="both"/>
        <w:ind w:left="460" w:right="479" w:firstLine="432"/>
        <w:spacing w:after="0" w:line="289" w:lineRule="auto"/>
        <w:rPr>
          <w:sz w:val="20"/>
          <w:szCs w:val="20"/>
          <w:color w:val="auto"/>
        </w:rPr>
      </w:pPr>
      <w:r>
        <w:rPr>
          <w:rFonts w:ascii="Times New Roman" w:cs="Times New Roman" w:eastAsia="Times New Roman" w:hAnsi="Times New Roman"/>
          <w:sz w:val="17"/>
          <w:szCs w:val="17"/>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common stock outstanding.</w:t>
      </w:r>
    </w:p>
    <w:p>
      <w:pPr>
        <w:spacing w:after="0" w:line="7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of the Warrants. If, upon exercise of the Warrants, a holder would be entitled to receive a fractional interest in a share, we will, upon exercise, round up to the nearest whole number the number of shares of common stock to be issued to the warrant holder.</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Anti-Takeover Provisions of Delaware Law and Our Amended Charter and Amended Bylaws</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Special meeting of stockholders</w:t>
      </w:r>
    </w:p>
    <w:p>
      <w:pPr>
        <w:spacing w:after="0" w:line="16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Amended Bylaws provide that special meetings of our stockholders may be called only by a majority vote of the Board, by our president or by our chairman or by our secretary at the request in writing of stockholders owning a majority of our issued and outstanding capital stock entitled to vote.</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146" w:lineRule="exact"/>
        <w:rPr>
          <w:sz w:val="20"/>
          <w:szCs w:val="20"/>
          <w:color w:val="auto"/>
        </w:rPr>
      </w:pPr>
    </w:p>
    <w:p>
      <w:pPr>
        <w:jc w:val="both"/>
        <w:ind w:left="460" w:right="459" w:firstLine="432"/>
        <w:spacing w:after="0" w:line="245" w:lineRule="auto"/>
        <w:rPr>
          <w:sz w:val="20"/>
          <w:szCs w:val="20"/>
          <w:color w:val="auto"/>
        </w:rPr>
      </w:pPr>
      <w:r>
        <w:rPr>
          <w:rFonts w:ascii="Times New Roman" w:cs="Times New Roman" w:eastAsia="Times New Roman" w:hAnsi="Times New Roman"/>
          <w:sz w:val="18"/>
          <w:szCs w:val="18"/>
          <w:color w:val="auto"/>
        </w:rPr>
        <w:t>Our Amended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60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nor earlier than the close of business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scheduled date of the annual meeting of stockholders. In the event that less than 70 days’ notice or prior public disclosure of the date of the annual meeting of stockholders is given, a stockholder’s notice shall be timely if delivered to our principal executive offices not later than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our annual meeting of stockholders is first made or sent by us. Our Amended Bylaws also specify certain requirement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Authorized but unissued shares</w:t>
      </w:r>
    </w:p>
    <w:p>
      <w:pPr>
        <w:spacing w:after="0" w:line="16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3" w:name="page114"/>
    <w:bookmarkEnd w:id="1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The Amended Charter provides that, unless SoundHound AI consents in writing to the selection of an alternative forum, to the fullest extent permitted by the applicable law, the Court of Chancery of the State of Delaware shall be the sole and exclusive forum for any stockholder (including a beneficial owner) to bring</w:t>
      </w:r>
    </w:p>
    <w:p>
      <w:pPr>
        <w:spacing w:after="0" w:line="1" w:lineRule="exact"/>
        <w:rPr>
          <w:sz w:val="20"/>
          <w:szCs w:val="20"/>
          <w:color w:val="auto"/>
        </w:rPr>
      </w:pPr>
    </w:p>
    <w:p>
      <w:pPr>
        <w:jc w:val="both"/>
        <w:ind w:left="460" w:right="459" w:hanging="6"/>
        <w:spacing w:after="0" w:line="250" w:lineRule="auto"/>
        <w:tabs>
          <w:tab w:leader="none" w:pos="67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SoundHound AI, (ii) any action asserting a claim of breach of a fiduciary duty owed by any director, officer or other employee of SoundHound AI to SoundHound AI or SoundHound AI’s stockholders, (iii) any action asserting a claim against SoundHound AI, its directors, officers or employees arising pursuant to any provision of the DGCL or the Amended Charter or the Amended Bylaws of SoundHound AI, or (iv) any action asserting a claim against SoundHound AI, its directors, officers or employees governed by the internal affairs doctrine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w:t>
      </w:r>
    </w:p>
    <w:p>
      <w:pPr>
        <w:spacing w:after="0" w:line="3" w:lineRule="exact"/>
        <w:rPr>
          <w:rFonts w:ascii="Times New Roman" w:cs="Times New Roman" w:eastAsia="Times New Roman" w:hAnsi="Times New Roman"/>
          <w:sz w:val="18"/>
          <w:szCs w:val="18"/>
          <w:color w:val="auto"/>
        </w:rPr>
      </w:pPr>
    </w:p>
    <w:p>
      <w:pPr>
        <w:jc w:val="both"/>
        <w:ind w:left="460" w:right="45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which is vested in the exclusive jurisdiction of a court or forum other than the Court of Chancery, or (C) for which the Court of Chancery does not have subject matter jurisdiction. However, the foregoing will not apply to suits brought to enforce any liability or duty created by the Exchange Act or any other claim for which the federal courts have exclusive jurisdiction and (ii) unless SoundHound AI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Amended Charter provides that, to the fullest extent permitted by the Delaware General Corporation Law, a director of SoundHound AI shall not be personally liable to SoundHound AI or its stockholders for monetary damages for breach of fiduciary duty as a director, except for liability (i) for any breach of the director’s duty of loyalty to SoundHound AI or its stockholders, (ii) for acts or omissions not in good faith or which involve intentional misconduct or a knowing violation of law, (iii) under Section 174 of the DGCL, or</w:t>
      </w:r>
    </w:p>
    <w:p>
      <w:pPr>
        <w:spacing w:after="0" w:line="3" w:lineRule="exact"/>
        <w:rPr>
          <w:sz w:val="20"/>
          <w:szCs w:val="20"/>
          <w:color w:val="auto"/>
        </w:rPr>
      </w:pPr>
    </w:p>
    <w:p>
      <w:pPr>
        <w:jc w:val="both"/>
        <w:ind w:left="460" w:right="459" w:hanging="6"/>
        <w:spacing w:after="0" w:line="251" w:lineRule="auto"/>
        <w:tabs>
          <w:tab w:leader="none" w:pos="82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 Any repeal or modification of foregoing paragraph by the stockholders of SoundHound AI shall not adversely affect any right or protection of a director of SoundHound AI with respect to events occurring prior to the time of such repeal or modification. \The Amended Charter, to the full extent permitted by Section 145 of the DGCL,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SoundHound AI in advance of the final disposition of such action, suit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4" w:name="page115"/>
    <w:bookmarkEnd w:id="1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or proceeding upon receipt of an undertaking by or on behalf of such director or officer to repay such amount if it shall ultimately be determined that he or she is not entitled to be indemnified by SoundHound AI as authorized hereby. The Amended Bylaws of SoundHound AI will permit SoundHound AI to purchase and maintain insurance on behalf of any person who is or was a director, officer, employee or agent of SoundHound AI, or is or was serving at the request of SoundHound AI as a director, officer, employee or agent of another corporation, partnership, joint venture, trust or other enterprise against any liability asserted against him and incurred by him in any such capacity, or arising out of his or her status as such, whether or not SoundHound AI would have the power to indemnify him against such liability.</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Our Class A Common Stock and Warrants are listed on The Nasdaq Global Market under the trading symbols “SOUN” and “SOUNW”.</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Continental Stock Transfer &amp; Trust Company.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Transfer Agent’s address is 1 State Street,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New York 10004.</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5" w:name="page116"/>
    <w:bookmarkEnd w:id="1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ACT RESTRICTIONS ON RESALE OF OUR SECURITIES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Pursuant to Rule 144, a person who has beneficially owned restricted shares of Class A Common Stock or Class B Common Stock or Warrants for at least six months would be entitled to sell their securities provided that (a) such person is not deemed to have been one of our affiliates at the time of, or at any time during the three months preceding, a sale and (b)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 Persons who have beneficially owned restricted shares of our Class A Common Stock or Class B Common Stock or warrants for at least six months but who are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27" w:lineRule="exact"/>
        <w:rPr>
          <w:sz w:val="20"/>
          <w:szCs w:val="20"/>
          <w:color w:val="auto"/>
        </w:rPr>
      </w:pPr>
    </w:p>
    <w:p>
      <w:pPr>
        <w:ind w:left="1300" w:hanging="414"/>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shares of our securities then-outstanding; or</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2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our securities during the four calendar weeks preceding the filing of a notice on Form 144 with respect to the sale.</w:t>
      </w:r>
    </w:p>
    <w:p>
      <w:pPr>
        <w:spacing w:after="0" w:line="8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are also limited by manner of sale provisions and notice requirements and to the availability of current public information about us.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the Use of Rule 144 by Shell Companies or Former Shell Companies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or issuers that have been at any time previously a shell company. However, Rule 144 also includes an important exception to this prohibition if the following conditions are met:</w:t>
      </w:r>
    </w:p>
    <w:p>
      <w:pPr>
        <w:spacing w:after="0" w:line="108" w:lineRule="exact"/>
        <w:rPr>
          <w:sz w:val="20"/>
          <w:szCs w:val="20"/>
          <w:color w:val="auto"/>
        </w:rPr>
      </w:pPr>
    </w:p>
    <w:p>
      <w:pPr>
        <w:ind w:left="1300" w:hanging="414"/>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7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on Form 8-K; and</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8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As a result, our initial stockholders will not be able to sell their Class A Common Stock or Class B Common Stock or warrants pursuant to Rule 144 without registration until one year after the Closing although these shares may be sold sooner to the extent they have been registered on a registration statement that has been declared effective by the SEC.</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6" w:name="page117"/>
    <w:bookmarkEnd w:id="1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UNITED STATES FEDERAL INCOME TAX CONSIDERATIONS</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following discussion is a summary of certain U.S. federal income tax considerations generally applicable to the ownership and disposition of our Class A Common Stock and Warrants, which we refer to collectively as our securities. This summary is based upon U.S. federal income tax law as of the date of this prospectus, which is subject to change or differing interpretations, possibly with retroactive effect. This summary does not discuss all aspects of U.S. federal income taxation that may be important to particular investors in light of their individual circumstances, including investors subject to special tax rules (e.g., financial institutions, insurance companies, broker-dealers, dealers or traders in securities, tax-exempt organizations (including private foundations), taxpayers that have elected mark-to-market accounting, S corporations, regulated investment companies, real estate investment trusts, passive foreign investment companies, controlled foreign corporations, U.S. Holders (as defined below) that will hold Class A Common Stock or Warrants as part of a straddle, hedge, conversion, or other integrated transaction for U.S. federal income tax purposes, expatriates or former long-term residents of the United States, or investors that have a functional currency other than the U.S. dollar), all of whom may be subject to tax rules that differ materially from those summarized below. This summary does not discuss other U.S. federal tax consequences (e.g., estate or gift tax), any state, local, or non-U.S. tax considerations or the Medicare tax or alternative minimum tax. In addition, this summary is limited to investors that will hold our securities as “capital assets” (generally, property held for investment) under the Code, and that acquire our Class A Common Stock and Warrants for cash pursuant to this prospectus. No ruling from the IRS has been or will be sought regarding any matter discussed herein. No assurance can be given that the IRS would not assert, or that a court would not sustain, a position contrary to any of the tax aspects set forth below.</w:t>
      </w:r>
    </w:p>
    <w:p>
      <w:pPr>
        <w:spacing w:after="0" w:line="1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For purposes of this summary, a “U.S. Holder” is a beneficial holder of securities who or that, for</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 federal income tax purposes is:</w:t>
      </w:r>
    </w:p>
    <w:p>
      <w:pPr>
        <w:spacing w:after="0" w:line="139" w:lineRule="exact"/>
        <w:rPr>
          <w:sz w:val="20"/>
          <w:szCs w:val="20"/>
          <w:color w:val="auto"/>
        </w:rPr>
      </w:pPr>
    </w:p>
    <w:p>
      <w:pPr>
        <w:ind w:left="1300" w:hanging="41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United States citizen or resident of the United States;</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6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United States federal income tax purposes created in, or organized under the law of, the United States or any state or political subdivision thereof;</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1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United States federal income tax purposes regardless of its source; or</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United States court and which has one or more United States persons (within the meaning of the Code) who have the authority to control all substantial decisions of the trust or (B) that has in effect a valid election under applicable Treasury regulations to be treated as a United States person.</w:t>
      </w:r>
    </w:p>
    <w:p>
      <w:pPr>
        <w:spacing w:after="0" w:line="99"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 “non-U.S. Holder” is a beneficial holder of securities who or that is neither a U.S. Holder nor an entity or arrangement treated as a partnership for U.S. federal income tax purposes.</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our securities,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securities, you are urged to consult your tax advisor regarding the tax consequences of the ownership and disposition of our securities.</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THIS DISCUSSION OF U.S. FEDERAL INCOME TAX CONSIDERATIONS IS FOR GENERAL INFORMATION PURPOSES ONLY AND IS NOT TAX ADVICE. PROSPECTIVE HOLDERS SHOULD CONSULT THEIR TAX ADVISORS CONCERNING THE U.S. FEDERAL INCOME TAX CONSEQUENCES TO THEM OF OWNING AND DISPOSING OF OUR SECURITIES, AS WELL AS THE APPLICATION OF ANY, STATE, LOCAL AND NON-U.S. INCOME, ESTATE AND OTHER TAX CONSIDERATIONS.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7" w:name="page118"/>
    <w:bookmarkEnd w:id="1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Taxation of Distributions</w:t>
      </w:r>
    </w:p>
    <w:p>
      <w:pPr>
        <w:spacing w:after="0" w:line="14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we pay distributions or make constructive distributions (other than certain distributions of our capital stock or rights to acquire our capital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w:t>
      </w:r>
      <w:r>
        <w:rPr>
          <w:rFonts w:ascii="Times New Roman" w:cs="Times New Roman" w:eastAsia="Times New Roman" w:hAnsi="Times New Roman"/>
          <w:sz w:val="18"/>
          <w:szCs w:val="18"/>
          <w:i w:val="1"/>
          <w:iCs w:val="1"/>
          <w:color w:val="auto"/>
        </w:rPr>
        <w:t>U.S. Holders — Gain or Loss on Sale, Taxable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or Other Taxable Disposition of Class A Common Stock</w:t>
      </w:r>
      <w:r>
        <w:rPr>
          <w:rFonts w:ascii="Times New Roman" w:cs="Times New Roman" w:eastAsia="Times New Roman" w:hAnsi="Times New Roman"/>
          <w:sz w:val="18"/>
          <w:szCs w:val="18"/>
          <w:color w:val="auto"/>
        </w:rPr>
        <w:t>” below.</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Dividends we pay to a U.S. Holder that is a taxable corporation will generally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will be subject to tax at the maximum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Gain or Loss on Sale, Taxable Exchange or Other Taxable Disposition of Class A Common Stock</w:t>
      </w:r>
    </w:p>
    <w:p>
      <w:pPr>
        <w:spacing w:after="0" w:line="16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 U.S. Holder generally will recognize gain or loss on the sale, taxable exchange or other taxable disposition of our Class A Common Stock. Any such gain or loss will be capital gain or loss, and will be long-term capital gain or loss if the U.S. Holder’s holding period for the Class A Common Stock so disposed of exceeds one year. The amount of gain or loss recognized will generally be equal to the difference between</w:t>
      </w:r>
    </w:p>
    <w:p>
      <w:pPr>
        <w:spacing w:after="0" w:line="3" w:lineRule="exact"/>
        <w:rPr>
          <w:sz w:val="20"/>
          <w:szCs w:val="20"/>
          <w:color w:val="auto"/>
        </w:rPr>
      </w:pPr>
    </w:p>
    <w:p>
      <w:pPr>
        <w:ind w:left="720" w:hanging="266"/>
        <w:spacing w:after="0"/>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amount of cash and the fair market value of any property received in such disposition and</w:t>
      </w:r>
    </w:p>
    <w:p>
      <w:pPr>
        <w:spacing w:after="0" w:line="9" w:lineRule="exact"/>
        <w:rPr>
          <w:rFonts w:ascii="Times New Roman" w:cs="Times New Roman" w:eastAsia="Times New Roman" w:hAnsi="Times New Roman"/>
          <w:sz w:val="18"/>
          <w:szCs w:val="18"/>
          <w:color w:val="auto"/>
        </w:rPr>
      </w:pPr>
    </w:p>
    <w:p>
      <w:pPr>
        <w:jc w:val="both"/>
        <w:ind w:left="460" w:right="479" w:hanging="6"/>
        <w:spacing w:after="0" w:line="251" w:lineRule="auto"/>
        <w:tabs>
          <w:tab w:leader="none" w:pos="72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adjusted tax basis in its Class A Common Stock so disposed of. A U.S. Holder’s adjusted tax basis in its Class A Common Stock will generally equal the U.S. Holder’s acquisition cost for such Class A Common Stock (or, in the case of Class A Common Stock received upon exercise of a Warrant, the U.S. Holder’s initial basis for such Class A Common Stock, as discussed below), less any prior distributions treated as a return of capital. The deductibility of capital losses is subject to limitations. Long-term capital gains recognized by non-corporate U.S. Holders are generally eligible for reduced rates of tax. If the U.S. Holder’s holding period for the Class A Common Stock so disposed of is one year or less, any gain on a sale or other taxable disposition of the shares would be subject to short-term capital gain treatment and would be taxed at ordinary income tax rates. The deductibility of capital losses is subject to limitations.</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Exercise of a Warrant</w:t>
      </w:r>
    </w:p>
    <w:p>
      <w:pPr>
        <w:spacing w:after="0" w:line="14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Except as discussed below with respect to the cashless exercise of a warrant, a U.S. Holder generally will not recognize taxable gain or loss upon the exercise of a warrant for cash. The U.S. Holder’s initial tax basis in the share of our Class A Common Stock received upon exercise of the warrant will generally be an amount equal to the sum of the U.S. Holder’s acquisition cost of the warrant and the exercise price of such warrant. It is unclear whether a U.S. Holder’s holding period for the Class A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tax consequences of a cashless exercise of a warrant are not clear under current tax law. A cashless exercise may be nontaxable, either because the exercise is not a realization event or because the exercise is treated as a recapitalization for U.S. federal income tax purposes. In either situation, a U.S. Holder’s initial tax basis in the Class A Common Stock received generally should equal the holder’s adjusted tax basis in the warrant. If the cashless exercise were treated as not being a realization event, it is unclear whether a U.S. Holder’s holding period for the Class A Common Stock would commence on the date of exercise of the warrant or the day following the date of exercise of the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8" w:name="page119"/>
    <w:bookmarkEnd w:id="1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warrant; in either case, the holding period would not include the period during which the U.S. Holder held the warrant. If, instead, the cashless exercise were treated as a recapitalization, the holding period of the Class A Common Stock generally would include the holding period of the warrant.</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It is also possible that a cashless exercise of a warrant could be treated in part as a taxable exchange in which gain or loss is recognized. In such event, a U.S. Holder could be deemed to have surrendered a portion of the warrants being exercised having a value equal to the exercise price of such warrants in satisfaction of such exercise price. Although not free from doubt, such U.S. Holder generally should recognize capital gain or loss in an amount equal to the difference between the fair market value of the warrants deemed surrendered to satisfy the exercise price and the U.S. Holder’s adjusted tax basis in such warrants. In this case, a U.S. Holder’s initial tax basis in the Class A Common Stock received would equal the sum of the exercise price and the U.S. holder’s adjusted tax basis in the warrants exercised. It is unclear whether a U.S. Holder’s holding period for the Class A Common Stock would commence on the date of exercise of the warrant or the day following the date of exercise of the warrant; in either case, the holding period would not include the period during which the U.S. Holder held the warrant. Due to the uncertainty and absence of authority on the U.S. federal income tax treatment of a cashless exercise, including when a U.S. Holder’s holding period would commence with respect to the Class A Common Stock received, U.S. Holders are urged to consult their tax advisors regarding the tax consequences of a cashless exercise.</w:t>
      </w:r>
    </w:p>
    <w:p>
      <w:pPr>
        <w:spacing w:after="0" w:line="1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Sale, Exchange, Redemption or Expiration of a Warrant</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Upon a sale, exchange (other than by exercise), redemption (other than a redemption for Class A Common Stock), or expiration of a warrant, a U.S. Holder will recognize taxable gain or loss in an amount equal to the difference between (1) the amount realized upon such disposition or expiration and (2) the U.S. Holder’s adjusted tax basis in the warrant. A U.S. Holder’s adjusted tax basis in its warrants will generally equal the U.S. Holder’s acquisition cost, increased by the amount of any constructive distributions included in income by such U.S. Holder (as described below under “</w:t>
      </w:r>
      <w:r>
        <w:rPr>
          <w:rFonts w:ascii="Times New Roman" w:cs="Times New Roman" w:eastAsia="Times New Roman" w:hAnsi="Times New Roman"/>
          <w:sz w:val="18"/>
          <w:szCs w:val="18"/>
          <w:i w:val="1"/>
          <w:iCs w:val="1"/>
          <w:color w:val="auto"/>
        </w:rPr>
        <w:t>U.S. Holders — Possible Constructive Distributions</w:t>
      </w:r>
      <w:r>
        <w:rPr>
          <w:rFonts w:ascii="Times New Roman" w:cs="Times New Roman" w:eastAsia="Times New Roman" w:hAnsi="Times New Roman"/>
          <w:sz w:val="18"/>
          <w:szCs w:val="18"/>
          <w:color w:val="auto"/>
        </w:rPr>
        <w:t>”). Such gain or loss generally will be treated as long-term capital gain or loss if the warrant is held by the U.S. Holder for more than one year at the time of such disposition or expiration. If a warrant is allowed to lapse unexercised, a U.S. Holder will generally recognize a capital loss equal to such holder’s adjusted tax basis in the warrant. The deductibility of capital losses is subject to certain limitations.</w:t>
      </w:r>
    </w:p>
    <w:p>
      <w:pPr>
        <w:spacing w:after="0" w:line="11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 redemption of warrants for Class A Common Stock described in this prospectus under “</w:t>
      </w:r>
      <w:r>
        <w:rPr>
          <w:rFonts w:ascii="Times New Roman" w:cs="Times New Roman" w:eastAsia="Times New Roman" w:hAnsi="Times New Roman"/>
          <w:sz w:val="18"/>
          <w:szCs w:val="18"/>
          <w:i w:val="1"/>
          <w:iCs w:val="1"/>
          <w:color w:val="auto"/>
        </w:rPr>
        <w:t>Description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 Stock — Warrants</w:t>
      </w:r>
      <w:r>
        <w:rPr>
          <w:rFonts w:ascii="Times New Roman" w:cs="Times New Roman" w:eastAsia="Times New Roman" w:hAnsi="Times New Roman"/>
          <w:sz w:val="18"/>
          <w:szCs w:val="18"/>
          <w:color w:val="auto"/>
        </w:rPr>
        <w:t>” should be treated as a “recapitalization” for U.S. federal income tax purposes.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Accordingly, you should not recognize any gain or loss on the redemption of warrants for shares of our Class A Common Stock. Your aggregate initial tax basis in the shares of Class A Common Stock received in the redemption should equal your aggregate adjusted tax basis in your warrants redeemed and your holding period for the shares of Class A Common Stock received in redemption of your warrants should include your holding period for your surrendered warrants.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Possible Constructive Distributions</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Class A Common Stock for which the warrant may be exercised or to the exercise price of the warrant in certain events. An adjustment which has the effect of preventing dilution generally should not be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as a result of a distribution of cash to the holders of shares of our Class A Common Stock which is taxable to such holders as a distribution. Such constructive distribution would be subject to tax as described above under “</w:t>
      </w:r>
      <w:r>
        <w:rPr>
          <w:rFonts w:ascii="Times New Roman" w:cs="Times New Roman" w:eastAsia="Times New Roman" w:hAnsi="Times New Roman"/>
          <w:sz w:val="18"/>
          <w:szCs w:val="18"/>
          <w:i w:val="1"/>
          <w:iCs w:val="1"/>
          <w:color w:val="auto"/>
        </w:rPr>
        <w:t>U.S. Holders — Taxation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 in the same manner as if such U.S. Holder received a cash distribution from us on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equal to the fair market value of such increased interest.</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6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general, information reporting requirements may apply to dividends paid to a U.S. Holder and to the proceeds of the sale or other disposition of shares of Class A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9" w:name="page120"/>
    <w:bookmarkEnd w:id="1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Taxation of Distributions</w:t>
      </w:r>
    </w:p>
    <w:p>
      <w:pPr>
        <w:spacing w:after="0" w:line="16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w:t>
      </w:r>
      <w:r>
        <w:rPr>
          <w:rFonts w:ascii="Times New Roman" w:cs="Times New Roman" w:eastAsia="Times New Roman" w:hAnsi="Times New Roman"/>
          <w:sz w:val="18"/>
          <w:szCs w:val="18"/>
          <w:i w:val="1"/>
          <w:iCs w:val="1"/>
          <w:color w:val="auto"/>
        </w:rPr>
        <w:t>Non-U.S. Holders — Possible Constructive Distributions</w:t>
      </w:r>
      <w:r>
        <w:rPr>
          <w:rFonts w:ascii="Times New Roman" w:cs="Times New Roman" w:eastAsia="Times New Roman" w:hAnsi="Times New Roman"/>
          <w:sz w:val="18"/>
          <w:szCs w:val="18"/>
          <w:color w:val="auto"/>
        </w:rPr>
        <w:t>”),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w:t>
      </w:r>
      <w:r>
        <w:rPr>
          <w:rFonts w:ascii="Times New Roman" w:cs="Times New Roman" w:eastAsia="Times New Roman" w:hAnsi="Times New Roman"/>
          <w:sz w:val="18"/>
          <w:szCs w:val="18"/>
          <w:i w:val="1"/>
          <w:iCs w:val="1"/>
          <w:color w:val="auto"/>
        </w:rPr>
        <w:t>Non-U.S. Holders — Gain on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Taxable Exchange or Other Taxable Disposition of Class A Common Stock and Warrants</w:t>
      </w:r>
      <w:r>
        <w:rPr>
          <w:rFonts w:ascii="Times New Roman" w:cs="Times New Roman" w:eastAsia="Times New Roman" w:hAnsi="Times New Roman"/>
          <w:sz w:val="18"/>
          <w:szCs w:val="18"/>
          <w:color w:val="auto"/>
        </w:rPr>
        <w:t>” below. In addition,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determine that we are likely to be classified as a “United States real property holding corporation” (see “</w:t>
      </w:r>
      <w:r>
        <w:rPr>
          <w:rFonts w:ascii="Times New Roman" w:cs="Times New Roman" w:eastAsia="Times New Roman" w:hAnsi="Times New Roman"/>
          <w:sz w:val="18"/>
          <w:szCs w:val="18"/>
          <w:i w:val="1"/>
          <w:iCs w:val="1"/>
          <w:color w:val="auto"/>
        </w:rPr>
        <w:t>Non-U.S. Holders — Gain on Sale, Exchange or Other Taxable Disposition of Class A Common Stock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below), we will withhold 15% of any distribution that exceeds our current and accumulated earnings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profits.</w:t>
      </w:r>
    </w:p>
    <w:p>
      <w:pPr>
        <w:spacing w:after="0" w:line="12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Exercise of a Warrant</w:t>
      </w:r>
    </w:p>
    <w:p>
      <w:pPr>
        <w:spacing w:after="0" w:line="146"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U.S. federal income tax treatment of a non-U.S. Holder’s exercise of a warrant will generally correspond to the U.S. federal income tax treatment of the exercise of a warrant by a U.S. Holder, as described under “</w:t>
      </w:r>
      <w:r>
        <w:rPr>
          <w:rFonts w:ascii="Times New Roman" w:cs="Times New Roman" w:eastAsia="Times New Roman" w:hAnsi="Times New Roman"/>
          <w:sz w:val="18"/>
          <w:szCs w:val="18"/>
          <w:i w:val="1"/>
          <w:iCs w:val="1"/>
          <w:color w:val="auto"/>
        </w:rPr>
        <w:t>U.S. Holders — Exercise of a Warrant</w:t>
      </w:r>
      <w:r>
        <w:rPr>
          <w:rFonts w:ascii="Times New Roman" w:cs="Times New Roman" w:eastAsia="Times New Roman" w:hAnsi="Times New Roman"/>
          <w:sz w:val="18"/>
          <w:szCs w:val="18"/>
          <w:color w:val="auto"/>
        </w:rPr>
        <w:t>” above, although to the extent a cashless exercise results in a taxable exchange, the tax consequences to the non-U.S. Holder would be the same as those described below in “</w:t>
      </w:r>
      <w:r>
        <w:rPr>
          <w:rFonts w:ascii="Times New Roman" w:cs="Times New Roman" w:eastAsia="Times New Roman" w:hAnsi="Times New Roman"/>
          <w:sz w:val="18"/>
          <w:szCs w:val="18"/>
          <w:i w:val="1"/>
          <w:iCs w:val="1"/>
          <w:color w:val="auto"/>
        </w:rPr>
        <w:t>Non-U.S. Holders — Gain on Sale, Exchange or Other Taxable Disposition of Class A Common Stock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Redemption of Warrants for Class A Common Stock</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 redemption of Warrants for Class A Common Stock described in this prospectus under “</w:t>
      </w:r>
      <w:r>
        <w:rPr>
          <w:rFonts w:ascii="Times New Roman" w:cs="Times New Roman" w:eastAsia="Times New Roman" w:hAnsi="Times New Roman"/>
          <w:sz w:val="18"/>
          <w:szCs w:val="18"/>
          <w:i w:val="1"/>
          <w:iCs w:val="1"/>
          <w:color w:val="auto"/>
        </w:rPr>
        <w:t>Description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 Stock — Warrants</w:t>
      </w:r>
      <w:r>
        <w:rPr>
          <w:rFonts w:ascii="Times New Roman" w:cs="Times New Roman" w:eastAsia="Times New Roman" w:hAnsi="Times New Roman"/>
          <w:sz w:val="18"/>
          <w:szCs w:val="18"/>
          <w:color w:val="auto"/>
        </w:rPr>
        <w:t>” should be treated as a “recapitalization” for U.S. federal income tax purposes.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Accordingly, you should not recognize any gain or loss on the redemption of warrants for shares of our Class A Common Stock. Your aggregate initial tax basis in the shares of Class A Common Stock received in the redemption should equal your aggregate adjusted tax basis in your warrants redeemed and your holding period for the shares of Class A Common Stock received in redemption of your warrants should include your holding period for your surrendered warrants.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0" w:name="page121"/>
    <w:bookmarkEnd w:id="1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Gain on Sale, Exchange or Other Taxable Disposition of Class A Common Stock and Warrants</w:t>
      </w:r>
    </w:p>
    <w:p>
      <w:pPr>
        <w:spacing w:after="0" w:line="14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our Class A Common Stock or Warrants or an expiration or redemption of our warrants, unless:</w:t>
      </w:r>
    </w:p>
    <w:p>
      <w:pPr>
        <w:spacing w:after="0" w:line="108" w:lineRule="exact"/>
        <w:rPr>
          <w:sz w:val="20"/>
          <w:szCs w:val="20"/>
          <w:color w:val="auto"/>
        </w:rPr>
      </w:pPr>
    </w:p>
    <w:p>
      <w:pPr>
        <w:jc w:val="both"/>
        <w:ind w:left="1320" w:right="479" w:hanging="434"/>
        <w:spacing w:after="0" w:line="266" w:lineRule="auto"/>
        <w:tabs>
          <w:tab w:leader="none" w:pos="143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disposition and certain other conditions are met; or</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or Warrants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on an established securities market for this purpose.</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the third bullet point above applies to a non-U.S. Holder and applicable exceptions are not available, gain recognized by such holder on the sale, exchange or other disposition of our Class A Common Stock or Warrants will be subject to tax at generally applicable U.S. federal income tax rates. In addition, a buyer of our Class A Common Stock or Warrants from such holder may be required to withhold U.S.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Possible Constructive Distributions</w:t>
      </w:r>
    </w:p>
    <w:p>
      <w:pPr>
        <w:spacing w:after="0" w:line="146"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Class A Common Stock for which the warrant may be exercised or to the exercise price of the warrant in certain events. An adjustment which has the effect of preventing dilution generally should not be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as a result of a distribution of cash to the holders of shares of our Class A Common Stock which is taxable to such holders as a distribution. A non-U.S. Holder would be subject to U.S. federal income tax withholding as described above under “</w:t>
      </w:r>
      <w:r>
        <w:rPr>
          <w:rFonts w:ascii="Times New Roman" w:cs="Times New Roman" w:eastAsia="Times New Roman" w:hAnsi="Times New Roman"/>
          <w:sz w:val="18"/>
          <w:szCs w:val="18"/>
          <w:i w:val="1"/>
          <w:iCs w:val="1"/>
          <w:color w:val="auto"/>
        </w:rPr>
        <w:t>Non-U.S. Holders — Taxation of Distributions</w:t>
      </w:r>
      <w:r>
        <w:rPr>
          <w:rFonts w:ascii="Times New Roman" w:cs="Times New Roman" w:eastAsia="Times New Roman" w:hAnsi="Times New Roman"/>
          <w:sz w:val="18"/>
          <w:szCs w:val="18"/>
          <w:color w:val="auto"/>
        </w:rPr>
        <w:t>” under that section in the same manner as if such non-U.S. Holder received a cash distribution from us on Class A Common Stock equal to the fair market value of such increased interest.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Foreign Account Tax Compliance Act</w:t>
      </w:r>
    </w:p>
    <w:p>
      <w:pPr>
        <w:spacing w:after="0" w:line="16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Provisions of the Code and Treasury Regulations and administrative guidance promulgated thereunder commonly referred as the “Foreign Account Tax Compliance Act” (“FATCA”) generally impose withholding at a rate of 30% in certain circumstances on dividends (including constructive dividends) in respect of our securities which are held by</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1" w:name="page122"/>
    <w:bookmarkEnd w:id="1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 through certain foreign financial institutions (including investment funds), unless any such institution</w:t>
      </w:r>
    </w:p>
    <w:p>
      <w:pPr>
        <w:spacing w:after="0" w:line="27" w:lineRule="exact"/>
        <w:rPr>
          <w:sz w:val="20"/>
          <w:szCs w:val="20"/>
          <w:color w:val="auto"/>
        </w:rPr>
      </w:pPr>
    </w:p>
    <w:p>
      <w:pPr>
        <w:jc w:val="both"/>
        <w:ind w:left="460" w:right="459" w:hanging="6"/>
        <w:spacing w:after="0" w:line="250" w:lineRule="auto"/>
        <w:tabs>
          <w:tab w:leader="none" w:pos="73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(2)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w:t>
      </w:r>
    </w:p>
    <w:p>
      <w:pPr>
        <w:spacing w:after="0" w:line="4"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the IRS released proposed regulations that, if finalized in their proposed form, would eliminate the obligation to withhold on such gross proceeds. Although these proposed Treasury Regulations are not final, taxpayers generally may rely on them until final Treasury Regulations are issued. Prospective investors should consult their tax advisors regarding the possible implications of FATCA on their investment in our securities.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of dividends and the proceeds from a sale or other disposition of shares of Class A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2" w:name="page123"/>
    <w:bookmarkEnd w:id="1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Each Selling Securityholder (the “</w:t>
      </w:r>
      <w:r>
        <w:rPr>
          <w:rFonts w:ascii="Times New Roman" w:cs="Times New Roman" w:eastAsia="Times New Roman" w:hAnsi="Times New Roman"/>
          <w:sz w:val="18"/>
          <w:szCs w:val="18"/>
          <w:u w:val="single" w:color="auto"/>
          <w:color w:val="auto"/>
        </w:rPr>
        <w:t>Selling Securityholders</w:t>
      </w:r>
      <w:r>
        <w:rPr>
          <w:rFonts w:ascii="Times New Roman" w:cs="Times New Roman" w:eastAsia="Times New Roman" w:hAnsi="Times New Roman"/>
          <w:sz w:val="18"/>
          <w:szCs w:val="18"/>
          <w:color w:val="auto"/>
        </w:rPr>
        <w:t>”) of the securities and any of their pledgees, assignees and successors-in-interest may, from time to time, sell any or all of their securities covered hereby on the Nasdaq Capital Market or any other stock exchange, market or trading facility on which the securities are traded or in private transactions. These sales may be at fixed or negotiated prices.</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Securityholders. We will receive proceeds equal to the aggregate exercise price from any exercises of the Warrants, assuming the exercise of the Warrants for cash.</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Upon effectiveness of the registration statement of which this prospectus forms a part, the securities beneficially owned by the Selling Securityholders covered by this prospectus may be offered and sold from time to time by the Selling Securityholders, subject to any applicable lock up agreements or other applicable restrictions. The term “Selling Securityholders” includes donees, pledgees, transferees or other successors in interest selling securities received after the date of this prospectus from a Selling Securityholder as a gift, pledge, partnership or limited liability company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Securityholders reserves the right to accept and, together with its respective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Selling Securityholder may use any one or more of the following methods when selling securities:</w:t>
      </w:r>
    </w:p>
    <w:p>
      <w:pPr>
        <w:spacing w:after="0" w:line="158" w:lineRule="exact"/>
        <w:rPr>
          <w:sz w:val="20"/>
          <w:szCs w:val="20"/>
          <w:color w:val="auto"/>
        </w:rPr>
      </w:pPr>
    </w:p>
    <w:p>
      <w:pPr>
        <w:ind w:left="1320" w:right="479" w:hanging="434"/>
        <w:spacing w:after="0" w:line="282" w:lineRule="auto"/>
        <w:tabs>
          <w:tab w:leader="none" w:pos="147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5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the Nasdaq Stock Market;</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w:t>
      </w:r>
    </w:p>
    <w:p>
      <w:pPr>
        <w:spacing w:after="0" w:line="14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3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employees, members, limited partners or stockholders of the Selling Securityholders;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1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 whether through an options exchange or otherwise;</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delivery arrangements;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agents;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2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3" w:name="page124"/>
    <w:bookmarkEnd w:id="1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00" w:hanging="414"/>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 and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as described below, or any other method permitted pursuant to applicable law.</w:t>
      </w:r>
    </w:p>
    <w:p>
      <w:pPr>
        <w:spacing w:after="0" w:line="8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Selling Securityholders may also sell securities under Rule 144 or any other exemption from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if available, rather than under this prospectus.</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Further, a Selling Securityholder that is an entity may elect to make an in-kind distribution of securities to its members, partners or stockholders pursuant to the registration statement of which this prospectus is a part by delivering a prospectus with a plan of distribution.</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w:t>
      </w:r>
    </w:p>
    <w:p>
      <w:pPr>
        <w:spacing w:after="0" w:line="8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Broker-dealers engaged by the Selling Securityholders may arrange for other brokers-dealers to participate in sales. Broker-dealers may receive commissions or discounts from the Selling Securityholders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Securityholders may enter into hedging transactions with broker-dealers or other financial institutions, which may in turn engage in short sales of the securities in the course of hedging the positions they assume. The Selling Securityholders may also sell securities short and deliver these securities to close out their short positions, or loan or pledge the securities to broker-dealers that in turn may sell these securities. The Selling Securityholders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Selling Securityholders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Securityholder has informed the Company that it does not have any written or oral agreement or understanding, directly or indirectly, with any person to distribute the securities.</w:t>
      </w:r>
    </w:p>
    <w:p>
      <w:pPr>
        <w:spacing w:after="0" w:line="10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Securityholders against certain losses, claims, damages and liabilities, including liabilities under the Securities Act.</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securities may be resold by the Selling Securityholders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Securityholders will be subject to applicable provisions of the Exchange Act and the rules and regulations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4" w:name="page125"/>
    <w:bookmarkEnd w:id="1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thereunder, including Regulation M, which may limit the timing of purchases and sales of the common stock by the Selling Securityholders or any other person. We will make copies of this prospectus available to the Selling Securityholders and have informed them of the need to deliver a copy of this prospectus to each purchaser at or prior to the time of the sale (including by compliance with Rule 172 under the Securities Act).</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 holder of Warrants may exercise its Warrants in accordance with the Warrant Agreement on or before the expiration date set forth therein by surrendering, at the office of the warrant agent, Continental Stock Transfer &amp;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5" w:name="page126"/>
    <w:bookmarkEnd w:id="1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Ellenoff Grossman &amp; Schole LLP, New York, New York, is acting as counsel in connection with the registration of our securities under the Securities Act, and as such, will pass upon the validity of the securities offered in this prospectus.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financial statements of Archimedes Tech SPAC Partners Co. as of December 31, 2021 and 2020, and for the year ended December 31, 2021 and the period from September 15, 2020 (inception) through December 31, 2020, appearing in this registration statement have been audited by UHY LLP, independent registered public accounting firm, as set forth in their report thereon (which contains an explanatory paragraph relating to the substantial doubt about the ability of Archimedes Tech SPAC Partners Co. to continue as a going concern as described in Note 1 to the financial statements), appearing elsewhere in this registration statement, and are included in reliance upon such report given on the authority of such firm as experts in auditing and accounting.</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financial statements of SoundHound, Inc. as of and for the years ended December 31, 2021 and 2020 included in this registration statement, of which this prospectus forms a part, have been audited by Armanino LLP., independent registered public accounting firm, as set forth in their report appearing elsewhere herein, and are included in reliance upon such report given on the authority of such firm as experts in auditing and accounting in giving said report.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securities offered in this prospectus. This prospectus, which constitutes a part of the registration statement, does not contain all of the information set forth in the registration statement and its exhibits and schedules, portions of which have been omitted as permitted by the rules and regulations of the SEC. For further information about us and our securities, we refer you to the registration statement and to its exhibits and schedules. Statements in this prospectus about the contents of any contract, agreement or other document are not necessarily complete and, in each instance, we refer you to the copy of such contract, agreement or document filed as an exhibit to the registration statement, with each such statement being qualified in all respects by reference to the document to which it refers.</w:t>
      </w:r>
    </w:p>
    <w:p>
      <w:pPr>
        <w:spacing w:after="0" w:line="12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You can read our SEC filings, including the registration statement, over the Internet at the SEC’s website at </w:t>
      </w:r>
      <w:r>
        <w:rPr>
          <w:rFonts w:ascii="Times New Roman" w:cs="Times New Roman" w:eastAsia="Times New Roman" w:hAnsi="Times New Roman"/>
          <w:sz w:val="18"/>
          <w:szCs w:val="18"/>
          <w:i w:val="1"/>
          <w:iCs w:val="1"/>
          <w:color w:val="auto"/>
        </w:rPr>
        <w:t>www.sec.gov</w:t>
      </w:r>
    </w:p>
    <w:p>
      <w:pPr>
        <w:spacing w:after="0" w:line="94" w:lineRule="exact"/>
        <w:rPr>
          <w:sz w:val="20"/>
          <w:szCs w:val="20"/>
          <w:color w:val="auto"/>
        </w:rPr>
      </w:pPr>
    </w:p>
    <w:p>
      <w:pPr>
        <w:jc w:val="both"/>
        <w:ind w:left="460" w:right="479" w:firstLine="432"/>
        <w:spacing w:after="0" w:line="274" w:lineRule="auto"/>
        <w:rPr>
          <w:sz w:val="20"/>
          <w:szCs w:val="20"/>
          <w:color w:val="auto"/>
        </w:rPr>
      </w:pPr>
      <w:r>
        <w:rPr>
          <w:rFonts w:ascii="Times New Roman" w:cs="Times New Roman" w:eastAsia="Times New Roman" w:hAnsi="Times New Roman"/>
          <w:sz w:val="17"/>
          <w:szCs w:val="17"/>
          <w:color w:val="auto"/>
        </w:rPr>
        <w:t xml:space="preserve">We also file periodic reports, proxy statements and other information with the SEC. These reports, proxy statements and other information will be available for inspection and copying at the public reference room and website of the SEC referred to above. We also maintain a website at </w:t>
      </w:r>
      <w:r>
        <w:rPr>
          <w:rFonts w:ascii="Times New Roman" w:cs="Times New Roman" w:eastAsia="Times New Roman" w:hAnsi="Times New Roman"/>
          <w:sz w:val="17"/>
          <w:szCs w:val="17"/>
          <w:i w:val="1"/>
          <w:iCs w:val="1"/>
          <w:color w:val="auto"/>
        </w:rPr>
        <w:t>www.soundhound.com</w:t>
      </w:r>
      <w:r>
        <w:rPr>
          <w:rFonts w:ascii="Times New Roman" w:cs="Times New Roman" w:eastAsia="Times New Roman" w:hAnsi="Times New Roman"/>
          <w:sz w:val="17"/>
          <w:szCs w:val="17"/>
          <w:color w:val="auto"/>
        </w:rPr>
        <w:t>, by which you may access these materials free of charge as soon as reasonably practicable after they are electronically filed with, or furnished to, the SEC. The information that is contained on, or that may be accessed through, our website is not a part of this prospectus. We have included our website in this prospectus solely as an inactive textual reference.</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6" w:name="page127"/>
    <w:bookmarkEnd w:id="1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87"/>
        </w:trPr>
        <w:tc>
          <w:tcPr>
            <w:tcW w:w="180" w:type="dxa"/>
            <w:vAlign w:val="bottom"/>
            <w:tcBorders>
              <w:bottom w:val="single" w:sz="8" w:color="CCEEFF"/>
            </w:tcBorders>
          </w:tcPr>
          <w:p>
            <w:pPr>
              <w:spacing w:after="0"/>
              <w:rPr>
                <w:sz w:val="7"/>
                <w:szCs w:val="7"/>
                <w:color w:val="auto"/>
              </w:rPr>
            </w:pPr>
          </w:p>
        </w:tc>
        <w:tc>
          <w:tcPr>
            <w:tcW w:w="1960" w:type="dxa"/>
            <w:vAlign w:val="bottom"/>
            <w:tcBorders>
              <w:bottom w:val="single" w:sz="8" w:color="CCEEFF"/>
            </w:tcBorders>
          </w:tcPr>
          <w:p>
            <w:pPr>
              <w:spacing w:after="0"/>
              <w:rPr>
                <w:sz w:val="7"/>
                <w:szCs w:val="7"/>
                <w:color w:val="auto"/>
              </w:rPr>
            </w:pPr>
          </w:p>
        </w:tc>
        <w:tc>
          <w:tcPr>
            <w:tcW w:w="720" w:type="dxa"/>
            <w:vAlign w:val="bottom"/>
            <w:tcBorders>
              <w:bottom w:val="single" w:sz="8" w:color="CCEEFF"/>
            </w:tcBorders>
          </w:tcPr>
          <w:p>
            <w:pPr>
              <w:spacing w:after="0"/>
              <w:rPr>
                <w:sz w:val="7"/>
                <w:szCs w:val="7"/>
                <w:color w:val="auto"/>
              </w:rPr>
            </w:pPr>
          </w:p>
        </w:tc>
        <w:tc>
          <w:tcPr>
            <w:tcW w:w="780" w:type="dxa"/>
            <w:vAlign w:val="bottom"/>
            <w:tcBorders>
              <w:bottom w:val="single" w:sz="8" w:color="CCEEFF"/>
            </w:tcBorders>
          </w:tcPr>
          <w:p>
            <w:pPr>
              <w:spacing w:after="0"/>
              <w:rPr>
                <w:sz w:val="7"/>
                <w:szCs w:val="7"/>
                <w:color w:val="auto"/>
              </w:rPr>
            </w:pPr>
          </w:p>
        </w:tc>
        <w:tc>
          <w:tcPr>
            <w:tcW w:w="580" w:type="dxa"/>
            <w:vAlign w:val="bottom"/>
            <w:tcBorders>
              <w:bottom w:val="single" w:sz="8" w:color="CCEEFF"/>
            </w:tcBorders>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260" w:type="dxa"/>
            <w:vAlign w:val="bottom"/>
            <w:tcBorders>
              <w:bottom w:val="single" w:sz="8" w:color="CCEEFF"/>
            </w:tcBorders>
          </w:tcPr>
          <w:p>
            <w:pPr>
              <w:spacing w:after="0"/>
              <w:rPr>
                <w:sz w:val="7"/>
                <w:szCs w:val="7"/>
                <w:color w:val="auto"/>
              </w:rPr>
            </w:pPr>
          </w:p>
        </w:tc>
        <w:tc>
          <w:tcPr>
            <w:tcW w:w="360" w:type="dxa"/>
            <w:vAlign w:val="bottom"/>
            <w:tcBorders>
              <w:bottom w:val="single" w:sz="8" w:color="CCEEFF"/>
            </w:tcBorders>
          </w:tcPr>
          <w:p>
            <w:pPr>
              <w:spacing w:after="0"/>
              <w:rPr>
                <w:sz w:val="7"/>
                <w:szCs w:val="7"/>
                <w:color w:val="auto"/>
              </w:rPr>
            </w:pPr>
          </w:p>
        </w:tc>
        <w:tc>
          <w:tcPr>
            <w:tcW w:w="340" w:type="dxa"/>
            <w:vAlign w:val="bottom"/>
            <w:tcBorders>
              <w:bottom w:val="single" w:sz="8" w:color="CCEEFF"/>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68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900" w:type="dxa"/>
            <w:vAlign w:val="bottom"/>
            <w:tcBorders>
              <w:bottom w:val="single" w:sz="8" w:color="CCEEFF"/>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r>
      <w:tr>
        <w:trPr>
          <w:trHeight w:val="257"/>
        </w:trPr>
        <w:tc>
          <w:tcPr>
            <w:tcW w:w="728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820" w:type="dxa"/>
            <w:vAlign w:val="bottom"/>
            <w:tcBorders>
              <w:bottom w:val="single" w:sz="8" w:color="CCEEFF"/>
            </w:tcBorders>
            <w:shd w:val="clear" w:color="auto" w:fill="CCEEFF"/>
          </w:tcPr>
          <w:p>
            <w:pPr>
              <w:spacing w:after="0"/>
              <w:rPr>
                <w:sz w:val="22"/>
                <w:szCs w:val="22"/>
                <w:color w:val="auto"/>
              </w:rPr>
            </w:pPr>
          </w:p>
        </w:tc>
      </w:tr>
      <w:tr>
        <w:trPr>
          <w:trHeight w:val="203"/>
        </w:trPr>
        <w:tc>
          <w:tcPr>
            <w:tcW w:w="728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F-2</w:t>
            </w:r>
          </w:p>
        </w:tc>
      </w:tr>
      <w:tr>
        <w:trPr>
          <w:trHeight w:val="61"/>
        </w:trPr>
        <w:tc>
          <w:tcPr>
            <w:tcW w:w="180" w:type="dxa"/>
            <w:vAlign w:val="bottom"/>
            <w:tcBorders>
              <w:top w:val="single" w:sz="8" w:color="0000EE"/>
            </w:tcBorders>
          </w:tcPr>
          <w:p>
            <w:pPr>
              <w:spacing w:after="0"/>
              <w:rPr>
                <w:sz w:val="5"/>
                <w:szCs w:val="5"/>
                <w:color w:val="auto"/>
              </w:rPr>
            </w:pPr>
          </w:p>
        </w:tc>
        <w:tc>
          <w:tcPr>
            <w:tcW w:w="19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2"/>
        </w:trPr>
        <w:tc>
          <w:tcPr>
            <w:tcW w:w="7280" w:type="dxa"/>
            <w:vAlign w:val="bottom"/>
            <w:gridSpan w:val="1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Balance Sheet as of December 31, 2021</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F-3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96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5"/>
        </w:trPr>
        <w:tc>
          <w:tcPr>
            <w:tcW w:w="6240" w:type="dxa"/>
            <w:vAlign w:val="bottom"/>
            <w:tcBorders>
              <w:bottom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w w:val="99"/>
              </w:rPr>
              <w:t>Statements of Operations for the periods from September 15, 2020 (inception) through</w:t>
            </w:r>
          </w:p>
        </w:tc>
        <w:tc>
          <w:tcPr>
            <w:tcW w:w="104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December 31, 2020 and for the year ended December 31, 2021</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61"/>
        </w:trPr>
        <w:tc>
          <w:tcPr>
            <w:tcW w:w="180" w:type="dxa"/>
            <w:vAlign w:val="bottom"/>
          </w:tcPr>
          <w:p>
            <w:pPr>
              <w:spacing w:after="0"/>
              <w:rPr>
                <w:sz w:val="5"/>
                <w:szCs w:val="5"/>
                <w:color w:val="auto"/>
              </w:rPr>
            </w:pPr>
          </w:p>
        </w:tc>
        <w:tc>
          <w:tcPr>
            <w:tcW w:w="19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5"/>
        </w:trPr>
        <w:tc>
          <w:tcPr>
            <w:tcW w:w="714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Statement of Changes in Stockholders’ Equity for the periods from September 15, 2020 (inception)</w:t>
            </w: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1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through December 31, 2020 and the year ended December 31, 2021</w:t>
            </w:r>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96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5"/>
        </w:trPr>
        <w:tc>
          <w:tcPr>
            <w:tcW w:w="6220" w:type="dxa"/>
            <w:vAlign w:val="bottom"/>
            <w:tcBorders>
              <w:bottom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w w:val="99"/>
              </w:rPr>
              <w:t>Statement of Cash Flows for the periods from September 15, 2020 (inception) through</w:t>
            </w:r>
          </w:p>
        </w:tc>
        <w:tc>
          <w:tcPr>
            <w:tcW w:w="1060" w:type="dxa"/>
            <w:vAlign w:val="bottom"/>
            <w:gridSpan w:val="3"/>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December 31, 2020 and the year ended December 31, 2021</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61"/>
        </w:trPr>
        <w:tc>
          <w:tcPr>
            <w:tcW w:w="180" w:type="dxa"/>
            <w:vAlign w:val="bottom"/>
          </w:tcPr>
          <w:p>
            <w:pPr>
              <w:spacing w:after="0"/>
              <w:rPr>
                <w:sz w:val="5"/>
                <w:szCs w:val="5"/>
                <w:color w:val="auto"/>
              </w:rPr>
            </w:pPr>
          </w:p>
        </w:tc>
        <w:tc>
          <w:tcPr>
            <w:tcW w:w="19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F-7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96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432"/>
        </w:trPr>
        <w:tc>
          <w:tcPr>
            <w:tcW w:w="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20" w:type="dxa"/>
            <w:vAlign w:val="bottom"/>
            <w:gridSpan w:val="12"/>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9"/>
              </w:rPr>
              <w:t>SOUNDHOUND , INC.</w:t>
            </w:r>
          </w:p>
        </w:tc>
        <w:tc>
          <w:tcPr>
            <w:tcW w:w="820" w:type="dxa"/>
            <w:vAlign w:val="bottom"/>
          </w:tcPr>
          <w:p>
            <w:pPr>
              <w:spacing w:after="0"/>
              <w:rPr>
                <w:sz w:val="24"/>
                <w:szCs w:val="24"/>
                <w:color w:val="auto"/>
              </w:rPr>
            </w:pPr>
          </w:p>
        </w:tc>
      </w:tr>
      <w:tr>
        <w:trPr>
          <w:trHeight w:val="176"/>
        </w:trPr>
        <w:tc>
          <w:tcPr>
            <w:tcW w:w="1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63"/>
        </w:trPr>
        <w:tc>
          <w:tcPr>
            <w:tcW w:w="728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820" w:type="dxa"/>
            <w:vAlign w:val="bottom"/>
            <w:tcBorders>
              <w:bottom w:val="single" w:sz="8" w:color="CCEEFF"/>
            </w:tcBorders>
            <w:shd w:val="clear" w:color="auto" w:fill="CCEEFF"/>
          </w:tcPr>
          <w:p>
            <w:pPr>
              <w:spacing w:after="0"/>
              <w:rPr>
                <w:sz w:val="22"/>
                <w:szCs w:val="22"/>
                <w:color w:val="auto"/>
              </w:rPr>
            </w:pPr>
          </w:p>
        </w:tc>
      </w:tr>
      <w:tr>
        <w:trPr>
          <w:trHeight w:val="175"/>
        </w:trPr>
        <w:tc>
          <w:tcPr>
            <w:tcW w:w="728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8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F-26</w:t>
            </w:r>
          </w:p>
        </w:tc>
      </w:tr>
      <w:tr>
        <w:trPr>
          <w:trHeight w:val="88"/>
        </w:trPr>
        <w:tc>
          <w:tcPr>
            <w:tcW w:w="180" w:type="dxa"/>
            <w:vAlign w:val="bottom"/>
            <w:tcBorders>
              <w:top w:val="single" w:sz="8" w:color="0000EE"/>
            </w:tcBorders>
          </w:tcPr>
          <w:p>
            <w:pPr>
              <w:spacing w:after="0"/>
              <w:rPr>
                <w:sz w:val="7"/>
                <w:szCs w:val="7"/>
                <w:color w:val="auto"/>
              </w:rPr>
            </w:pPr>
          </w:p>
        </w:tc>
        <w:tc>
          <w:tcPr>
            <w:tcW w:w="1960" w:type="dxa"/>
            <w:vAlign w:val="bottom"/>
            <w:tcBorders>
              <w:top w:val="single" w:sz="8" w:color="0000EE"/>
            </w:tcBorders>
          </w:tcPr>
          <w:p>
            <w:pPr>
              <w:spacing w:after="0"/>
              <w:rPr>
                <w:sz w:val="7"/>
                <w:szCs w:val="7"/>
                <w:color w:val="auto"/>
              </w:rPr>
            </w:pPr>
          </w:p>
        </w:tc>
        <w:tc>
          <w:tcPr>
            <w:tcW w:w="720" w:type="dxa"/>
            <w:vAlign w:val="bottom"/>
            <w:tcBorders>
              <w:top w:val="single" w:sz="8" w:color="0000EE"/>
            </w:tcBorders>
          </w:tcPr>
          <w:p>
            <w:pPr>
              <w:spacing w:after="0"/>
              <w:rPr>
                <w:sz w:val="7"/>
                <w:szCs w:val="7"/>
                <w:color w:val="auto"/>
              </w:rPr>
            </w:pPr>
          </w:p>
        </w:tc>
        <w:tc>
          <w:tcPr>
            <w:tcW w:w="780" w:type="dxa"/>
            <w:vAlign w:val="bottom"/>
            <w:tcBorders>
              <w:top w:val="single" w:sz="8" w:color="0000EE"/>
            </w:tcBorders>
          </w:tcPr>
          <w:p>
            <w:pPr>
              <w:spacing w:after="0"/>
              <w:rPr>
                <w:sz w:val="7"/>
                <w:szCs w:val="7"/>
                <w:color w:val="auto"/>
              </w:rPr>
            </w:pPr>
          </w:p>
        </w:tc>
        <w:tc>
          <w:tcPr>
            <w:tcW w:w="580" w:type="dxa"/>
            <w:vAlign w:val="bottom"/>
            <w:tcBorders>
              <w:top w:val="single" w:sz="8" w:color="0000EE"/>
            </w:tcBorders>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176"/>
        </w:trPr>
        <w:tc>
          <w:tcPr>
            <w:tcW w:w="728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Balance Sheets as of December 31, 2021 and 2020</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F-27</w:t>
            </w:r>
          </w:p>
        </w:tc>
      </w:tr>
      <w:tr>
        <w:trPr>
          <w:trHeight w:val="88"/>
        </w:trPr>
        <w:tc>
          <w:tcPr>
            <w:tcW w:w="180" w:type="dxa"/>
            <w:vAlign w:val="bottom"/>
            <w:tcBorders>
              <w:top w:val="single" w:sz="8" w:color="0000EE"/>
            </w:tcBorders>
            <w:shd w:val="clear" w:color="auto" w:fill="CCEEFF"/>
          </w:tcPr>
          <w:p>
            <w:pPr>
              <w:spacing w:after="0"/>
              <w:rPr>
                <w:sz w:val="7"/>
                <w:szCs w:val="7"/>
                <w:color w:val="auto"/>
              </w:rPr>
            </w:pPr>
          </w:p>
        </w:tc>
        <w:tc>
          <w:tcPr>
            <w:tcW w:w="1960" w:type="dxa"/>
            <w:vAlign w:val="bottom"/>
            <w:tcBorders>
              <w:top w:val="single" w:sz="8" w:color="0000EE"/>
            </w:tcBorders>
            <w:shd w:val="clear" w:color="auto" w:fill="CCEEFF"/>
          </w:tcPr>
          <w:p>
            <w:pPr>
              <w:spacing w:after="0"/>
              <w:rPr>
                <w:sz w:val="7"/>
                <w:szCs w:val="7"/>
                <w:color w:val="auto"/>
              </w:rPr>
            </w:pPr>
          </w:p>
        </w:tc>
        <w:tc>
          <w:tcPr>
            <w:tcW w:w="720" w:type="dxa"/>
            <w:vAlign w:val="bottom"/>
            <w:tcBorders>
              <w:top w:val="single" w:sz="8" w:color="0000EE"/>
            </w:tcBorders>
            <w:shd w:val="clear" w:color="auto" w:fill="CCEEFF"/>
          </w:tcPr>
          <w:p>
            <w:pPr>
              <w:spacing w:after="0"/>
              <w:rPr>
                <w:sz w:val="7"/>
                <w:szCs w:val="7"/>
                <w:color w:val="auto"/>
              </w:rPr>
            </w:pPr>
          </w:p>
        </w:tc>
        <w:tc>
          <w:tcPr>
            <w:tcW w:w="780" w:type="dxa"/>
            <w:vAlign w:val="bottom"/>
            <w:tcBorders>
              <w:top w:val="single" w:sz="8" w:color="0000EE"/>
            </w:tcBorders>
            <w:shd w:val="clear" w:color="auto" w:fill="CCEEFF"/>
          </w:tcPr>
          <w:p>
            <w:pPr>
              <w:spacing w:after="0"/>
              <w:rPr>
                <w:sz w:val="7"/>
                <w:szCs w:val="7"/>
                <w:color w:val="auto"/>
              </w:rPr>
            </w:pPr>
          </w:p>
        </w:tc>
        <w:tc>
          <w:tcPr>
            <w:tcW w:w="58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90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CCEEFF"/>
            </w:tcBorders>
            <w:shd w:val="clear" w:color="auto" w:fill="CCEEFF"/>
          </w:tcPr>
          <w:p>
            <w:pPr>
              <w:spacing w:after="0"/>
              <w:rPr>
                <w:sz w:val="7"/>
                <w:szCs w:val="7"/>
                <w:color w:val="auto"/>
              </w:rPr>
            </w:pPr>
          </w:p>
        </w:tc>
      </w:tr>
      <w:tr>
        <w:trPr>
          <w:trHeight w:val="176"/>
        </w:trPr>
        <w:tc>
          <w:tcPr>
            <w:tcW w:w="728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Statements of Operations for the years ended December 31, 2021 and 2020</w:t>
            </w:r>
          </w:p>
        </w:tc>
        <w:tc>
          <w:tcPr>
            <w:tcW w:w="8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F-29</w:t>
            </w:r>
          </w:p>
        </w:tc>
      </w:tr>
      <w:tr>
        <w:trPr>
          <w:trHeight w:val="88"/>
        </w:trPr>
        <w:tc>
          <w:tcPr>
            <w:tcW w:w="180" w:type="dxa"/>
            <w:vAlign w:val="bottom"/>
            <w:tcBorders>
              <w:top w:val="single" w:sz="8" w:color="0000EE"/>
            </w:tcBorders>
          </w:tcPr>
          <w:p>
            <w:pPr>
              <w:spacing w:after="0"/>
              <w:rPr>
                <w:sz w:val="7"/>
                <w:szCs w:val="7"/>
                <w:color w:val="auto"/>
              </w:rPr>
            </w:pPr>
          </w:p>
        </w:tc>
        <w:tc>
          <w:tcPr>
            <w:tcW w:w="1960" w:type="dxa"/>
            <w:vAlign w:val="bottom"/>
            <w:tcBorders>
              <w:top w:val="single" w:sz="8" w:color="0000EE"/>
            </w:tcBorders>
          </w:tcPr>
          <w:p>
            <w:pPr>
              <w:spacing w:after="0"/>
              <w:rPr>
                <w:sz w:val="7"/>
                <w:szCs w:val="7"/>
                <w:color w:val="auto"/>
              </w:rPr>
            </w:pPr>
          </w:p>
        </w:tc>
        <w:tc>
          <w:tcPr>
            <w:tcW w:w="720" w:type="dxa"/>
            <w:vAlign w:val="bottom"/>
            <w:tcBorders>
              <w:top w:val="single" w:sz="8" w:color="0000EE"/>
            </w:tcBorders>
          </w:tcPr>
          <w:p>
            <w:pPr>
              <w:spacing w:after="0"/>
              <w:rPr>
                <w:sz w:val="7"/>
                <w:szCs w:val="7"/>
                <w:color w:val="auto"/>
              </w:rPr>
            </w:pPr>
          </w:p>
        </w:tc>
        <w:tc>
          <w:tcPr>
            <w:tcW w:w="780" w:type="dxa"/>
            <w:vAlign w:val="bottom"/>
            <w:tcBorders>
              <w:top w:val="single" w:sz="8" w:color="0000EE"/>
            </w:tcBorders>
          </w:tcPr>
          <w:p>
            <w:pPr>
              <w:spacing w:after="0"/>
              <w:rPr>
                <w:sz w:val="7"/>
                <w:szCs w:val="7"/>
                <w:color w:val="auto"/>
              </w:rPr>
            </w:pPr>
          </w:p>
        </w:tc>
        <w:tc>
          <w:tcPr>
            <w:tcW w:w="58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176"/>
        </w:trPr>
        <w:tc>
          <w:tcPr>
            <w:tcW w:w="728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Stockholders’ Equity for the years ended December 31, 2021 and 2020</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F-30</w:t>
            </w:r>
          </w:p>
        </w:tc>
      </w:tr>
      <w:tr>
        <w:trPr>
          <w:trHeight w:val="88"/>
        </w:trPr>
        <w:tc>
          <w:tcPr>
            <w:tcW w:w="180" w:type="dxa"/>
            <w:vAlign w:val="bottom"/>
            <w:tcBorders>
              <w:top w:val="single" w:sz="8" w:color="0000EE"/>
            </w:tcBorders>
            <w:shd w:val="clear" w:color="auto" w:fill="CCEEFF"/>
          </w:tcPr>
          <w:p>
            <w:pPr>
              <w:spacing w:after="0"/>
              <w:rPr>
                <w:sz w:val="7"/>
                <w:szCs w:val="7"/>
                <w:color w:val="auto"/>
              </w:rPr>
            </w:pPr>
          </w:p>
        </w:tc>
        <w:tc>
          <w:tcPr>
            <w:tcW w:w="1960" w:type="dxa"/>
            <w:vAlign w:val="bottom"/>
            <w:tcBorders>
              <w:top w:val="single" w:sz="8" w:color="0000EE"/>
            </w:tcBorders>
            <w:shd w:val="clear" w:color="auto" w:fill="CCEEFF"/>
          </w:tcPr>
          <w:p>
            <w:pPr>
              <w:spacing w:after="0"/>
              <w:rPr>
                <w:sz w:val="7"/>
                <w:szCs w:val="7"/>
                <w:color w:val="auto"/>
              </w:rPr>
            </w:pPr>
          </w:p>
        </w:tc>
        <w:tc>
          <w:tcPr>
            <w:tcW w:w="720" w:type="dxa"/>
            <w:vAlign w:val="bottom"/>
            <w:tcBorders>
              <w:top w:val="single" w:sz="8" w:color="0000EE"/>
            </w:tcBorders>
            <w:shd w:val="clear" w:color="auto" w:fill="CCEEFF"/>
          </w:tcPr>
          <w:p>
            <w:pPr>
              <w:spacing w:after="0"/>
              <w:rPr>
                <w:sz w:val="7"/>
                <w:szCs w:val="7"/>
                <w:color w:val="auto"/>
              </w:rPr>
            </w:pPr>
          </w:p>
        </w:tc>
        <w:tc>
          <w:tcPr>
            <w:tcW w:w="780" w:type="dxa"/>
            <w:vAlign w:val="bottom"/>
            <w:tcBorders>
              <w:top w:val="single" w:sz="8" w:color="0000EE"/>
            </w:tcBorders>
            <w:shd w:val="clear" w:color="auto" w:fill="CCEEFF"/>
          </w:tcPr>
          <w:p>
            <w:pPr>
              <w:spacing w:after="0"/>
              <w:rPr>
                <w:sz w:val="7"/>
                <w:szCs w:val="7"/>
                <w:color w:val="auto"/>
              </w:rPr>
            </w:pPr>
          </w:p>
        </w:tc>
        <w:tc>
          <w:tcPr>
            <w:tcW w:w="580" w:type="dxa"/>
            <w:vAlign w:val="bottom"/>
            <w:tcBorders>
              <w:top w:val="single" w:sz="8" w:color="0000EE"/>
            </w:tcBorders>
            <w:shd w:val="clear" w:color="auto" w:fill="CCEEFF"/>
          </w:tcPr>
          <w:p>
            <w:pPr>
              <w:spacing w:after="0"/>
              <w:rPr>
                <w:sz w:val="7"/>
                <w:szCs w:val="7"/>
                <w:color w:val="auto"/>
              </w:rPr>
            </w:pPr>
          </w:p>
        </w:tc>
        <w:tc>
          <w:tcPr>
            <w:tcW w:w="22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0000EE"/>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68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90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CCEEFF"/>
            </w:tcBorders>
            <w:shd w:val="clear" w:color="auto" w:fill="CCEEFF"/>
          </w:tcPr>
          <w:p>
            <w:pPr>
              <w:spacing w:after="0"/>
              <w:rPr>
                <w:sz w:val="7"/>
                <w:szCs w:val="7"/>
                <w:color w:val="auto"/>
              </w:rPr>
            </w:pPr>
          </w:p>
        </w:tc>
      </w:tr>
      <w:tr>
        <w:trPr>
          <w:trHeight w:val="175"/>
        </w:trPr>
        <w:tc>
          <w:tcPr>
            <w:tcW w:w="728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 for the years ended December 31, 2021 and 2020</w:t>
            </w:r>
          </w:p>
        </w:tc>
        <w:tc>
          <w:tcPr>
            <w:tcW w:w="8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F-31</w:t>
            </w:r>
          </w:p>
        </w:tc>
      </w:tr>
      <w:tr>
        <w:trPr>
          <w:trHeight w:val="88"/>
        </w:trPr>
        <w:tc>
          <w:tcPr>
            <w:tcW w:w="180" w:type="dxa"/>
            <w:vAlign w:val="bottom"/>
            <w:tcBorders>
              <w:top w:val="single" w:sz="8" w:color="0000EE"/>
            </w:tcBorders>
          </w:tcPr>
          <w:p>
            <w:pPr>
              <w:spacing w:after="0"/>
              <w:rPr>
                <w:sz w:val="7"/>
                <w:szCs w:val="7"/>
                <w:color w:val="auto"/>
              </w:rPr>
            </w:pPr>
          </w:p>
        </w:tc>
        <w:tc>
          <w:tcPr>
            <w:tcW w:w="1960" w:type="dxa"/>
            <w:vAlign w:val="bottom"/>
            <w:tcBorders>
              <w:top w:val="single" w:sz="8" w:color="0000EE"/>
            </w:tcBorders>
          </w:tcPr>
          <w:p>
            <w:pPr>
              <w:spacing w:after="0"/>
              <w:rPr>
                <w:sz w:val="7"/>
                <w:szCs w:val="7"/>
                <w:color w:val="auto"/>
              </w:rPr>
            </w:pPr>
          </w:p>
        </w:tc>
        <w:tc>
          <w:tcPr>
            <w:tcW w:w="720" w:type="dxa"/>
            <w:vAlign w:val="bottom"/>
            <w:tcBorders>
              <w:top w:val="single" w:sz="8" w:color="0000EE"/>
            </w:tcBorders>
          </w:tcPr>
          <w:p>
            <w:pPr>
              <w:spacing w:after="0"/>
              <w:rPr>
                <w:sz w:val="7"/>
                <w:szCs w:val="7"/>
                <w:color w:val="auto"/>
              </w:rPr>
            </w:pPr>
          </w:p>
        </w:tc>
        <w:tc>
          <w:tcPr>
            <w:tcW w:w="780" w:type="dxa"/>
            <w:vAlign w:val="bottom"/>
            <w:tcBorders>
              <w:top w:val="single" w:sz="8" w:color="0000EE"/>
            </w:tcBorders>
          </w:tcPr>
          <w:p>
            <w:pPr>
              <w:spacing w:after="0"/>
              <w:rPr>
                <w:sz w:val="7"/>
                <w:szCs w:val="7"/>
                <w:color w:val="auto"/>
              </w:rPr>
            </w:pPr>
          </w:p>
        </w:tc>
        <w:tc>
          <w:tcPr>
            <w:tcW w:w="58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176"/>
        </w:trPr>
        <w:tc>
          <w:tcPr>
            <w:tcW w:w="728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F-33</w:t>
            </w:r>
          </w:p>
        </w:tc>
      </w:tr>
      <w:tr>
        <w:trPr>
          <w:trHeight w:val="88"/>
        </w:trPr>
        <w:tc>
          <w:tcPr>
            <w:tcW w:w="180" w:type="dxa"/>
            <w:vAlign w:val="bottom"/>
            <w:tcBorders>
              <w:top w:val="single" w:sz="8" w:color="0000EE"/>
            </w:tcBorders>
            <w:shd w:val="clear" w:color="auto" w:fill="CCEEFF"/>
          </w:tcPr>
          <w:p>
            <w:pPr>
              <w:spacing w:after="0"/>
              <w:rPr>
                <w:sz w:val="7"/>
                <w:szCs w:val="7"/>
                <w:color w:val="auto"/>
              </w:rPr>
            </w:pPr>
          </w:p>
        </w:tc>
        <w:tc>
          <w:tcPr>
            <w:tcW w:w="1960" w:type="dxa"/>
            <w:vAlign w:val="bottom"/>
            <w:tcBorders>
              <w:top w:val="single" w:sz="8" w:color="0000EE"/>
            </w:tcBorders>
            <w:shd w:val="clear" w:color="auto" w:fill="CCEEFF"/>
          </w:tcPr>
          <w:p>
            <w:pPr>
              <w:spacing w:after="0"/>
              <w:rPr>
                <w:sz w:val="7"/>
                <w:szCs w:val="7"/>
                <w:color w:val="auto"/>
              </w:rPr>
            </w:pPr>
          </w:p>
        </w:tc>
        <w:tc>
          <w:tcPr>
            <w:tcW w:w="720" w:type="dxa"/>
            <w:vAlign w:val="bottom"/>
            <w:tcBorders>
              <w:top w:val="single" w:sz="8" w:color="CCEEFF"/>
            </w:tcBorders>
            <w:shd w:val="clear" w:color="auto" w:fill="CCEEFF"/>
          </w:tcPr>
          <w:p>
            <w:pPr>
              <w:spacing w:after="0"/>
              <w:rPr>
                <w:sz w:val="7"/>
                <w:szCs w:val="7"/>
                <w:color w:val="auto"/>
              </w:rPr>
            </w:pPr>
          </w:p>
        </w:tc>
        <w:tc>
          <w:tcPr>
            <w:tcW w:w="78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90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CCEEFF"/>
            </w:tcBorders>
            <w:shd w:val="clear" w:color="auto" w:fill="CCEEFF"/>
          </w:tcPr>
          <w:p>
            <w:pPr>
              <w:spacing w:after="0"/>
              <w:rPr>
                <w:sz w:val="7"/>
                <w:szCs w:val="7"/>
                <w:color w:val="auto"/>
              </w:rPr>
            </w:pPr>
          </w:p>
        </w:tc>
      </w:tr>
      <w:tr>
        <w:trPr>
          <w:trHeight w:val="405"/>
        </w:trPr>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11"/>
          </w:tcPr>
          <w:p>
            <w:pPr>
              <w:jc w:val="center"/>
              <w:ind w:right="2840"/>
              <w:spacing w:after="0"/>
              <w:rPr>
                <w:sz w:val="20"/>
                <w:szCs w:val="20"/>
                <w:color w:val="auto"/>
              </w:rPr>
            </w:pPr>
            <w:r>
              <w:rPr>
                <w:rFonts w:ascii="Times New Roman" w:cs="Times New Roman" w:eastAsia="Times New Roman" w:hAnsi="Times New Roman"/>
                <w:sz w:val="18"/>
                <w:szCs w:val="18"/>
                <w:color w:val="auto"/>
                <w:w w:val="95"/>
              </w:rPr>
              <w:t>F-1</w:t>
            </w: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27" w:name="page128"/>
    <w:bookmarkEnd w:id="1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REPORT OF INDEPDENT REGISTERED PUBLIC ACCOUNTING FIRM</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Archimedes Tech SPAC Partners Co.</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balance sheet of Archimedes Tech SPAC Partners Co. (the “Company”) as of December 31, 2021 and 2020, and the related statement of operations, changes in shareholders’ equity, and cash flow for the year ended December 31, 2021 and the period from September 15, 2020 (Inception) through December 31, 2020,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 ended December 31, 2021 and the period from September 15, 2020 (Inception) through December 31, 2020, in conformity with accounting principles generally accepted in the United States of America.</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as of December 31, 2021, the Company had $235,295 of cash available for its working capital needs. The Company expects to incur significant costs in pursuit of its financing and acquisition plans. These conditions raise substantial doubt about the Company’s ability to continue as a going concern. Management plans to address this uncertainty through a Proposed Business Combination as discussed in Note 1. There is no assurance that the Company’s plans to consummate a business combination will be successful within the combination period. The financial statements do not include any adjustments that might result from the outcome of this uncertainty. Our opinion is not modified with respect to that matter.</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UHY LLP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March 9, 2022</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8" w:name="page129"/>
    <w:bookmarkEnd w:id="1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235,295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Pr>
          <w:p>
            <w:pPr>
              <w:spacing w:after="0"/>
              <w:rPr>
                <w:sz w:val="22"/>
                <w:szCs w:val="22"/>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98,066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333,361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 held in Trust Account</w:t>
            </w:r>
          </w:p>
        </w:tc>
        <w:tc>
          <w:tcPr>
            <w:tcW w:w="100" w:type="dxa"/>
            <w:vAlign w:val="bottom"/>
          </w:tcPr>
          <w:p>
            <w:pPr>
              <w:spacing w:after="0"/>
              <w:rPr>
                <w:sz w:val="22"/>
                <w:szCs w:val="22"/>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133,010,583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133,343,944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247,868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to related party</w:t>
            </w:r>
          </w:p>
        </w:tc>
        <w:tc>
          <w:tcPr>
            <w:tcW w:w="100" w:type="dxa"/>
            <w:vAlign w:val="bottom"/>
          </w:tcPr>
          <w:p>
            <w:pPr>
              <w:spacing w:after="0"/>
              <w:rPr>
                <w:sz w:val="22"/>
                <w:szCs w:val="22"/>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249,684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100" w:type="dxa"/>
            <w:vAlign w:val="bottom"/>
          </w:tcPr>
          <w:p>
            <w:pPr>
              <w:spacing w:after="0"/>
              <w:rPr>
                <w:sz w:val="22"/>
                <w:szCs w:val="22"/>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247,514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497,198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subject to possible redemption, 13,300,000 shares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0 shares at redemption value as of December 31, 2021 and 2020,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133,010,583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none issued and outstanding</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and 31,000,000</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authorized, 4,161,000 shares and 0 shares issued and outstanding</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(excluding 13,300,000 shares and 0 shares subject to possible</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as of December 31, 2021 and 2020, respectively</w:t>
            </w:r>
          </w:p>
        </w:tc>
        <w:tc>
          <w:tcPr>
            <w:tcW w:w="100" w:type="dxa"/>
            <w:vAlign w:val="bottom"/>
          </w:tcPr>
          <w:p>
            <w:pPr>
              <w:spacing w:after="0"/>
              <w:rPr>
                <w:sz w:val="20"/>
                <w:szCs w:val="20"/>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818,347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22"/>
                <w:szCs w:val="22"/>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(982,600)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(163,837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580" w:type="dxa"/>
            <w:vAlign w:val="bottom"/>
            <w:vMerge w:val="continue"/>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133,343,944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9" w:name="page130"/>
    <w:bookmarkEnd w:id="1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September 15,</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00" w:type="dxa"/>
            <w:vAlign w:val="bottom"/>
          </w:tcPr>
          <w:p>
            <w:pPr>
              <w:spacing w:after="0"/>
              <w:rPr>
                <w:sz w:val="17"/>
                <w:szCs w:val="17"/>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(Inception)</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0" w:type="dxa"/>
            <w:vAlign w:val="bottom"/>
          </w:tcPr>
          <w:p>
            <w:pPr>
              <w:spacing w:after="0"/>
              <w:rPr>
                <w:sz w:val="17"/>
                <w:szCs w:val="17"/>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1,015,260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(1,015,260)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Trust interest income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10,583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on change in fair value of warrants</w:t>
            </w: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22,793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(981,884)</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56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Basic and diluted weighted average shares outstanding, common stock</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subject to redemption</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10,589,315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56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Basic and diluted net income per share attributable to common stock subject</w:t>
            </w: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redemption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3,959,088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4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0" w:name="page131"/>
    <w:bookmarkEnd w:id="1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DEFICIT</w:t>
      </w:r>
    </w:p>
    <w:p>
      <w:pPr>
        <w:spacing w:after="0" w:line="26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540" w:type="dxa"/>
            <w:vAlign w:val="bottom"/>
          </w:tcPr>
          <w:p>
            <w:pPr>
              <w:spacing w:after="0"/>
              <w:rPr>
                <w:sz w:val="17"/>
                <w:szCs w:val="17"/>
                <w:color w:val="auto"/>
              </w:rPr>
            </w:pPr>
          </w:p>
        </w:tc>
        <w:tc>
          <w:tcPr>
            <w:tcW w:w="1980" w:type="dxa"/>
            <w:vAlign w:val="bottom"/>
            <w:gridSpan w:val="7"/>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Pr>
          <w:p>
            <w:pPr>
              <w:spacing w:after="0"/>
              <w:rPr>
                <w:sz w:val="17"/>
                <w:szCs w:val="17"/>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18"/>
        </w:trPr>
        <w:tc>
          <w:tcPr>
            <w:tcW w:w="2540" w:type="dxa"/>
            <w:vAlign w:val="bottom"/>
          </w:tcPr>
          <w:p>
            <w:pPr>
              <w:spacing w:after="0"/>
              <w:rPr>
                <w:sz w:val="10"/>
                <w:szCs w:val="10"/>
                <w:color w:val="auto"/>
              </w:rPr>
            </w:pPr>
          </w:p>
        </w:tc>
        <w:tc>
          <w:tcPr>
            <w:tcW w:w="1980" w:type="dxa"/>
            <w:vAlign w:val="bottom"/>
            <w:gridSpan w:val="7"/>
            <w:vMerge w:val="continue"/>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3"/>
            <w:vMerge w:val="restart"/>
          </w:tcPr>
          <w:p>
            <w:pPr>
              <w:jc w:val="center"/>
              <w:ind w:right="240"/>
              <w:spacing w:after="0" w:line="145"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00" w:type="dxa"/>
            <w:vAlign w:val="bottom"/>
            <w:gridSpan w:val="4"/>
            <w:vMerge w:val="restart"/>
          </w:tcPr>
          <w:p>
            <w:pPr>
              <w:spacing w:after="0" w:line="14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0"/>
                <w:szCs w:val="10"/>
                <w:color w:val="auto"/>
              </w:rPr>
            </w:pPr>
          </w:p>
        </w:tc>
        <w:tc>
          <w:tcPr>
            <w:tcW w:w="1140" w:type="dxa"/>
            <w:vAlign w:val="bottom"/>
            <w:gridSpan w:val="2"/>
            <w:vMerge w:val="restart"/>
          </w:tcPr>
          <w:p>
            <w:pPr>
              <w:jc w:val="center"/>
              <w:ind w:right="140"/>
              <w:spacing w:after="0" w:line="145"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46"/>
        </w:trPr>
        <w:tc>
          <w:tcPr>
            <w:tcW w:w="254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540" w:type="dxa"/>
            <w:vAlign w:val="bottom"/>
          </w:tcPr>
          <w:p>
            <w:pPr>
              <w:spacing w:after="0"/>
              <w:rPr>
                <w:sz w:val="20"/>
                <w:szCs w:val="20"/>
                <w:color w:val="auto"/>
              </w:rPr>
            </w:pPr>
          </w:p>
        </w:tc>
        <w:tc>
          <w:tcPr>
            <w:tcW w:w="1080" w:type="dxa"/>
            <w:vAlign w:val="bottom"/>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20"/>
                <w:szCs w:val="20"/>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0"/>
                <w:szCs w:val="20"/>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20"/>
                <w:szCs w:val="20"/>
                <w:color w:val="auto"/>
              </w:rPr>
            </w:pPr>
          </w:p>
        </w:tc>
        <w:tc>
          <w:tcPr>
            <w:tcW w:w="90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20"/>
                <w:szCs w:val="20"/>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0" w:type="dxa"/>
            <w:vAlign w:val="bottom"/>
          </w:tcPr>
          <w:p>
            <w:pPr>
              <w:spacing w:after="0"/>
              <w:rPr>
                <w:sz w:val="1"/>
                <w:szCs w:val="1"/>
                <w:color w:val="auto"/>
              </w:rPr>
            </w:pPr>
          </w:p>
        </w:tc>
      </w:tr>
      <w:tr>
        <w:trPr>
          <w:trHeight w:val="47"/>
        </w:trPr>
        <w:tc>
          <w:tcPr>
            <w:tcW w:w="254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5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 September 15,</w:t>
            </w: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2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2020 (inception)</w:t>
            </w: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2"/>
                <w:szCs w:val="22"/>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(716)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(716)</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5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2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(716)</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(716)</w:t>
            </w:r>
          </w:p>
        </w:tc>
        <w:tc>
          <w:tcPr>
            <w:tcW w:w="0" w:type="dxa"/>
            <w:vAlign w:val="bottom"/>
          </w:tcPr>
          <w:p>
            <w:pPr>
              <w:spacing w:after="0"/>
              <w:rPr>
                <w:sz w:val="1"/>
                <w:szCs w:val="1"/>
                <w:color w:val="auto"/>
              </w:rPr>
            </w:pPr>
          </w:p>
        </w:tc>
      </w:tr>
      <w:tr>
        <w:trPr>
          <w:trHeight w:val="198"/>
        </w:trPr>
        <w:tc>
          <w:tcPr>
            <w:tcW w:w="2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 of 12,000,000 Units through</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IPO</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12,000,000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119,998,800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1,300,000 Units through</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over-allotment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1,300,000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12,999,870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 of 416,000 Private Units in</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placement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416,000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4,159,958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representative shares</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420,000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2,024,421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2,024,463</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to initial</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3,450,000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24,655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of founder shares</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fee</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(2,660,000)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(2,660,000)</w:t>
            </w:r>
          </w:p>
        </w:tc>
        <w:tc>
          <w:tcPr>
            <w:tcW w:w="0" w:type="dxa"/>
            <w:vAlign w:val="bottom"/>
          </w:tcPr>
          <w:p>
            <w:pPr>
              <w:spacing w:after="0"/>
              <w:rPr>
                <w:sz w:val="1"/>
                <w:szCs w:val="1"/>
                <w:color w:val="auto"/>
              </w:rPr>
            </w:pPr>
          </w:p>
        </w:tc>
      </w:tr>
      <w:tr>
        <w:trPr>
          <w:trHeight w:val="40"/>
        </w:trPr>
        <w:tc>
          <w:tcPr>
            <w:tcW w:w="2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Offering costs charged to the</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 equity</w:t>
            </w: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(2,449,810)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(2,449,810)</w:t>
            </w:r>
          </w:p>
        </w:tc>
        <w:tc>
          <w:tcPr>
            <w:tcW w:w="0" w:type="dxa"/>
            <w:vAlign w:val="bottom"/>
          </w:tcPr>
          <w:p>
            <w:pPr>
              <w:spacing w:after="0"/>
              <w:rPr>
                <w:sz w:val="1"/>
                <w:szCs w:val="1"/>
                <w:color w:val="auto"/>
              </w:rPr>
            </w:pPr>
          </w:p>
        </w:tc>
      </w:tr>
      <w:tr>
        <w:trPr>
          <w:trHeight w:val="198"/>
        </w:trPr>
        <w:tc>
          <w:tcPr>
            <w:tcW w:w="2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Initial classification of warrant</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liability</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(270,307)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(270,307)</w:t>
            </w:r>
          </w:p>
        </w:tc>
        <w:tc>
          <w:tcPr>
            <w:tcW w:w="0" w:type="dxa"/>
            <w:vAlign w:val="bottom"/>
          </w:tcPr>
          <w:p>
            <w:pPr>
              <w:spacing w:after="0"/>
              <w:rPr>
                <w:sz w:val="1"/>
                <w:szCs w:val="1"/>
                <w:color w:val="auto"/>
              </w:rPr>
            </w:pPr>
          </w:p>
        </w:tc>
      </w:tr>
      <w:tr>
        <w:trPr>
          <w:trHeight w:val="40"/>
        </w:trPr>
        <w:tc>
          <w:tcPr>
            <w:tcW w:w="2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of offering costs</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to Public Shares</w:t>
            </w: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4,779,936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4,779,936</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(981,884)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(981,884)</w:t>
            </w:r>
          </w:p>
        </w:tc>
        <w:tc>
          <w:tcPr>
            <w:tcW w:w="0" w:type="dxa"/>
            <w:vAlign w:val="bottom"/>
          </w:tcPr>
          <w:p>
            <w:pPr>
              <w:spacing w:after="0"/>
              <w:rPr>
                <w:sz w:val="1"/>
                <w:szCs w:val="1"/>
                <w:color w:val="auto"/>
              </w:rPr>
            </w:pPr>
          </w:p>
        </w:tc>
      </w:tr>
      <w:tr>
        <w:trPr>
          <w:trHeight w:val="40"/>
        </w:trPr>
        <w:tc>
          <w:tcPr>
            <w:tcW w:w="2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Initial value of common stock</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subject to possible redemption</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(13,300,000)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(124,412,583)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(124,413,913)</w:t>
            </w:r>
          </w:p>
        </w:tc>
        <w:tc>
          <w:tcPr>
            <w:tcW w:w="0" w:type="dxa"/>
            <w:vAlign w:val="bottom"/>
          </w:tcPr>
          <w:p>
            <w:pPr>
              <w:spacing w:after="0"/>
              <w:rPr>
                <w:sz w:val="1"/>
                <w:szCs w:val="1"/>
                <w:color w:val="auto"/>
              </w:rPr>
            </w:pPr>
          </w:p>
        </w:tc>
      </w:tr>
      <w:tr>
        <w:trPr>
          <w:trHeight w:val="198"/>
        </w:trPr>
        <w:tc>
          <w:tcPr>
            <w:tcW w:w="2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Accretion of common stock to</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value</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(13,366,023)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(13,366,023)</w:t>
            </w:r>
          </w:p>
        </w:tc>
        <w:tc>
          <w:tcPr>
            <w:tcW w:w="0" w:type="dxa"/>
            <w:vAlign w:val="bottom"/>
          </w:tcPr>
          <w:p>
            <w:pPr>
              <w:spacing w:after="0"/>
              <w:rPr>
                <w:sz w:val="1"/>
                <w:szCs w:val="1"/>
                <w:color w:val="auto"/>
              </w:rPr>
            </w:pPr>
          </w:p>
        </w:tc>
      </w:tr>
      <w:tr>
        <w:trPr>
          <w:trHeight w:val="40"/>
        </w:trPr>
        <w:tc>
          <w:tcPr>
            <w:tcW w:w="2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Accretion of common stock to</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value (interest</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earned on trust account)</w:t>
            </w: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(10,583)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(10,583)</w:t>
            </w:r>
          </w:p>
        </w:tc>
        <w:tc>
          <w:tcPr>
            <w:tcW w:w="0" w:type="dxa"/>
            <w:vAlign w:val="bottom"/>
          </w:tcPr>
          <w:p>
            <w:pPr>
              <w:spacing w:after="0"/>
              <w:rPr>
                <w:sz w:val="1"/>
                <w:szCs w:val="1"/>
                <w:color w:val="auto"/>
              </w:rPr>
            </w:pPr>
          </w:p>
        </w:tc>
      </w:tr>
      <w:tr>
        <w:trPr>
          <w:trHeight w:val="174"/>
        </w:trPr>
        <w:tc>
          <w:tcPr>
            <w:tcW w:w="25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8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4,161,000</w:t>
            </w: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416</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818,347</w:t>
            </w:r>
          </w:p>
        </w:tc>
        <w:tc>
          <w:tcPr>
            <w:tcW w:w="10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(982,600)</w:t>
            </w: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(163,837)</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1" w:name="page132"/>
    <w:bookmarkEnd w:id="1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 the Period</w:t>
            </w:r>
          </w:p>
        </w:tc>
      </w:t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from</w:t>
            </w:r>
          </w:p>
        </w:tc>
      </w:t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15,</w:t>
            </w:r>
          </w:p>
        </w:tc>
      </w:t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(Inception)</w:t>
            </w:r>
          </w:p>
        </w:tc>
      </w:t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00" w:type="dxa"/>
            <w:vAlign w:val="bottom"/>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through</w:t>
            </w:r>
          </w:p>
        </w:tc>
      </w:t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6"/>
        </w:trPr>
        <w:tc>
          <w:tcPr>
            <w:tcW w:w="55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57"/>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(981,884)</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(716)</w:t>
            </w:r>
          </w:p>
        </w:tc>
      </w:tr>
      <w:tr>
        <w:trPr>
          <w:trHeight w:val="41"/>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 on change in fair value of warrants</w:t>
            </w:r>
          </w:p>
        </w:tc>
        <w:tc>
          <w:tcPr>
            <w:tcW w:w="120" w:type="dxa"/>
            <w:vAlign w:val="bottom"/>
          </w:tcPr>
          <w:p>
            <w:pPr>
              <w:spacing w:after="0"/>
              <w:rPr>
                <w:sz w:val="21"/>
                <w:szCs w:val="21"/>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(22,793)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5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earned on marketable securities held in Trust Account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(10,583)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current assets and current liabilities: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4"/>
        </w:trPr>
        <w:tc>
          <w:tcPr>
            <w:tcW w:w="5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(98,066)</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247,868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5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Due to related party</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716</w:t>
            </w:r>
          </w:p>
        </w:tc>
      </w:tr>
      <w:tr>
        <w:trPr>
          <w:trHeight w:val="237"/>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(864,358</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77"/>
        </w:trPr>
        <w:tc>
          <w:tcPr>
            <w:tcW w:w="5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1"/>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held in Trust Account</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(133,000,000)</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(133,000,000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77"/>
        </w:trPr>
        <w:tc>
          <w:tcPr>
            <w:tcW w:w="5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4"/>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IPO and over-allotment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133,000,000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Payment of underwriting fees</w:t>
            </w:r>
          </w:p>
        </w:tc>
        <w:tc>
          <w:tcPr>
            <w:tcW w:w="120" w:type="dxa"/>
            <w:vAlign w:val="bottom"/>
          </w:tcPr>
          <w:p>
            <w:pPr>
              <w:spacing w:after="0"/>
              <w:rPr>
                <w:sz w:val="21"/>
                <w:szCs w:val="21"/>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(2,660,000)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private placement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4,160,000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promissory note to related party</w:t>
            </w:r>
          </w:p>
        </w:tc>
        <w:tc>
          <w:tcPr>
            <w:tcW w:w="120" w:type="dxa"/>
            <w:vAlign w:val="bottom"/>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to promissory note to related party</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to initial stockholders</w:t>
            </w:r>
          </w:p>
        </w:tc>
        <w:tc>
          <w:tcPr>
            <w:tcW w:w="120" w:type="dxa"/>
            <w:vAlign w:val="bottom"/>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4"/>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(425,347)</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134,099,653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77"/>
        </w:trPr>
        <w:tc>
          <w:tcPr>
            <w:tcW w:w="5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20" w:type="dxa"/>
            <w:vAlign w:val="bottom"/>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235,295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beginning of the year</w:t>
            </w: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end of the year</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235,295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77"/>
        </w:trPr>
        <w:tc>
          <w:tcPr>
            <w:tcW w:w="5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value of common stock subject to possible redemption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124,413,913</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(4,779,936</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4"/>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13,366,023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78"/>
        </w:trPr>
        <w:tc>
          <w:tcPr>
            <w:tcW w:w="55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Accretion of common stock to redemption value (interest earned on trust</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48"/>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10,583</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of founder shares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Initial classification of warrant liability</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2" w:name="page133"/>
    <w:bookmarkEnd w:id="1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Organization and Business Operations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Organization and General</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Archimedes Tech SPAC Partners Co. (the “Company”) is a blank check company formed under the laws of the State of Delaware on September 15, 2020. The Company was formed for the purpose of entering into a merger, share exchange, asset acquisition, stock purchase, recapitalization, reorganization or other similar Business Combination with one or more businesses or entities (the “Business Combination”). The Company’s focus will be on the artificial intelligence, cloud services and automotive technology sectors. However, the Company is not limited to the technology industry, or these sectors therein, and the Company may pursue a Business Combination opportunity in any business or industry it chooses, and it may pursue a company with operations or opportunities outside of the United States.</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has selected December 31 as its fiscal year end.</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of December 31, 2021, the Company had not commenced any revenue-generating operations. All activity for the period from September 15, 2020 (inception) through December 31, 2021 relates to the Company’s formation,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 and will recognize changes in the fair value of warrant liability as other income or expense, as applicable.</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November 15, 2021, the Company entered into a definitive merger agreement with SoundHound Inc., a voice artificial intelligence company, pursuant to which the two companies agreed to consummate a Business Combination (the “Merger Agreement”). The total consideration to be paid by the Company to SoundHound Inc. is $2 billion in equity of the Company, with outstanding SoundHound Inc. stock options and warrants included on a net exercise basis. In connection with the Business Combination, certain accredited investors committed to purchase 11.1 million shares of Class A common stock of the combined company at a price of $10.00 per share, for total gross proceeds of $111 million, in a private placement that is scheduled to close concurrently with the Business Combination.</w:t>
      </w:r>
    </w:p>
    <w:p>
      <w:pPr>
        <w:spacing w:after="0" w:line="12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Company’s sponsor is Archimedes Tech SPAC Sponsors LLC, a Delaware limited liability company (the “Sponsor”).</w:t>
      </w:r>
    </w:p>
    <w:p>
      <w:pPr>
        <w:spacing w:after="0" w:line="8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References to the Company’s “initial stockholders” refer to the Company’s stockholders prior to the IPO, excluding the holders of the Representative Shares (See Note 8).</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March 10, 2021 (the “Effective Date”). As discussed in Note 4, on March 15, 2021, the Company consummated the IPO of 12,000,000 units, (the “Public Units”), at $10.00 per Public Unit, generating gross proceeds of $120,000,000.</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Each Public Unit consists of (i) one subunit (the “Public Subunit”), which consists of one share of common stock (the “Public Share”) and one-quarter of one redeemable warrant, and (ii) one-quarter of one redeemable warrant (collectively, the redeemable warrants included in the Public Units and Public Subunits, the “Public Warrants”); each whole Public Warrant will be exercisable to purchase one share of common stock at a price of $11.50 per share.</w:t>
      </w:r>
    </w:p>
    <w:p>
      <w:pPr>
        <w:spacing w:after="0" w:line="10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Simultaneously with the closing of the IPO, the Company consummated the sale of 390,000 private units (the “Private Units”) at a price of $10.00 per Private Unit in a private placement (the “Private Placement”) to the Sponsor and EarlyBirdCapital, Inc. (“EarlyBirdCapital”), generating gross proceeds of $3,900,000, which is discussed in Note 5. Each Private Unit consists of (i) one subunit (the “Private Subunits”), which consists of one share of common stock (the “Private Shares”) and one-quarter of one redeemable warrant, and (ii) one-quarter of one redeemable warrant (collectively, the redeemable warrants included in the Private Units and Private Subunits, the “Private Warrants”).</w:t>
      </w:r>
    </w:p>
    <w:p>
      <w:pPr>
        <w:spacing w:after="0" w:line="12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Transaction costs amounted to $4,849,810 consisting of $2,400,000 of underwriting discount and $2,449,810 of other offering costs.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3" w:name="page134"/>
    <w:bookmarkEnd w:id="1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Organization and Business Operations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granted the underwriters in the IPO a 45-day option to purchase up to 1,800,000 additional Public Units to cover over-allotments, if any. On March 19, 2021, the underwriters partially exercised the over-allotment option to purchase 1,300,000 Public Units, generating an aggregate of gross proceeds of $13,000,000, and incurred transaction costs of $260,000 in underwriting discount. In connection with the underwriters’ exercise of their over-allotment option, the Company also consummated the sale of an additional 26,000 Private Units at $10.00 per Private Unit to the Sponsor and EarlyBirdCapital, generating gross proceeds of $260,000.</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Trust Account</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Following the closing of the IPO on March 15, 2021 and the underwriters’ partial exercise of over-allotment option on March 19, 2021, $133,000,000 from the net proceeds of the sale of the Public Units in the IPO and the sale of the Private Units was placed in a trust account maintained by Continental Stock Transfer &amp; Trust Company, acting as trustee (the “Trust Account”). The funds held in the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 Except with respect to interest earned on the funds held in the Trust Account that may be released to the Company to pay its income or other tax obligations, the proceeds will not be released from the Trust Account until the earlier of the completion of a Business Combination or the redemption of 100% of the outstanding Public Subunits if the Company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Initial Business Combination</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must complete one or more initial Business Combinations having an aggregate fair market value of at least 80% of the value of the assets held in the Trust Account (excluding taxes payable on the interest earned on the Trust Account)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 There is no assurance that the Company will be able to complete a Business Combination successfully.</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and, if the Company seeks stockholder approval, a majority of the issued and outstanding shares voted are voted in favor of the Business Combination.</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will continue in existence only until 18 months from the closing of the IPO (the “Combination Period”). However, if the Company is unable to complete the initial Business Combination within the Combination Period, the Company will (i) cease all operations except for the purpose of winding up and (ii) as promptly as reasonably possible but not more than ten business days thereafter, redeem 100% of the outstanding Public Subunits, at a per-subunit price, payable in cash, equal to the aggregate amount then on deposit in the Trust Account, including any interest not previously released to the Company (net of taxes payable), divided by the number of then outstanding Public Subunits, which redemption will completely extinguish public stockholders’ rights as holders of Public Subunits (including the right to receive further liquidation distributions, if any), subject to applicable law. Public stockholders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4" w:name="page135"/>
    <w:bookmarkEnd w:id="1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Organization and Business Operations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will also forfeit the one-quarter of one warrant included in the Public Subunits being redeemed. As promptly as reasonably possible following such redemption, subject to the approval of the remaining stockholders and its board of directors, the Company will dissolve and liquidate, subject to its obligations under Delaware law to provide for claims of creditors and the requirements of other applicable law.</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 public stockholder will be entitled to receive funds from the Trust Account (including interest earned on his, her or its portion of the Trust Account to the extent not previously released to the Company) only in the event of (i) the redemption of 100% of the outstanding Public Subunits if the Company has not completed a Business Combination in the required time period, (ii) if that public stockholder converts such Public Subunits, or sells such Public Subunits to the Company in a tender offer, in connection with a Business Combination which the Company consummates or (iii) the Company seeks to amend any provisions of its amended and restated certificate of incorporation that would affect the public stockholders’ ability to convert or sell their Public Subunits to the Company in connection with a Business Combination or affect the substance or timing of the Company’s obligation to redeem 100% of the Public Subunits if the Company does not complete a Business Combination within the Combination Period. This redemption right shall apply in the event of the approval of any such amendment to the Company’s amended and restated certificate of incorporation, whether proposed by the Sponsor, initial stockholders, executive officers, directors or any other person. In no other circumstances will a public stockholder have any right or interest of any kind to or in the Trust Account.</w:t>
      </w:r>
    </w:p>
    <w:p>
      <w:pPr>
        <w:spacing w:after="0" w:line="10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Sponsor, initial stockholders, officers and directors have agreed (1) to vote any shares of common stock owned by them in favor of any proposed Business Combination, (2) not to convert any shares in connection with a stockholder vote to approve a proposed initial Business Combination and (3) not to sell any shares in any tender in connection with a proposed initial Business Combination.</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ensure that the proceeds in the Trust Account are not reduced below $10.00 per Public Subunit by the claims of target businesses or claims of vendors or other entities that are owed money by the Company for services rendered or contracted for or products sold to the Company, but the Company cannot assure that it will be able to satisfy its indemnification obligations if it is required to do so. The Company has not asked the Sponsor to reserve for such indemnification obligations, nor has the Company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of December 31, 2021, the Company had cash outside the Trust Account of $235,295 available for its working capital needs. All remaining cash and securities were held in the Trust Account and is generally unavailable for the Company’s use prior to an initial Business Combination and is restricted for use either in a Business Combination or to redeem Public Subunits. As of December 31, 2021, none of the amount on deposit in the Trust Account was available to be withdrawn as described above.</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Prior to the completion of the IPO, the Company’s liquidity needs had been satisfied through receipt of $25,000 from the sale of Founder Shares (see Note 6), advances from the Sponsor in an aggregate amount of $125,000 under an unsecured promissory note, which were repaid upon the closing of the IPO (see Note 6). Subsequent to the consummation of the IPO and Private Placement, the Company’s liquidity needs have been satisfied through the net proceeds from the IPO and Private Placement held outside of the Trust Account.</w:t>
      </w:r>
    </w:p>
    <w:p>
      <w:pPr>
        <w:spacing w:after="0" w:line="11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Company’s Sponsor, initial stockholders, officers, directors and their affiliates may, but are not obligated to, provide the Company Working Capital Loans, as defined below (see Note 6). To date, there were no amounts outstanding under any Working Capital Loans.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5" w:name="page136"/>
    <w:bookmarkEnd w:id="1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Organization and Business Operations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anticipates that the $235,295 outside of the Trust account as of December 31, 2021 will not be sufficient to allow the Company to operate for at least the next 12 months, assuming that a Business Combination is not consummated during that time. Furthermore, if the Company is not able to consummate a Business Combination by September 15, 2022, it will trigger the Company’s automatic winding up, liquidation and dissolution. These conditions raise substantial doubt about the Company’s ability to continue as a going concern.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Restatement of Prior Period Financial Statements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Redeemable Equity Instruments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As a result of recent guidance to Special Purpose Acquisition Companies by the Securities and Exchange Commission (the “SEC”) regarding redeemable equity instruments, the Company revisited its application of ASC 480-10-S99 on the Company’s financial statements. The Company had previously classified a portion of its Public Subunits (and the underlying shares of common stock) in permanent equity. Subsequent to the re-evaluation, the Company’s management concluded that all of its Public Subunits should be classified as temporary equity. The identified errors impacted the Company’s Form 8-K filing on March 19, 2021 containing the IPO balance sheet as of March 15, 2021 (the “Closing Form 8-K), Form 10-Q filing on July 27, 2021 containing financial statements as of March 31, 2021, Form 10-Q filing on August 27, 2021 containing financial statements as of June 30, 2021, and Form 10-Q filing on November 15, 2021 containing financial statements as of September 30, 2021 (collectively, the “Prior Period Financial Statements”). In accordance with SEC Staff Accounting Bulletin No. 99, “Materiality,” and SEC Staff Accounting Bulletin No. 108, “Considering the Effects of Prior Year Misstatements when Quantifying Misstatements in Current Year Financial Statements;” the Company evaluated the errors and has determined that the related impacts were material to the Prior Period Financial Statements. Accordingly, the Company has corrected such material errors by restating its Prior Period Financial Statements and classified all Public Subunits as temporary. The Company will also correct previously reported financial information for such material errors in future filings, as applicable.</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Classification of Private Warrants &amp; Fair Value of Representative Shares</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On April 12, 2021, the Staff of the SEC issued a statement entitled “Staff Statement on Accounting and Reporting Considerations for Warrants Issued by Special Purpose Acquisition Companies.” In the statement, the SEC Staff, among other things, highlighted potential accounting implications of certain terms that are common in warrants issued in connection with the initial public offerings of special purpose acquisition companies such as the Company. As a result of the Staff statement and in light of evolving views as to certain provisions commonly included in warrants issued by special purpose acquisition companies, the Company re-evaluated the accounting for its Public Warrants and Private Warrants under ASC 815-40,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 — Contracts in Entity’s Own Equity</w:t>
      </w:r>
      <w:r>
        <w:rPr>
          <w:rFonts w:ascii="Times New Roman" w:cs="Times New Roman" w:eastAsia="Times New Roman" w:hAnsi="Times New Roman"/>
          <w:sz w:val="18"/>
          <w:szCs w:val="18"/>
          <w:color w:val="auto"/>
        </w:rPr>
        <w:t>, and concluded that the Private Warrants do not meet the criteria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classified in stockholders’ equity, since the Private Warrants meet the definition of a derivative under ASC 815-40. Additionally, the Company’s management re-evaluated the fair value of the Representative Shares and concluded that the fair value the Company had previously used for the Representative Shares were incorrect and needs to be restated. The identified errors impacted the Prior Period Financial Statements. In accordance with SEC Staff Accounting Bulletin No. 99, “Materiality,” and SEC Staff Accounting Bulletin No. 108, “Considering the Effects of Prior Year Misstatements when Quantifying Misstatements in Current Year Financial Statements,” the Company evaluated the errors and has determined that the related impacts were qualitatively immaterial to the Prior Period Financial Statements but, in consideration that the Company is restating its Prior Period Financial Statements to address the misclassification of redeemable equity instruments, the Company concluded that it should restate the identified errors related to the classification of Private Warrants and the fair value of Representative Shares as well.</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6" w:name="page137"/>
    <w:bookmarkEnd w:id="1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Restatement of Prior Period Financial Statements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Impact of the Restatement</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impact of the restatement on the audited balance sheet as of March 15, 2021 and unaudited interim financial statements as of and for the three months ended March 31, 2021, June 30, 2021, and September 30, 2021 are presented below.</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rPr>
              <w:t>As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w w:val="99"/>
              </w:rPr>
              <w:t>Previously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2"/>
        </w:trPr>
        <w:tc>
          <w:tcPr>
            <w:tcW w:w="4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11"/>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As Restated</w:t>
            </w:r>
          </w:p>
        </w:tc>
      </w:tr>
      <w:tr>
        <w:trPr>
          <w:trHeight w:val="46"/>
        </w:trPr>
        <w:tc>
          <w:tcPr>
            <w:tcW w:w="43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Audited Balance Sheet at March 15, 2021</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253,413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253,413</w:t>
            </w:r>
          </w:p>
        </w:tc>
      </w:tr>
      <w:tr>
        <w:trPr>
          <w:trHeight w:val="40"/>
        </w:trPr>
        <w:tc>
          <w:tcPr>
            <w:tcW w:w="4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591,387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254,413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844,800</w:t>
            </w: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subject to possible redemption</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9"/>
              </w:rPr>
              <w:t>116,095,120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3,904,880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120,000,000</w:t>
            </w:r>
          </w:p>
        </w:tc>
      </w:tr>
      <w:tr>
        <w:trPr>
          <w:trHeight w:val="41"/>
        </w:trPr>
        <w:tc>
          <w:tcPr>
            <w:tcW w:w="4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426</w:t>
            </w: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5,004,068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(4,158,254)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845,814</w:t>
            </w:r>
          </w:p>
        </w:tc>
      </w:tr>
      <w:tr>
        <w:trPr>
          <w:trHeight w:val="40"/>
        </w:trPr>
        <w:tc>
          <w:tcPr>
            <w:tcW w:w="4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5,000,003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(4,158,293)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841,710</w:t>
            </w:r>
          </w:p>
        </w:tc>
      </w:tr>
      <w:tr>
        <w:trPr>
          <w:trHeight w:val="284"/>
        </w:trPr>
        <w:tc>
          <w:tcPr>
            <w:tcW w:w="4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 Balance Sheet at March 31, 2021</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subject to possible redemption</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9"/>
              </w:rPr>
              <w:t>128,744,590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4,255,935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133,000,525</w:t>
            </w:r>
          </w:p>
        </w:tc>
      </w:tr>
      <w:tr>
        <w:trPr>
          <w:trHeight w:val="41"/>
        </w:trPr>
        <w:tc>
          <w:tcPr>
            <w:tcW w:w="4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416</w:t>
            </w: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5,084,297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(4,255,892)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828,405</w:t>
            </w:r>
          </w:p>
        </w:tc>
      </w:tr>
      <w:tr>
        <w:trPr>
          <w:trHeight w:val="40"/>
        </w:trPr>
        <w:tc>
          <w:tcPr>
            <w:tcW w:w="4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84"/>
        </w:trPr>
        <w:tc>
          <w:tcPr>
            <w:tcW w:w="43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194"/>
        </w:trPr>
        <w:tc>
          <w:tcPr>
            <w:tcW w:w="43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Unaudited Statement of Operations for the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8"/>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March 31, 2021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0"/>
        </w:trPr>
        <w:tc>
          <w:tcPr>
            <w:tcW w:w="4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198"/>
        </w:trPr>
        <w:tc>
          <w:tcPr>
            <w:tcW w:w="43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55"/>
        </w:trPr>
        <w:tc>
          <w:tcPr>
            <w:tcW w:w="4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subject to redemption</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2,059,408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247,259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2,306,667</w:t>
            </w:r>
          </w:p>
        </w:tc>
      </w:tr>
      <w:tr>
        <w:trPr>
          <w:trHeight w:val="198"/>
        </w:trPr>
        <w:tc>
          <w:tcPr>
            <w:tcW w:w="43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4"/>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3,856,614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3,342,133</w:t>
            </w:r>
          </w:p>
        </w:tc>
      </w:tr>
      <w:tr>
        <w:trPr>
          <w:trHeight w:val="40"/>
        </w:trPr>
        <w:tc>
          <w:tcPr>
            <w:tcW w:w="4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198"/>
        </w:trPr>
        <w:tc>
          <w:tcPr>
            <w:tcW w:w="43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Basic and diluted net income (loss) per share, common</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55"/>
        </w:trPr>
        <w:tc>
          <w:tcPr>
            <w:tcW w:w="4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subject to redemption</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3.41</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3.41</w:t>
            </w:r>
          </w:p>
        </w:tc>
      </w:tr>
      <w:tr>
        <w:trPr>
          <w:trHeight w:val="198"/>
        </w:trPr>
        <w:tc>
          <w:tcPr>
            <w:tcW w:w="43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Basic and diluted net income (loss) per share, common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4"/>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not subject to redemption</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40"/>
        </w:trPr>
        <w:tc>
          <w:tcPr>
            <w:tcW w:w="4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84"/>
        </w:trPr>
        <w:tc>
          <w:tcPr>
            <w:tcW w:w="43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194"/>
        </w:trPr>
        <w:tc>
          <w:tcPr>
            <w:tcW w:w="43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Unaudited Statement of Changes in Stockholders’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8"/>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Equity for the three months ended March 31, 2021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0"/>
        </w:trPr>
        <w:tc>
          <w:tcPr>
            <w:tcW w:w="4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198"/>
        </w:trPr>
        <w:tc>
          <w:tcPr>
            <w:tcW w:w="43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representative shares – Additional Paid-in-</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55"/>
        </w:trPr>
        <w:tc>
          <w:tcPr>
            <w:tcW w:w="4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3,458</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2,020,963</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2,024,421</w:t>
            </w:r>
          </w:p>
        </w:tc>
      </w:tr>
      <w:tr>
        <w:trPr>
          <w:trHeight w:val="198"/>
        </w:trPr>
        <w:tc>
          <w:tcPr>
            <w:tcW w:w="43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representative shares – Stockholders’ Equity</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4"/>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(Deficit)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2,020,963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2,024,463</w:t>
            </w:r>
          </w:p>
        </w:tc>
      </w:tr>
      <w:tr>
        <w:trPr>
          <w:trHeight w:val="40"/>
        </w:trPr>
        <w:tc>
          <w:tcPr>
            <w:tcW w:w="4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costs charged to the Stockholders’ equity</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(428,847)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(2,020,963)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(2,449,810)</w:t>
            </w: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4,779,936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4,779,936</w:t>
            </w:r>
          </w:p>
        </w:tc>
      </w:tr>
      <w:tr>
        <w:trPr>
          <w:trHeight w:val="40"/>
        </w:trPr>
        <w:tc>
          <w:tcPr>
            <w:tcW w:w="4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(13,366,023)</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(13,366,023)</w:t>
            </w:r>
          </w:p>
        </w:tc>
      </w:tr>
      <w:tr>
        <w:trPr>
          <w:trHeight w:val="284"/>
        </w:trPr>
        <w:tc>
          <w:tcPr>
            <w:tcW w:w="4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4"/>
        </w:trPr>
        <w:tc>
          <w:tcPr>
            <w:tcW w:w="43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Unaudited Statement of Cash Flows for the</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59"/>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March 31, 2021</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40"/>
        </w:trPr>
        <w:tc>
          <w:tcPr>
            <w:tcW w:w="4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198"/>
        </w:trPr>
        <w:tc>
          <w:tcPr>
            <w:tcW w:w="43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Initial value of common stock subject to possible</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55"/>
        </w:trPr>
        <w:tc>
          <w:tcPr>
            <w:tcW w:w="4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redemption</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99"/>
              </w:rPr>
              <w:t>115,841,700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8,572,213</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124,413,913</w:t>
            </w:r>
          </w:p>
        </w:tc>
      </w:tr>
      <w:tr>
        <w:trPr>
          <w:trHeight w:val="198"/>
        </w:trPr>
        <w:tc>
          <w:tcPr>
            <w:tcW w:w="43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 in value of common stock subject to possible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4"/>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redemption</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12,902,890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(12,902,365)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4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(4,779,936)</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(4,779,936)</w:t>
            </w: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13,366,023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13,366,023</w:t>
            </w:r>
          </w:p>
        </w:tc>
      </w:tr>
      <w:tr>
        <w:trPr>
          <w:trHeight w:val="41"/>
        </w:trPr>
        <w:tc>
          <w:tcPr>
            <w:tcW w:w="4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198"/>
        </w:trPr>
        <w:tc>
          <w:tcPr>
            <w:tcW w:w="43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Accretion of common stock to redemption value (interest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55"/>
        </w:trPr>
        <w:tc>
          <w:tcPr>
            <w:tcW w:w="4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earned on trust account)</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525</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525</w:t>
            </w:r>
          </w:p>
        </w:tc>
      </w:tr>
      <w:tr>
        <w:trPr>
          <w:trHeight w:val="391"/>
        </w:trPr>
        <w:tc>
          <w:tcPr>
            <w:tcW w:w="4360" w:type="dxa"/>
            <w:vAlign w:val="bottom"/>
            <w:tcBorders>
              <w:bottom w:val="single" w:sz="8" w:color="auto"/>
            </w:tcBorders>
          </w:tcPr>
          <w:p>
            <w:pPr>
              <w:ind w:left="3880"/>
              <w:spacing w:after="0"/>
              <w:rPr>
                <w:sz w:val="20"/>
                <w:szCs w:val="20"/>
                <w:color w:val="auto"/>
              </w:rPr>
            </w:pPr>
            <w:r>
              <w:rPr>
                <w:rFonts w:ascii="Times New Roman" w:cs="Times New Roman" w:eastAsia="Times New Roman" w:hAnsi="Times New Roman"/>
                <w:sz w:val="18"/>
                <w:szCs w:val="18"/>
                <w:color w:val="auto"/>
              </w:rPr>
              <w:t>F-11</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595" w:gutter="0" w:footer="0" w:header="0"/>
        </w:sectPr>
      </w:pPr>
    </w:p>
    <w:bookmarkStart w:id="137" w:name="page138"/>
    <w:bookmarkEnd w:id="1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Restatement of Prior Period Financial Statements </w:t>
      </w:r>
      <w:r>
        <w:rPr>
          <w:rFonts w:ascii="Times New Roman" w:cs="Times New Roman" w:eastAsia="Times New Roman" w:hAnsi="Times New Roman"/>
          <w:sz w:val="18"/>
          <w:szCs w:val="18"/>
          <w:color w:val="auto"/>
        </w:rPr>
        <w:t>(cont.)</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Previously</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2"/>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As Restated</w:t>
            </w:r>
          </w:p>
        </w:tc>
      </w:tr>
      <w:tr>
        <w:trPr>
          <w:trHeight w:val="47"/>
        </w:trPr>
        <w:tc>
          <w:tcPr>
            <w:tcW w:w="44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174"/>
        </w:trPr>
        <w:tc>
          <w:tcPr>
            <w:tcW w:w="44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Unaudited Statement of Operations for the six months</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59"/>
        </w:trPr>
        <w:tc>
          <w:tcPr>
            <w:tcW w:w="4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ended June 30, 2021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198"/>
        </w:trPr>
        <w:tc>
          <w:tcPr>
            <w:tcW w:w="44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Basic and diluted net income (loss) per share, common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4"/>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subject to redemption</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0.54</w:t>
            </w:r>
          </w:p>
        </w:tc>
      </w:tr>
      <w:tr>
        <w:trPr>
          <w:trHeight w:val="41"/>
        </w:trPr>
        <w:tc>
          <w:tcPr>
            <w:tcW w:w="4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8"/>
        </w:trPr>
        <w:tc>
          <w:tcPr>
            <w:tcW w:w="44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Basic and diluted net income (loss) per share, common</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55"/>
        </w:trPr>
        <w:tc>
          <w:tcPr>
            <w:tcW w:w="4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not subject to redemption</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83"/>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4"/>
        </w:trPr>
        <w:tc>
          <w:tcPr>
            <w:tcW w:w="44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Unaudited Statement of Changes in Stockholders’ Equity</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59"/>
        </w:trPr>
        <w:tc>
          <w:tcPr>
            <w:tcW w:w="4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198"/>
        </w:trPr>
        <w:tc>
          <w:tcPr>
            <w:tcW w:w="44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representative shares – Additional Paid-in-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4"/>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2,020,963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2,024,421</w:t>
            </w:r>
          </w:p>
        </w:tc>
      </w:tr>
      <w:tr>
        <w:trPr>
          <w:trHeight w:val="41"/>
        </w:trPr>
        <w:tc>
          <w:tcPr>
            <w:tcW w:w="4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8"/>
        </w:trPr>
        <w:tc>
          <w:tcPr>
            <w:tcW w:w="44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representative shares – Stockholders’ Equity</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55"/>
        </w:trPr>
        <w:tc>
          <w:tcPr>
            <w:tcW w:w="4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(Deficit)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2,020,963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2,024,463</w:t>
            </w:r>
          </w:p>
        </w:tc>
      </w:tr>
      <w:tr>
        <w:trPr>
          <w:trHeight w:val="243"/>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 costs charged to the Stockholders’ equity</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(2,020,963)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(2,449,810)</w:t>
            </w:r>
          </w:p>
        </w:tc>
      </w:tr>
      <w:tr>
        <w:trPr>
          <w:trHeight w:val="40"/>
        </w:trPr>
        <w:tc>
          <w:tcPr>
            <w:tcW w:w="4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4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2,886,166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1,893,770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4,779,936</w:t>
            </w:r>
          </w:p>
        </w:tc>
      </w:tr>
      <w:tr>
        <w:trPr>
          <w:trHeight w:val="243"/>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(11,472,253)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(1,893,770)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(13,366,023)</w:t>
            </w:r>
          </w:p>
        </w:tc>
      </w:tr>
      <w:tr>
        <w:trPr>
          <w:trHeight w:val="40"/>
        </w:trPr>
        <w:tc>
          <w:tcPr>
            <w:tcW w:w="4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84"/>
        </w:trPr>
        <w:tc>
          <w:tcPr>
            <w:tcW w:w="4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194"/>
        </w:trPr>
        <w:tc>
          <w:tcPr>
            <w:tcW w:w="44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Unaudited Statement of Cash Flows for the six months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8"/>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ended June 30, 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0"/>
        </w:trPr>
        <w:tc>
          <w:tcPr>
            <w:tcW w:w="4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4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(2,886,166)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(1,893,770)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(4,779,936)</w:t>
            </w:r>
          </w:p>
        </w:tc>
      </w:tr>
      <w:tr>
        <w:trPr>
          <w:trHeight w:val="243"/>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11,472,253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1,893,770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13,366,023</w:t>
            </w:r>
          </w:p>
        </w:tc>
      </w:tr>
      <w:tr>
        <w:trPr>
          <w:trHeight w:val="40"/>
        </w:trPr>
        <w:tc>
          <w:tcPr>
            <w:tcW w:w="4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83"/>
        </w:trPr>
        <w:tc>
          <w:tcPr>
            <w:tcW w:w="4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194"/>
        </w:trPr>
        <w:tc>
          <w:tcPr>
            <w:tcW w:w="44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Unaudited Statement of Operations for the nine months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8"/>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ended September 30, 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0"/>
        </w:trPr>
        <w:tc>
          <w:tcPr>
            <w:tcW w:w="4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8"/>
        </w:trPr>
        <w:tc>
          <w:tcPr>
            <w:tcW w:w="44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Basic and diluted net income (loss) per share, common</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55"/>
        </w:trPr>
        <w:tc>
          <w:tcPr>
            <w:tcW w:w="4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subject to redemption</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0.37</w:t>
            </w:r>
          </w:p>
        </w:tc>
      </w:tr>
      <w:tr>
        <w:trPr>
          <w:trHeight w:val="198"/>
        </w:trPr>
        <w:tc>
          <w:tcPr>
            <w:tcW w:w="44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Basic and diluted net income (loss) per share, common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4"/>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not subject to redemption</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40"/>
        </w:trPr>
        <w:tc>
          <w:tcPr>
            <w:tcW w:w="4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83"/>
        </w:trPr>
        <w:tc>
          <w:tcPr>
            <w:tcW w:w="4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194"/>
        </w:trPr>
        <w:tc>
          <w:tcPr>
            <w:tcW w:w="44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Unaudited Statement of Changes in Stockholders’ Equity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8"/>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0"/>
        </w:trPr>
        <w:tc>
          <w:tcPr>
            <w:tcW w:w="4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8"/>
        </w:trPr>
        <w:tc>
          <w:tcPr>
            <w:tcW w:w="44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representative shares – Additional Paid-in-</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55"/>
        </w:trPr>
        <w:tc>
          <w:tcPr>
            <w:tcW w:w="4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2,020,963</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2,024,421</w:t>
            </w:r>
          </w:p>
        </w:tc>
      </w:tr>
      <w:tr>
        <w:trPr>
          <w:trHeight w:val="198"/>
        </w:trPr>
        <w:tc>
          <w:tcPr>
            <w:tcW w:w="44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representative shares – Stockholders’ Equity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4"/>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(Deficit)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2,020,963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2,024,463</w:t>
            </w:r>
          </w:p>
        </w:tc>
      </w:tr>
      <w:tr>
        <w:trPr>
          <w:trHeight w:val="40"/>
        </w:trPr>
        <w:tc>
          <w:tcPr>
            <w:tcW w:w="4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4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costs charged to the Stockholders’ equity</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(428,847)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(2,020,963)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(2,449,810)</w:t>
            </w:r>
          </w:p>
        </w:tc>
      </w:tr>
      <w:tr>
        <w:trPr>
          <w:trHeight w:val="243"/>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2,886,166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1,893,770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4,779,936</w:t>
            </w:r>
          </w:p>
        </w:tc>
      </w:tr>
      <w:tr>
        <w:trPr>
          <w:trHeight w:val="40"/>
        </w:trPr>
        <w:tc>
          <w:tcPr>
            <w:tcW w:w="4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4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(11,472,253)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(1,893,770)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(13,366,023)</w:t>
            </w:r>
          </w:p>
        </w:tc>
      </w:tr>
      <w:tr>
        <w:trPr>
          <w:trHeight w:val="283"/>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4"/>
        </w:trPr>
        <w:tc>
          <w:tcPr>
            <w:tcW w:w="44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Unaudited Statement of Cash Flows for the nine months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59"/>
        </w:trPr>
        <w:tc>
          <w:tcPr>
            <w:tcW w:w="4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ended September 30, 2021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(2,886,166)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(1,893,770)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(4,779,936)</w:t>
            </w:r>
          </w:p>
        </w:tc>
      </w:tr>
      <w:tr>
        <w:trPr>
          <w:trHeight w:val="41"/>
        </w:trPr>
        <w:tc>
          <w:tcPr>
            <w:tcW w:w="4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4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11,472,253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1,893,770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13,366,023</w:t>
            </w:r>
          </w:p>
        </w:tc>
      </w:tr>
      <w:tr>
        <w:trPr>
          <w:trHeight w:val="391"/>
        </w:trPr>
        <w:tc>
          <w:tcPr>
            <w:tcW w:w="4480" w:type="dxa"/>
            <w:vAlign w:val="bottom"/>
            <w:tcBorders>
              <w:bottom w:val="single" w:sz="8" w:color="auto"/>
            </w:tcBorders>
          </w:tcPr>
          <w:p>
            <w:pPr>
              <w:ind w:left="3880"/>
              <w:spacing w:after="0"/>
              <w:rPr>
                <w:sz w:val="20"/>
                <w:szCs w:val="20"/>
                <w:color w:val="auto"/>
              </w:rPr>
            </w:pPr>
            <w:r>
              <w:rPr>
                <w:rFonts w:ascii="Times New Roman" w:cs="Times New Roman" w:eastAsia="Times New Roman" w:hAnsi="Times New Roman"/>
                <w:sz w:val="18"/>
                <w:szCs w:val="18"/>
                <w:color w:val="auto"/>
              </w:rPr>
              <w:t>F-12</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38" w:name="page139"/>
    <w:bookmarkEnd w:id="1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of the Company are presented in U.S. dollars in conformity with accounting principles generally accepted in the United States of America (“GAAP”) and pursuant to the rules and regulations of the U.S. Securities and Exchange Commission (“SEC”).</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 in conformity with US GAAP requires management to make estimates and assumptions that affect the reported amounts of assets and liabilities and disclosure of contingent assets and liabilities at the date of the financial statement. Actual results could differ from those estimates.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has $235,295 of cash held outside of the Trust Account as of December 31, 2021 and no cash held outside of the Trust Account as of December 31, 2020. The Company did not have any cash equivalents as of December 31, 2021 and 2020.</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Marketable Securities Held in Trust Account</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At December 31, 2021, the Company had $133,010,583 in the Trust Account which may be utilized for Business Combination. As of December 31, 2021, the assets held in the Trust Account were invested in Treasury Securities consisting of money market funds.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9" w:name="page140"/>
    <w:bookmarkEnd w:id="1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3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16" w:lineRule="exact"/>
        <w:rPr>
          <w:sz w:val="20"/>
          <w:szCs w:val="20"/>
          <w:color w:val="auto"/>
        </w:rPr>
      </w:pPr>
    </w:p>
    <w:p>
      <w:pPr>
        <w:ind w:left="1320" w:right="459" w:hanging="434"/>
        <w:spacing w:after="0" w:line="282" w:lineRule="auto"/>
        <w:tabs>
          <w:tab w:leader="none" w:pos="132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7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5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fair value of the Company’s certain assets and liabilities, which qualify as financial instruments under ASC 820, “Fair Value Measurements and Disclosures,” approximates the carrying amounts represented in the balance sheet. The fair values of cash and cash equivalents, prepaid expenses, accounts payable and accrued expenses, and due to related party are estimated to approximate the carrying values as of December 31, 2021 due to the short maturities of such instruments.</w:t>
      </w:r>
    </w:p>
    <w:p>
      <w:pPr>
        <w:spacing w:after="0" w:line="10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Company’s warrant liability and the fair value of its Representative Shares are based on valuation models utilizing management judgment and pricing inputs from observable and unobservable markets with less volume and transaction frequency than active markets. Significant deviations from these estimates and inputs could result in a material change in fair value. The fair value of the warrant liability and the fair value of its Representative Shares are classified as Level 3. See Note 7 for additional information on assets, liabilities and Representative Shares measured at fair value.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Coverage of $250,000. At December 31, 2021 and 2020, the Company has not experienced losses on this account and management believes the Company is not exposed to significant risks on such account.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0" w:name="page141"/>
    <w:bookmarkEnd w:id="1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3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Income (Loss) Per Common Share</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72.8% for the Public Shares and 27.2% for the founder non-redeemable shares for the year ended December 31, 2021, reflective of the respective participation rights.</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earnings per share presented in the statements of operations is based on the following:</w:t>
      </w:r>
    </w:p>
    <w:p>
      <w:pPr>
        <w:spacing w:after="0" w:line="187"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6"/>
          <w:szCs w:val="16"/>
          <w:b w:val="1"/>
          <w:bCs w:val="1"/>
          <w:color w:val="auto"/>
        </w:rPr>
        <w:t>For the</w:t>
      </w:r>
    </w:p>
    <w:p>
      <w:pPr>
        <w:spacing w:after="0" w:line="28"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1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41275</wp:posOffset>
            </wp:positionV>
            <wp:extent cx="5143500" cy="1797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loss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Net loss including 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650240</wp:posOffset>
            </wp:positionV>
            <wp:extent cx="5143500"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Basic and diluted net loss per share:</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03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Allocation of net loss including accretion of temporary equity</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Allocation of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240030</wp:posOffset>
            </wp:positionV>
            <wp:extent cx="5143500" cy="1803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3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Denominator: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ind w:left="1240"/>
        <w:spacing w:after="0"/>
        <w:tabs>
          <w:tab w:leader="none" w:pos="16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(981,884)</w:t>
      </w:r>
    </w:p>
    <w:p>
      <w:pPr>
        <w:spacing w:after="0" w:line="77"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8"/>
          <w:szCs w:val="18"/>
          <w:color w:val="auto"/>
        </w:rPr>
        <w:t>(13,376,606)</w:t>
      </w:r>
    </w:p>
    <w:p>
      <w:pPr>
        <w:spacing w:after="0" w:line="77" w:lineRule="exact"/>
        <w:rPr>
          <w:sz w:val="20"/>
          <w:szCs w:val="20"/>
          <w:color w:val="auto"/>
        </w:rPr>
      </w:pPr>
    </w:p>
    <w:p>
      <w:pPr>
        <w:jc w:val="right"/>
        <w:ind w:right="539"/>
        <w:spacing w:after="0"/>
        <w:tabs>
          <w:tab w:leader="none" w:pos="940" w:val="left"/>
        </w:tabs>
        <w:rPr>
          <w:sz w:val="20"/>
          <w:szCs w:val="20"/>
          <w:color w:val="auto"/>
        </w:rPr>
      </w:pPr>
      <w:r>
        <w:rPr>
          <w:rFonts w:ascii="Times New Roman" w:cs="Times New Roman" w:eastAsia="Times New Roman" w:hAnsi="Times New Roman"/>
          <w:sz w:val="18"/>
          <w:szCs w:val="18"/>
          <w:color w:val="auto"/>
        </w:rPr>
        <w:t>$</w:t>
        <w:tab/>
        <w:t>(14,358,490)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43180</wp:posOffset>
            </wp:positionV>
            <wp:extent cx="70294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For the year ended</w:t>
      </w:r>
    </w:p>
    <w:p>
      <w:pPr>
        <w:spacing w:after="0" w:line="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41275</wp:posOffset>
            </wp:positionV>
            <wp:extent cx="157734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p>
      <w:pPr>
        <w:ind w:left="140"/>
        <w:spacing w:after="0"/>
        <w:tabs>
          <w:tab w:leader="none" w:pos="1260" w:val="left"/>
        </w:tabs>
        <w:rPr>
          <w:sz w:val="20"/>
          <w:szCs w:val="20"/>
          <w:color w:val="auto"/>
        </w:rPr>
      </w:pPr>
      <w:r>
        <w:rPr>
          <w:rFonts w:ascii="Times New Roman" w:cs="Times New Roman" w:eastAsia="Times New Roman" w:hAnsi="Times New Roman"/>
          <w:sz w:val="16"/>
          <w:szCs w:val="16"/>
          <w:b w:val="1"/>
          <w:bCs w:val="1"/>
          <w:color w:val="auto"/>
        </w:rPr>
        <w:t>Redeemable</w:t>
      </w:r>
      <w:r>
        <w:rPr>
          <w:sz w:val="20"/>
          <w:szCs w:val="20"/>
          <w:color w:val="auto"/>
        </w:rPr>
        <w:tab/>
      </w:r>
      <w:r>
        <w:rPr>
          <w:rFonts w:ascii="Times New Roman" w:cs="Times New Roman" w:eastAsia="Times New Roman" w:hAnsi="Times New Roman"/>
          <w:sz w:val="16"/>
          <w:szCs w:val="16"/>
          <w:b w:val="1"/>
          <w:bCs w:val="1"/>
          <w:color w:val="auto"/>
        </w:rPr>
        <w:t>Non-redeemable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1220" w:val="left"/>
          <w:tab w:leader="none" w:pos="1520" w:val="left"/>
        </w:tabs>
        <w:rPr>
          <w:sz w:val="20"/>
          <w:szCs w:val="20"/>
          <w:color w:val="auto"/>
        </w:rPr>
      </w:pPr>
      <w:r>
        <w:rPr>
          <w:rFonts w:ascii="Times New Roman" w:cs="Times New Roman" w:eastAsia="Times New Roman" w:hAnsi="Times New Roman"/>
          <w:sz w:val="18"/>
          <w:szCs w:val="18"/>
          <w:color w:val="auto"/>
        </w:rPr>
        <w:t>$ (10,451,084)</w:t>
        <w:tab/>
        <w:t>$</w:t>
        <w:tab/>
        <w:t>(3,907,406)</w:t>
      </w:r>
    </w:p>
    <w:p>
      <w:pPr>
        <w:spacing w:after="0" w:line="90" w:lineRule="exact"/>
        <w:rPr>
          <w:sz w:val="20"/>
          <w:szCs w:val="20"/>
          <w:color w:val="auto"/>
        </w:rPr>
      </w:pPr>
    </w:p>
    <w:p>
      <w:pPr>
        <w:ind w:left="200"/>
        <w:spacing w:after="0"/>
        <w:tabs>
          <w:tab w:leader="none" w:pos="2120" w:val="left"/>
        </w:tabs>
        <w:rPr>
          <w:sz w:val="20"/>
          <w:szCs w:val="20"/>
          <w:color w:val="auto"/>
        </w:rPr>
      </w:pPr>
      <w:r>
        <w:rPr>
          <w:rFonts w:ascii="Times New Roman" w:cs="Times New Roman" w:eastAsia="Times New Roman" w:hAnsi="Times New Roman"/>
          <w:sz w:val="18"/>
          <w:szCs w:val="18"/>
          <w:color w:val="auto"/>
        </w:rPr>
        <w:t>13,376,606</w:t>
      </w:r>
      <w:r>
        <w:rPr>
          <w:sz w:val="20"/>
          <w:szCs w:val="20"/>
          <w:color w:val="auto"/>
        </w:rPr>
        <w:tab/>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tabs>
          <w:tab w:leader="none" w:pos="260" w:val="left"/>
          <w:tab w:leader="none" w:pos="1220" w:val="left"/>
          <w:tab w:leader="none" w:pos="1520" w:val="left"/>
        </w:tabs>
        <w:rPr>
          <w:sz w:val="20"/>
          <w:szCs w:val="20"/>
          <w:color w:val="auto"/>
        </w:rPr>
      </w:pPr>
      <w:r>
        <w:rPr>
          <w:rFonts w:ascii="Times New Roman" w:cs="Times New Roman" w:eastAsia="Times New Roman" w:hAnsi="Times New Roman"/>
          <w:sz w:val="18"/>
          <w:szCs w:val="18"/>
          <w:color w:val="auto"/>
        </w:rPr>
        <w:t>$</w:t>
        <w:tab/>
        <w:t>2,925,522</w:t>
        <w:tab/>
        <w:t>$</w:t>
        <w:tab/>
        <w:t>(3,907,406)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wp:posOffset>
            </wp:positionV>
            <wp:extent cx="1482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670" w:lineRule="exact"/>
        <w:rPr>
          <w:sz w:val="20"/>
          <w:szCs w:val="20"/>
          <w:color w:val="auto"/>
        </w:rPr>
      </w:pPr>
    </w:p>
    <w:p>
      <w:pPr>
        <w:sectPr>
          <w:pgSz w:w="11900" w:h="16838" w:orient="portrait"/>
          <w:cols w:equalWidth="0" w:num="2">
            <w:col w:w="5420" w:space="660"/>
            <w:col w:w="2939"/>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34"/>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3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10,589,315</w:t>
            </w:r>
          </w:p>
        </w:tc>
        <w:tc>
          <w:tcPr>
            <w:tcW w:w="34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3,959,088</w:t>
            </w:r>
          </w:p>
        </w:tc>
      </w:tr>
      <w:tr>
        <w:trPr>
          <w:trHeight w:val="40"/>
        </w:trPr>
        <w:tc>
          <w:tcPr>
            <w:tcW w:w="4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43"/>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income (loss) per share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0.28</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(0.99)</w:t>
            </w:r>
          </w:p>
        </w:tc>
      </w:tr>
      <w:tr>
        <w:trPr>
          <w:trHeight w:val="40"/>
        </w:trPr>
        <w:tc>
          <w:tcPr>
            <w:tcW w:w="44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No shares of the Company were issued or outstanding in 2020 and, as a result, Earnings Per Share does not exist for 2020.</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underwriters’ partial exercise of their over-allotment option on March 19, 2021, 325,000 Founder Shares were no longer subject to forfeiture. These shares were excluded from the calculation of weighted average shares outstanding until they were no longer subject to forfeiture.</w:t>
      </w:r>
    </w:p>
    <w:p>
      <w:pPr>
        <w:spacing w:after="0" w:line="95"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2021, the Company did not have any dilutive securities and other contracts that could, potentially, be exercised or converted into common stock and then share in the Company’s earnings. As a result, diluted income (loss) per share is the same as basic income (loss) per share for the periods presented.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1" w:name="page142"/>
    <w:bookmarkEnd w:id="1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3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Offering Costs associated with the Initial Public Offering</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complies with the requirements of the ASC 340-10-S99-1 and SEC Staff Accounting Bulletin (“SAB”) Topic 5A — “Expenses of Offering”. Offering costs consist principally of professional and registration fees incurred through the balance sheet date that are related to the IPO and were charged to stockholders’ equity upon the completion of the IPO. Accordingly, as of March 15, 2021, offering costs in the aggregate of $4,849,810 have been charged to stockholders’ equity (consisting of $2,400,000 of underwriting discount and $2,449,810 of other offering costs).</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March 19, 2021, the underwriters partially exercised the over-allotment option to purchase 1,300,000 Public Units, generating an aggregate of gross proceeds of $13,000,000, and incurred additional transaction costs of $260,000 in underwriting discount.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62"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Company evaluates its financial instruments to determine if such instruments are derivatives or contain features that qualify as embedded derivatives in accordance with ASC Topic 815, “Derivatives and Hedging”. Derivative instruments are recorded at fair value on the grant date and re-valued at each reporting date, with changes in the fair value reported in the statements of operations. Derivative assets and liabilities are classified on the balance sheet as current or non-current based on whether or not net-cash settlement or conversion of the instrument could be required within 12 months of the balance sheet date. The Company has determined the warrants are a derivative instrument.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2021 and 2020, respectively.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and has concluded that while it is reasonably possible that the virus could have a negative effect on the Company’s financial position, results of its operations, cash flows and/or search for a target company, the specific impact is not readily determinable as of the date of the financial statements. The financial statements do not include any adjustments that might result from the outcome of this uncertainty.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2" w:name="page143"/>
    <w:bookmarkEnd w:id="1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3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4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Debt-Debt with Conversion and Other Options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470-20) and Derivatives and Hedging-Contracts in Entity’s Own Equity (Subtopic 815-40): Accounting for Convertible Instruments and Contracts in an Entity’s Own Equity </w:t>
      </w:r>
      <w:r>
        <w:rPr>
          <w:rFonts w:ascii="Times New Roman" w:cs="Times New Roman" w:eastAsia="Times New Roman" w:hAnsi="Times New Roman"/>
          <w:sz w:val="18"/>
          <w:szCs w:val="18"/>
          <w:color w:val="auto"/>
        </w:rPr>
        <w:t>(“ASU 2020-06”),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simplifies accounting for convertible instruments by removing major separation models required under current GAAP. The ASU also removes certain settlement conditions that are required for equity-linked contracts to qualify for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Initial Public Offering</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Pursuant to the IPO on March 15, 2021, the Company sold 12,000,000 Public Units at a purchase price of $10.00 per Public Unit. Each Public Unit consists of (i) one Public Subunit, which consists of one Public Share and one-quarter of one Public Warrant, and (ii) one-quarter of one Public Warrant. Each whole warrant entitles the holder to purchase one share of common stock at a price of $11.50 per share. Each whole warrant will become exercisable 30 days after the completion of an initial Business Combination and will expire on the fifth anniversary of the completion of an initial Business Combination, or earlier upon redemption or liquidation.</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On March 19, 2021, the underwriters partially exercised the over-allotment option to purchase 1,300,000 Public Units, at a purchase price of $10.00 per Public Unit, generating gross proceeds to the Company of $13,000,000.</w:t>
      </w:r>
    </w:p>
    <w:p>
      <w:pPr>
        <w:spacing w:after="0" w:line="95"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Following the closing of the IPO on March 15, 2021 and the underwriters’ partial exercise of over-allotment option on March 19, 2021, $133,000,000 from the net proceeds of the sale of the Public Units in the IPO and the sale of the Private Units was placed in the Trust Account. The funds held in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Private Placement</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IPO, the Sponsor and EarlyBirdCapital purchased an aggregate of 390,000 Private Units at a price of $10.00 per Private Unit in a private placement (the “Private Placement”), generating gross proceeds of $3,900,000.</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On March 19, 2021, simultaneous with the exercise of the over-allotment option, the Sponsor and EarlyBirdCapital purchased an aggregate of 26,000 additional Private Units, at a purchase price of $10.00 per Private Unit, generating gross proceeds to the Company of $260,000.</w:t>
      </w:r>
    </w:p>
    <w:p>
      <w:pPr>
        <w:spacing w:after="0" w:line="9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Private Units (and underlying Private Subunits, Private Shares, and Private Warrants) are identical to the Public Units except that the Private Warrants included in the Private Units: (i) will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Company’s initial stockholders have agreed (A) to vote the Private Shares contained in the Private Subunits in favor of any proposed Business Combination, (B) not to convert any Private Subunits in connection with a stockholder vote to approve a proposed initial Business Combination or sell any Private Shares to the Company in a tender offer in connection with a proposed initial Business Combination and (C) that the Private Subunits shall not participate in any liquidating distribution from the Trust Account upon winding up if a Business Combination is not consummated. In the event of a liquidation prior to the initial Business Combination, the Private Units will likely be worthless.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3" w:name="page144"/>
    <w:bookmarkEnd w:id="1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6 — Related Party Transactions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January 4, 2021, the Sponsor paid $25,000, or approximately $0.009 per share, to cover certain offering costs in consideration for 2,875,000 shares of common stock, par value $0.0001 (the “Founder Shares”). Up to 375,000 Founder Shares are subject to forfeiture by the Sponsor depending on the extent to which the underwriters’ over-allotment option is exercised. On March 10, 2021, the Company effected a stock dividend of 0.2 shares for each founder share outstanding, resulting in an aggregate of 3,450,000 founder shares outstanding and held by the Sponsor and the Company’s directors (up to 450,000 of which are subject to forfeiture by the Sponsor if the underwriters’ over-allotment option is not exercised in full). On March 19, 2021, the underwriters partially exercised the over-allotment option to purchase 1,300,000 Public Units. As a result, 125,000 founder shares were forfeited.</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the date of the IPO, the Founder Shares were placed into an escrow account maintained in New York, New York by Continental Stock Transfer&amp;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the Company’s initial Business Combination and the date on which the closing price of the Company’s shares of common stock equals or exceeds $12.50 per share (as adjusted for share splits, share capitalizations, reorganizations and recapitalizations) for any 20 trading days within any 30-trading day period commencing after Company’s initial Business Combination and (2) with respect to the remaining 50% of the founder shares, one year after the date of Company’s consummation of the initial Business Combination, or earlier, in either case, if, subsequent to the initial Business Combination, the Company consummates a liquidation, merger, stock exchange or other similar transaction which results in all of the stockholders having the right to exchange their shares of common stock for cash, securities or other property.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Promissory Note — Related Party</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January 4, 2021, the Sponsor agreed to loan the Company up to $300,000 to be used for a portion of the expenses of the IPO (the “Promissory Note”). These loans were non-interest bearing, unsecured and were due at the earlier of March 31, 2021 or the closing of the IPO.</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February 1, 2021, the Sponsor funded to the Company $100,000 pursuant to the Promissory Note. On February 10, 2021, the Sponsor funded to the Company an additional $25,000 pursuant to the Promissory Note, for an aggregate amount of $125,000. On March 15, 2021, the Promissory Note in an aggregate amount of $125,000 was fully repaid by the Company to the Sponsor.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order to meet the working capital needs following the consummation of the IPO if the funds not held in the Trust Account are insufficient, the Sponsor, initial stockholders, officers, directors and their affiliates may, but are not obligated to, loan the Company funds, from time to time or at any time, in whatever amount they deem reasonable in their sole discretion (“Working Capital Loans”).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In the event that the initial Business Combination does not close, the Company may use a portion of the working capital held outside the Trust Account to repay such loaned amounts, but no other proceeds from the Trust Account would be used for such repayment. At December 31, 2021 and 2020, no such Working Capital Loans were outstanding.</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4" w:name="page145"/>
    <w:bookmarkEnd w:id="1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6 — Related Party Transactions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Administrative Service Fee</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Commencing on the Effective Date of the registration statement through the acquisition of a target business, the Company will pay an affiliate of the Chief Executive Officer, an aggregate fee of $10,000 per month for providing the Company with office space and certain office and secretarial services. The Company has recorded 97,097 for the for the period from March 10, 2021 through December 31, 2021.</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7 — Fair Value Measurements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Non-Recurring Fair Value Measurement</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Representative Shares that were measured at fair value on a non-recurring basis as of January 13, 2021 and indicates the fair value hierarchy of the valuation techniques the Company utilized to determine such fair value.</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left="78"/>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3"/>
        </w:trPr>
        <w:tc>
          <w:tcPr>
            <w:tcW w:w="2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left="116"/>
              <w:spacing w:after="0"/>
              <w:rPr>
                <w:sz w:val="20"/>
                <w:szCs w:val="20"/>
                <w:color w:val="auto"/>
              </w:rPr>
            </w:pPr>
            <w:r>
              <w:rPr>
                <w:rFonts w:ascii="Times New Roman" w:cs="Times New Roman" w:eastAsia="Times New Roman" w:hAnsi="Times New Roman"/>
                <w:sz w:val="16"/>
                <w:szCs w:val="16"/>
                <w:b w:val="1"/>
                <w:bCs w:val="1"/>
                <w:color w:val="auto"/>
              </w:rPr>
              <w:t>Quoted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left="58"/>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7"/>
              </w:rPr>
              <w:t>Other</w:t>
            </w:r>
          </w:p>
        </w:tc>
      </w:tr>
      <w:tr>
        <w:trPr>
          <w:trHeight w:val="203"/>
        </w:trPr>
        <w:tc>
          <w:tcPr>
            <w:tcW w:w="2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Prices In Active</w:t>
            </w:r>
          </w:p>
        </w:tc>
        <w:tc>
          <w:tcPr>
            <w:tcW w:w="960" w:type="dxa"/>
            <w:vAlign w:val="bottom"/>
          </w:tcPr>
          <w:p>
            <w:pPr>
              <w:jc w:val="center"/>
              <w:ind w:left="78"/>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Unobservable</w:t>
            </w:r>
          </w:p>
        </w:tc>
      </w:tr>
      <w:tr>
        <w:trPr>
          <w:trHeight w:val="203"/>
        </w:trPr>
        <w:tc>
          <w:tcPr>
            <w:tcW w:w="2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January 13,</w:t>
            </w:r>
          </w:p>
        </w:tc>
        <w:tc>
          <w:tcPr>
            <w:tcW w:w="920" w:type="dxa"/>
            <w:vAlign w:val="bottom"/>
          </w:tcPr>
          <w:p>
            <w:pPr>
              <w:jc w:val="center"/>
              <w:ind w:left="136"/>
              <w:spacing w:after="0"/>
              <w:rPr>
                <w:sz w:val="20"/>
                <w:szCs w:val="20"/>
                <w:color w:val="auto"/>
              </w:rPr>
            </w:pPr>
            <w:r>
              <w:rPr>
                <w:rFonts w:ascii="Times New Roman" w:cs="Times New Roman" w:eastAsia="Times New Roman" w:hAnsi="Times New Roman"/>
                <w:sz w:val="16"/>
                <w:szCs w:val="16"/>
                <w:b w:val="1"/>
                <w:bCs w:val="1"/>
                <w:color w:val="auto"/>
              </w:rPr>
              <w:t>Markets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left="118"/>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212"/>
        </w:trPr>
        <w:tc>
          <w:tcPr>
            <w:tcW w:w="2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920" w:type="dxa"/>
            <w:vAlign w:val="bottom"/>
          </w:tcPr>
          <w:p>
            <w:pPr>
              <w:jc w:val="center"/>
              <w:ind w:left="156"/>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left="118"/>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(Level 3)</w:t>
            </w:r>
          </w:p>
        </w:tc>
      </w:tr>
      <w:tr>
        <w:trPr>
          <w:trHeight w:val="47"/>
        </w:trPr>
        <w:tc>
          <w:tcPr>
            <w:tcW w:w="236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57"/>
        </w:trPr>
        <w:tc>
          <w:tcPr>
            <w:tcW w:w="2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57"/>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Representative Shares</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2,024,463</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78"/>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2,024,463</w:t>
            </w:r>
          </w:p>
        </w:tc>
      </w:tr>
      <w:tr>
        <w:trPr>
          <w:trHeight w:val="27"/>
        </w:trPr>
        <w:tc>
          <w:tcPr>
            <w:tcW w:w="23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2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2,024,463</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2,024,463</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estimated fair value of the Representative Shares on January 13, 2021, the date the Representative Shares were issued, was determined using Level 3 inputs. Inherent in a Monte-Carlo simulation model utilizing the probability weighted expected return method are assumptions related to the expected stock-price volatility (pre-merger), the risk-free interest rate, and the expected restricted term. The Company estimates the volatility of its common stock based on management’s understanding of the volatility associated with instruments of other similar entities. The risk-free interest rate is based on the U.S. Treasury Constant Maturity similar to the expected restricted term of the Representative Shares. The expected restricted term of the Representative Shares is simulated based on management assumptions regarding the timing and likelihood of completing the IPO and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0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key inputs into the Monte Carlo simulation model for the Representative Shares were as follows at</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January 13, 2021:</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7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January 13,</w:t>
            </w:r>
          </w:p>
        </w:tc>
      </w:tr>
      <w:tr>
        <w:trPr>
          <w:trHeight w:val="212"/>
        </w:trPr>
        <w:tc>
          <w:tcPr>
            <w:tcW w:w="2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7"/>
        </w:trPr>
        <w:tc>
          <w:tcPr>
            <w:tcW w:w="2760" w:type="dxa"/>
            <w:vAlign w:val="bottom"/>
            <w:tcBorders>
              <w:bottom w:val="single" w:sz="8" w:color="auto"/>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3"/>
        </w:trPr>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term (years)</w:t>
            </w:r>
          </w:p>
        </w:tc>
        <w:tc>
          <w:tcPr>
            <w:tcW w:w="3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1.11</w:t>
            </w:r>
          </w:p>
        </w:tc>
      </w:tr>
      <w:tr>
        <w:trPr>
          <w:trHeight w:val="243"/>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40"/>
        </w:trPr>
        <w:tc>
          <w:tcPr>
            <w:tcW w:w="2760" w:type="dxa"/>
            <w:vAlign w:val="bottom"/>
          </w:tcPr>
          <w:p>
            <w:pPr>
              <w:spacing w:after="0"/>
              <w:rPr>
                <w:sz w:val="3"/>
                <w:szCs w:val="3"/>
                <w:color w:val="auto"/>
              </w:rPr>
            </w:pPr>
          </w:p>
        </w:tc>
        <w:tc>
          <w:tcPr>
            <w:tcW w:w="3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4"/>
        </w:trPr>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43"/>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4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9.37</w:t>
            </w:r>
          </w:p>
        </w:tc>
      </w:tr>
      <w:tr>
        <w:trPr>
          <w:trHeight w:val="40"/>
        </w:trPr>
        <w:tc>
          <w:tcPr>
            <w:tcW w:w="2760" w:type="dxa"/>
            <w:vAlign w:val="bottom"/>
          </w:tcPr>
          <w:p>
            <w:pPr>
              <w:spacing w:after="0"/>
              <w:rPr>
                <w:sz w:val="3"/>
                <w:szCs w:val="3"/>
                <w:color w:val="auto"/>
              </w:rPr>
            </w:pPr>
          </w:p>
        </w:tc>
        <w:tc>
          <w:tcPr>
            <w:tcW w:w="3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4"/>
        </w:trPr>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391"/>
        </w:trPr>
        <w:tc>
          <w:tcPr>
            <w:tcW w:w="276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3"/>
          </w:tcPr>
          <w:p>
            <w:pPr>
              <w:jc w:val="right"/>
              <w:ind w:right="2760"/>
              <w:spacing w:after="0"/>
              <w:rPr>
                <w:sz w:val="20"/>
                <w:szCs w:val="20"/>
                <w:color w:val="auto"/>
              </w:rPr>
            </w:pPr>
            <w:r>
              <w:rPr>
                <w:rFonts w:ascii="Times New Roman" w:cs="Times New Roman" w:eastAsia="Times New Roman" w:hAnsi="Times New Roman"/>
                <w:sz w:val="18"/>
                <w:szCs w:val="18"/>
                <w:color w:val="auto"/>
              </w:rPr>
              <w:t>F-19</w:t>
            </w: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45" w:name="page146"/>
    <w:bookmarkEnd w:id="1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7 — Fair Value Measurements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Recurring Fair Value Measurement</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were measured at fair value on a recurring basis as of December 31, 2021 and indicates the fair value hierarchy of the valuation techniques the Company utilized to determine such fair value.</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left="75"/>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Quoted Prices</w:t>
            </w:r>
          </w:p>
        </w:tc>
        <w:tc>
          <w:tcPr>
            <w:tcW w:w="960" w:type="dxa"/>
            <w:vAlign w:val="bottom"/>
          </w:tcPr>
          <w:p>
            <w:pPr>
              <w:jc w:val="center"/>
              <w:ind w:left="55"/>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960" w:type="dxa"/>
            <w:vAlign w:val="bottom"/>
          </w:tcPr>
          <w:p>
            <w:pPr>
              <w:jc w:val="center"/>
              <w:ind w:left="75"/>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Unobservable</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Markets</w:t>
            </w:r>
          </w:p>
        </w:tc>
        <w:tc>
          <w:tcPr>
            <w:tcW w:w="960" w:type="dxa"/>
            <w:vAlign w:val="bottom"/>
          </w:tcPr>
          <w:p>
            <w:pPr>
              <w:jc w:val="center"/>
              <w:ind w:left="115"/>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212"/>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960" w:type="dxa"/>
            <w:vAlign w:val="bottom"/>
          </w:tcPr>
          <w:p>
            <w:pPr>
              <w:jc w:val="center"/>
              <w:ind w:left="115"/>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46"/>
        </w:trPr>
        <w:tc>
          <w:tcPr>
            <w:tcW w:w="30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U.S. Mutual Fund held in Trust Account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133,010,583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133,010,583</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133,010,583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133,010,583</w:t>
            </w:r>
          </w:p>
        </w:tc>
        <w:tc>
          <w:tcPr>
            <w:tcW w:w="96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247,514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247,514</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960" w:type="dxa"/>
            <w:vAlign w:val="bottom"/>
            <w:tcBorders>
              <w:top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estimated fair value of the warrant liability on March 15, 2021 and December 31, 2021 is determined using Level 3 inputs. Inherent in a Monte-Carlo simulation model are assumptions related to expected stock-price volatility (pre-merger and post-merger), expected term, dividend yield and risk-free interest rate. The Company estimates the volatility of its common stock based on management’s understanding of the volatility associated with instruments of other similar entities. The risk-free interest rate is based on the U.S. Treasury Constant Maturity similar to the expected remaining life of the warrants. The expected life of the warrants is simulated based on management assumptions regarding the timing and likelihood of completing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key inputs into the Monte Carlo simulation model for the warrant liability were as follows at</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March 15, 2021:</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March 15,</w:t>
            </w:r>
          </w:p>
        </w:tc>
      </w:tr>
      <w:tr>
        <w:trPr>
          <w:trHeight w:val="212"/>
        </w:trPr>
        <w:tc>
          <w:tcPr>
            <w:tcW w:w="6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7"/>
        </w:trPr>
        <w:tc>
          <w:tcPr>
            <w:tcW w:w="6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5.99</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9.36</w:t>
            </w: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11.5</w:t>
            </w:r>
          </w:p>
        </w:tc>
      </w:tr>
    </w:tbl>
    <w:p>
      <w:pPr>
        <w:spacing w:after="0" w:line="19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key inputs into the Monte Carlo simulation model for the warrant liability were as follows at</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December 31, 2021:</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7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2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7"/>
        </w:trPr>
        <w:tc>
          <w:tcPr>
            <w:tcW w:w="2720" w:type="dxa"/>
            <w:vAlign w:val="bottom"/>
            <w:tcBorders>
              <w:bottom w:val="single" w:sz="8" w:color="auto"/>
            </w:tcBorders>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4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5.30</w:t>
            </w:r>
          </w:p>
        </w:tc>
      </w:tr>
      <w:tr>
        <w:trPr>
          <w:trHeight w:val="24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40"/>
        </w:trPr>
        <w:tc>
          <w:tcPr>
            <w:tcW w:w="2720" w:type="dxa"/>
            <w:vAlign w:val="bottom"/>
          </w:tcPr>
          <w:p>
            <w:pPr>
              <w:spacing w:after="0"/>
              <w:rPr>
                <w:sz w:val="3"/>
                <w:szCs w:val="3"/>
                <w:color w:val="auto"/>
              </w:rPr>
            </w:pPr>
          </w:p>
        </w:tc>
        <w:tc>
          <w:tcPr>
            <w:tcW w:w="4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4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4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9.58</w:t>
            </w:r>
          </w:p>
        </w:tc>
      </w:tr>
      <w:tr>
        <w:trPr>
          <w:trHeight w:val="40"/>
        </w:trPr>
        <w:tc>
          <w:tcPr>
            <w:tcW w:w="2720" w:type="dxa"/>
            <w:vAlign w:val="bottom"/>
          </w:tcPr>
          <w:p>
            <w:pPr>
              <w:spacing w:after="0"/>
              <w:rPr>
                <w:sz w:val="3"/>
                <w:szCs w:val="3"/>
                <w:color w:val="auto"/>
              </w:rPr>
            </w:pPr>
          </w:p>
        </w:tc>
        <w:tc>
          <w:tcPr>
            <w:tcW w:w="4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4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11.5</w:t>
            </w:r>
          </w:p>
        </w:tc>
      </w:tr>
      <w:tr>
        <w:trPr>
          <w:trHeight w:val="432"/>
        </w:trPr>
        <w:tc>
          <w:tcPr>
            <w:tcW w:w="27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3"/>
          </w:tcPr>
          <w:p>
            <w:pPr>
              <w:jc w:val="right"/>
              <w:ind w:right="2740"/>
              <w:spacing w:after="0"/>
              <w:rPr>
                <w:sz w:val="20"/>
                <w:szCs w:val="20"/>
                <w:color w:val="auto"/>
              </w:rPr>
            </w:pPr>
            <w:r>
              <w:rPr>
                <w:rFonts w:ascii="Times New Roman" w:cs="Times New Roman" w:eastAsia="Times New Roman" w:hAnsi="Times New Roman"/>
                <w:sz w:val="18"/>
                <w:szCs w:val="18"/>
                <w:color w:val="auto"/>
              </w:rPr>
              <w:t>F-20</w:t>
            </w: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46" w:name="page147"/>
    <w:bookmarkEnd w:id="1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7 — Fair Value Measurements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warrant liability for the year ended December 31, 2021:</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Warrant</w:t>
            </w:r>
          </w:p>
        </w:tc>
      </w:tr>
      <w:tr>
        <w:trPr>
          <w:trHeight w:val="212"/>
        </w:trPr>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46"/>
        </w:trPr>
        <w:tc>
          <w:tcPr>
            <w:tcW w:w="68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December 31, 2020</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Initial fair value of warrant liability upon issuance at IPO</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270,307</w:t>
            </w: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(22,793)</w:t>
            </w:r>
          </w:p>
        </w:tc>
      </w:tr>
      <w:tr>
        <w:trPr>
          <w:trHeight w:val="23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Fair value as of December 31, 2021</w:t>
            </w: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247,514</w:t>
            </w:r>
          </w:p>
        </w:tc>
        <w:tc>
          <w:tcPr>
            <w:tcW w:w="14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holders of the Founder Shares and Representative Shares (as defined below) issued and outstanding on the date of the IPO, as well as the holders of the Private Units and any units the Sponsor, officers, directors or their affiliates may be issued in payment of Working Capital Loans made to the Company (and all underlying securities), will be entitled to registration rights pursuant to an agreement signed on March 10, 2021. The holders of a majority of these securities are entitled to make up to two demands that the Company use its best efforts to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the Sponsor, officers, directors or their affiliates in payment of Working Capital Loans made to the Company (or underlying securities) can elect to exercise these registration rights at any time after the Company consummates a Business Combination. Notwithstanding anything to the contrary, EarlyBirdCapital may only make a demand on one occasion and only during the five-year period beginning on March 10, 2021. In addition, the holders have certain “piggy-back” registration rights with respect to registration statements filed subsequent to the consummation of a Business Combination; provided, however, that EarlyBirdCapital may participate in a “piggy-back” registration only during the seven-year period beginning on the effective date of the registration statement. The Company will bear the expenses incurred in connection with the filing of any such registration statements.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Underwriters Agreement</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EarlyBirdCapital and I-Bankers Securities, Inc. (the “Underwriters”) have a 45-day option from the date of the IPO to purchase up to an additional 1,800,000 Public Units to cover over-allotments, if any. The Underwriters were entitled to a cash underwriting discount of two percent (2%) of the gross proceeds of the IPO, or $2,400,000 (or up to $2,760,000 if the underwriters’ over-allotment is exercised in full). On March 15, 2021, the Company paid, in aggregate, a fixed underwriting discount of $2,400,000.</w:t>
      </w:r>
    </w:p>
    <w:p>
      <w:pPr>
        <w:spacing w:after="0" w:line="10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On March 19, 2021, the Underwriters partially exercised the over-allotment option to purchase 1,300,000 Public Units and were, in aggregate, paid a fixed underwriting discount of $260,000.</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EarlyBirdCapital will have the right of first refusal for a period commencing from the consummation of the IPO until the consummation of the initial Business Combination (or the liquidation of the Trust Account in the event that the Company fails to consummate the initial Business Combination within the Combination Period) to act as book running manager, placement agent and/or arranger for all financings where the Company seeks to raise equity, equity-linked, debt or mezzanine financings relating to or in connection with the initial Business Combination.</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addition, under certain circumstances EarlyBirdCapital will be granted, for a period of one year from the closing of the IPO, the right to act as lead underwriter for the next U.S. registered public offering of securities, undertaken by any of the Company’s officers, for the purpose of raising capital and placing 90% or more of the proceeds in a trust or escrow account to be used to acquire one or more operating businesses in the technology industry that have not been identified at the time of the IPO.</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7" w:name="page148"/>
    <w:bookmarkEnd w:id="1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8 — Commitments and Contingencies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Business Combination Marketing Agreement</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has engaged EarlyBirdCapital as an advisor in connection with the Business Combination to assist the Company in holding meetings with its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Company will pay EarlyBirdCapital a cash fee for such services upon the consummation of its initial Business Combination in an amount equal to 3.5% of the gross proceeds of the IPO (exclusive of any applicable finders’ fees which will become payable); provided that up to 30% of the fee may be allocated at the Company’s sole discretion to other FINRA members (including, with EarlyBirdCapital’s prior consent which shall not be unreasonably withheld, companies affiliated with the Company or its officers or directors) that assist the Company in identifying or consummating an initial Business Combination.</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Representative Shares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January 13, 2021, the Company has issued to EarlyBirdCapital and its designees an aggregate of 350,000 representative shares at a purchase price of $0.0001 per share (the “Representative Shares”). The fair value of the Representative Shares was determined to be $2,024,463 (See Note 7). On March 10, 2021, the Company effected a stock dividend of 0.2 shares of common stock for every share of common stock outstanding, resulting in an additional 70,000 representative shares issued to EarlyBirdCapital for no consideration and an aggregate of 420,000 representative shares outstanding. The holders of the Representative Shares have agreed not to transfer, assign or sell any such shares without the Company’s prior consent until the completion of the initial Business Combination. In addition, the holders of the Representative Shares have agreed (i) to waive their conversion rights (or right to participate in any tender offer) with respect to such shares in connection with the completion of the initial Business Combination and (ii) to waive their rights to liquidating distributions from the Trust Account with respect to such shares if the Company fails to complete its initial Business Combination within the Combination Period.</w:t>
      </w:r>
    </w:p>
    <w:p>
      <w:pPr>
        <w:spacing w:after="0" w:line="12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Representative Shares have been deemed compensation by FINRA and are therefore subject to a lock-up for a period of 180 days immediately following March 10, 2021 pursuant to Rule 5110(g)(1) of the FINRA Manual. Pursuant to FINRA Rule 5110(g)(1), these securities will not be sold during the IPO, or sold, transferred, assigned, pledged, or hypothecated, or be the subject of any hedging, short sale, derivative, put or call transaction that would result in the economic disposition of the securities by any person for a period of 180 days immediately following the March 10, 2021 or commencement of sales of the IPO, except to any underwriter and selected dealer participating in the IPO and their bona fide officers or partners, provided that all securities so transferred remain subject to the lock-up restriction above for the remainder of the time period.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Business Combination Legal Services Agreement</w:t>
      </w:r>
    </w:p>
    <w:p>
      <w:pPr>
        <w:spacing w:after="0" w:line="14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Company has entered into an agreement with its legal counsel, Loeb &amp; Loeb (“Loeb”), whereby the Company is required to pay a total of $250,000 in retainer fees to Loeb for services related to the initial Business Combination upon the completion of certain milestones. The balance of any additional legal fees incurred related to the initial Business Combination will be due at the closing of the SPAC Merger. As of December 31, 2021, the Company had paid a total of $50,000 of retainer fees to Loeb.</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Consulting Agreement</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March 16, 2021, the Company entered into a consulting agreement with Dr. Julia, a director of the Company, pursuant to which Dr. Julia agreed to introduce to the Company one or more potential candidates for the Company to pursue regarding a potential business combination in exchange for a single consulting fee equal to 1.0% of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8" w:name="page149"/>
    <w:bookmarkEnd w:id="1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8 — Commitments and Contingencies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enterprise value of the target company paid in cash, not to exceed 2.0% of the Trust Account, payable concurrent with the closing of the business combination with the target introduced by Dr. Julia. On November 15, 2021, the Company entered into a Merger Agreement with SoundHound Inc., which Dr. Julia had introduced to the Company. Pursuant to the consulting agreement, upon the closing of the Business Combination, Dr. Julia will be entitled to a finder’s fee of $2.66 million.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9 — Stockholders’ Equity</w:t>
      </w:r>
    </w:p>
    <w:p>
      <w:pPr>
        <w:spacing w:after="0" w:line="158"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 </w:t>
      </w:r>
      <w:r>
        <w:rPr>
          <w:rFonts w:ascii="Times New Roman" w:cs="Times New Roman" w:eastAsia="Times New Roman" w:hAnsi="Times New Roman"/>
          <w:sz w:val="18"/>
          <w:szCs w:val="18"/>
          <w:color w:val="auto"/>
        </w:rPr>
        <w:t>The Company is authorized to issue 1,000,000 shares of preferred stock at par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$0.0001 per share. As of December 31, 2021, there were no shares of preferred stock issued or outstanding.</w:t>
      </w:r>
    </w:p>
    <w:p>
      <w:pPr>
        <w:spacing w:after="0" w:line="74"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 </w:t>
      </w:r>
      <w:r>
        <w:rPr>
          <w:rFonts w:ascii="Times New Roman" w:cs="Times New Roman" w:eastAsia="Times New Roman" w:hAnsi="Times New Roman"/>
          <w:sz w:val="18"/>
          <w:szCs w:val="18"/>
          <w:color w:val="auto"/>
        </w:rPr>
        <w:t>The Company is authorized to issue 100,000,000 shares of common stock with a par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of $0.0001 per share. At December 31, 2021, there were 4,161,000 shares of common stock issued and outstanding, excluding 13,300,000 shares of common stock subject to possible redemption.</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Each whole warrant entitles the holder to purchase one common stock at a price of $11.50 per share, subject to adjustment as discussed below, at any time commencing 30 days after the completion of an initial Business Combination. The warrants will expire on the fifth anniversary of the completion of an initial Business Combination, at 5:00 p.m., New York City time, or earlier upon redemption or liquidation.</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w:t>
      </w:r>
    </w:p>
    <w:p>
      <w:pPr>
        <w:spacing w:after="0" w:line="11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Company may call the warrants for redemption (excluding the Private Warrants and any warrants underlying additional units issued to the Sponsor, initial stockholders, officers, directors or their affiliates in payment of Working Capital Loans made to the Company), in whole and not in part, at a price of $0.01 per warrant,</w:t>
      </w:r>
    </w:p>
    <w:p>
      <w:pPr>
        <w:spacing w:after="0" w:line="112" w:lineRule="exact"/>
        <w:rPr>
          <w:sz w:val="20"/>
          <w:szCs w:val="20"/>
          <w:color w:val="auto"/>
        </w:rPr>
      </w:pPr>
    </w:p>
    <w:p>
      <w:pPr>
        <w:ind w:left="1300" w:hanging="41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6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115"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9" w:name="page150"/>
    <w:bookmarkEnd w:id="1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9 — Stockholders’ Equity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(with such issue price or effective issue price to be determined in good faith by the Company’s board of directors, and in the case of any such issuance to the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and the $18.00 redemption trigger price will be adjusted to 180% of this amount.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10 — Income Tax</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Company’s net deferred tax assets are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Organizational costs/Startup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51,171</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costs related to Business Combination</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82,920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net operating loss</w:t>
            </w:r>
          </w:p>
        </w:tc>
        <w:tc>
          <w:tcPr>
            <w:tcW w:w="10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77,042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211,133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(211,133)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 net of allowance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85"/>
        </w:trPr>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income tax provision consists of the following:</w:t>
            </w: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5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211,133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w:t>
            </w: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(211,133)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has $366,866 of U.S. federal net operating loss carryovers, which do not expire, and no state net operating loss carryovers available to offset future taxable income.</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year ended December 31, 2021, the change in the valuation allowance was $210,982.</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0" w:name="page151"/>
    <w:bookmarkEnd w:id="1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10 — Income Tax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 reconciliation of the federal income tax rate to the Company’s effective tax rate at December 31, 2021 is as follows: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4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40"/>
        </w:trPr>
        <w:tc>
          <w:tcPr>
            <w:tcW w:w="6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63"/>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Book/Tax Differences</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57"/>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(21.49)%</w:t>
            </w:r>
          </w:p>
        </w:tc>
      </w:tr>
      <w:tr>
        <w:trPr>
          <w:trHeight w:val="27"/>
        </w:trPr>
        <w:tc>
          <w:tcPr>
            <w:tcW w:w="6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7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in various state and local jurisdictions and is subject to examination by the various taxing authorities.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 January 10, 2022, the Company filed a registration statement on Form S-4 (the “Form S-4”) with respect to the merger between the Company and SoundHound Inc.</w:t>
      </w:r>
    </w:p>
    <w:p>
      <w:pPr>
        <w:spacing w:after="0" w:line="9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On February 14, 2022, the Company filed Amendment No. 1 to the Form S-4 to address comments the Company received from the SEC on February 9, 2022.</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1" w:name="page152"/>
    <w:bookmarkEnd w:id="1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154305</wp:posOffset>
            </wp:positionV>
            <wp:extent cx="1208405" cy="3511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0840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SoundHound, Inc.</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SoundHound, Inc. (the Company) as of December 31, 2021 and 2020, and the related consolidated statements of operations and comprehensive loss, redeemable convertible preferred stock and stockholders’ deficit,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Armanino</w:t>
      </w:r>
      <w:r>
        <w:rPr>
          <w:rFonts w:ascii="Times New Roman" w:cs="Times New Roman" w:eastAsia="Times New Roman" w:hAnsi="Times New Roman"/>
          <w:sz w:val="20"/>
          <w:szCs w:val="20"/>
          <w:color w:val="auto"/>
          <w:vertAlign w:val="superscript"/>
        </w:rPr>
        <w:t>LLP</w:t>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March 9, 2022</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 auditors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2" w:name="page153"/>
    <w:bookmarkEnd w:id="1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par value data)</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780" w:type="dxa"/>
            <w:vAlign w:val="bottom"/>
          </w:tcPr>
          <w:p>
            <w:pPr>
              <w:spacing w:after="0"/>
              <w:rPr>
                <w:sz w:val="17"/>
                <w:szCs w:val="17"/>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7"/>
                <w:szCs w:val="17"/>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r>
      <w:tr>
        <w:trPr>
          <w:trHeight w:val="46"/>
        </w:trPr>
        <w:tc>
          <w:tcPr>
            <w:tcW w:w="57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5780" w:type="dxa"/>
            <w:vAlign w:val="bottom"/>
            <w:tcBorders>
              <w:bottom w:val="single" w:sz="8" w:color="CCEEFF"/>
            </w:tcBorders>
            <w:shd w:val="clear" w:color="auto" w:fill="CCEEFF"/>
          </w:tcPr>
          <w:p>
            <w:pPr>
              <w:ind w:left="25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1"/>
        </w:trPr>
        <w:tc>
          <w:tcPr>
            <w:tcW w:w="5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63"/>
        </w:trPr>
        <w:tc>
          <w:tcPr>
            <w:tcW w:w="5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21,626</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43,692</w:t>
            </w:r>
          </w:p>
        </w:tc>
        <w:tc>
          <w:tcPr>
            <w:tcW w:w="20" w:type="dxa"/>
            <w:vAlign w:val="bottom"/>
          </w:tcPr>
          <w:p>
            <w:pPr>
              <w:spacing w:after="0"/>
              <w:rPr>
                <w:sz w:val="22"/>
                <w:szCs w:val="22"/>
                <w:color w:val="auto"/>
              </w:rPr>
            </w:pPr>
          </w:p>
        </w:tc>
      </w:tr>
      <w:tr>
        <w:trPr>
          <w:trHeight w:val="243"/>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2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r>
      <w:tr>
        <w:trPr>
          <w:trHeight w:val="40"/>
        </w:trPr>
        <w:tc>
          <w:tcPr>
            <w:tcW w:w="5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8"/>
        </w:trPr>
        <w:tc>
          <w:tcPr>
            <w:tcW w:w="57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allowances of $109 as of December 31, 2021</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55"/>
        </w:trPr>
        <w:tc>
          <w:tcPr>
            <w:tcW w:w="5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December 31, 2020, respectively</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2,060</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20" w:type="dxa"/>
            <w:vAlign w:val="bottom"/>
          </w:tcPr>
          <w:p>
            <w:pPr>
              <w:spacing w:after="0"/>
              <w:rPr>
                <w:sz w:val="22"/>
                <w:szCs w:val="22"/>
                <w:color w:val="auto"/>
              </w:rPr>
            </w:pPr>
          </w:p>
        </w:tc>
      </w:tr>
      <w:tr>
        <w:trPr>
          <w:trHeight w:val="243"/>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2,193</w:t>
            </w:r>
          </w:p>
        </w:tc>
        <w:tc>
          <w:tcPr>
            <w:tcW w:w="8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1,452</w:t>
            </w:r>
          </w:p>
        </w:tc>
      </w:tr>
      <w:tr>
        <w:trPr>
          <w:trHeight w:val="40"/>
        </w:trPr>
        <w:tc>
          <w:tcPr>
            <w:tcW w:w="5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83"/>
        </w:trPr>
        <w:tc>
          <w:tcPr>
            <w:tcW w:w="5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issuance cost</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1,132</w:t>
            </w:r>
          </w:p>
        </w:tc>
        <w:tc>
          <w:tcPr>
            <w:tcW w:w="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r>
      <w:tr>
        <w:trPr>
          <w:trHeight w:val="228"/>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27,471</w:t>
            </w: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48,949</w:t>
            </w:r>
          </w:p>
        </w:tc>
        <w:tc>
          <w:tcPr>
            <w:tcW w:w="20" w:type="dxa"/>
            <w:vAlign w:val="bottom"/>
          </w:tcPr>
          <w:p>
            <w:pPr>
              <w:spacing w:after="0"/>
              <w:rPr>
                <w:sz w:val="19"/>
                <w:szCs w:val="19"/>
                <w:color w:val="auto"/>
              </w:rPr>
            </w:pPr>
          </w:p>
        </w:tc>
      </w:tr>
      <w:tr>
        <w:trPr>
          <w:trHeight w:val="36"/>
        </w:trPr>
        <w:tc>
          <w:tcPr>
            <w:tcW w:w="5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63"/>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equivalents, non-current</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736</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20" w:type="dxa"/>
            <w:vAlign w:val="bottom"/>
          </w:tcPr>
          <w:p>
            <w:pPr>
              <w:spacing w:after="0"/>
              <w:rPr>
                <w:sz w:val="22"/>
                <w:szCs w:val="22"/>
                <w:color w:val="auto"/>
              </w:rPr>
            </w:pPr>
          </w:p>
        </w:tc>
      </w:tr>
      <w:tr>
        <w:trPr>
          <w:trHeight w:val="24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10,291</w:t>
            </w:r>
          </w:p>
        </w:tc>
        <w:tc>
          <w:tcPr>
            <w:tcW w:w="8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5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63"/>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6,155</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10,435</w:t>
            </w:r>
          </w:p>
        </w:tc>
        <w:tc>
          <w:tcPr>
            <w:tcW w:w="20" w:type="dxa"/>
            <w:vAlign w:val="bottom"/>
          </w:tcPr>
          <w:p>
            <w:pPr>
              <w:spacing w:after="0"/>
              <w:rPr>
                <w:sz w:val="22"/>
                <w:szCs w:val="22"/>
                <w:color w:val="auto"/>
              </w:rPr>
            </w:pPr>
          </w:p>
        </w:tc>
      </w:tr>
      <w:tr>
        <w:trPr>
          <w:trHeight w:val="24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22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2,169</w:t>
            </w:r>
          </w:p>
        </w:tc>
        <w:tc>
          <w:tcPr>
            <w:tcW w:w="8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2,282</w:t>
            </w:r>
          </w:p>
        </w:tc>
      </w:tr>
      <w:tr>
        <w:trPr>
          <w:trHeight w:val="40"/>
        </w:trPr>
        <w:tc>
          <w:tcPr>
            <w:tcW w:w="5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83"/>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2,381</w:t>
            </w:r>
          </w:p>
        </w:tc>
        <w:tc>
          <w:tcPr>
            <w:tcW w:w="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0" w:type="dxa"/>
            <w:vAlign w:val="bottom"/>
          </w:tcPr>
          <w:p>
            <w:pPr>
              <w:spacing w:after="0"/>
              <w:rPr>
                <w:sz w:val="24"/>
                <w:szCs w:val="24"/>
                <w:color w:val="auto"/>
              </w:rPr>
            </w:pPr>
          </w:p>
        </w:tc>
      </w:tr>
      <w:tr>
        <w:trPr>
          <w:trHeight w:val="284"/>
        </w:trPr>
        <w:tc>
          <w:tcPr>
            <w:tcW w:w="5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49,203</w:t>
            </w:r>
          </w:p>
        </w:tc>
        <w:tc>
          <w:tcPr>
            <w:tcW w:w="80" w:type="dxa"/>
            <w:vAlign w:val="bottom"/>
            <w:tcBorders>
              <w:bottom w:val="single" w:sz="8" w:color="CCEEFF"/>
            </w:tcBorders>
          </w:tcPr>
          <w:p>
            <w:pPr>
              <w:spacing w:after="0"/>
              <w:rPr>
                <w:sz w:val="24"/>
                <w:szCs w:val="2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63,637</w:t>
            </w:r>
          </w:p>
        </w:tc>
        <w:tc>
          <w:tcPr>
            <w:tcW w:w="20" w:type="dxa"/>
            <w:vAlign w:val="bottom"/>
          </w:tcPr>
          <w:p>
            <w:pPr>
              <w:spacing w:after="0"/>
              <w:rPr>
                <w:sz w:val="24"/>
                <w:szCs w:val="24"/>
                <w:color w:val="auto"/>
              </w:rPr>
            </w:pPr>
          </w:p>
        </w:tc>
      </w:tr>
      <w:tr>
        <w:trPr>
          <w:trHeight w:val="270"/>
        </w:trPr>
        <w:tc>
          <w:tcPr>
            <w:tcW w:w="5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194"/>
        </w:trPr>
        <w:tc>
          <w:tcPr>
            <w:tcW w:w="57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REDEEMABLE CONVERTIBLE PREFERRED STOCK,</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8"/>
        </w:trPr>
        <w:tc>
          <w:tcPr>
            <w:tcW w:w="5780" w:type="dxa"/>
            <w:vAlign w:val="bottom"/>
          </w:tcPr>
          <w:p>
            <w:pPr>
              <w:ind w:left="1460"/>
              <w:spacing w:after="0"/>
              <w:rPr>
                <w:sz w:val="20"/>
                <w:szCs w:val="20"/>
                <w:color w:val="auto"/>
              </w:rPr>
            </w:pPr>
            <w:r>
              <w:rPr>
                <w:rFonts w:ascii="Times New Roman" w:cs="Times New Roman" w:eastAsia="Times New Roman" w:hAnsi="Times New Roman"/>
                <w:sz w:val="18"/>
                <w:szCs w:val="18"/>
                <w:b w:val="1"/>
                <w:bCs w:val="1"/>
                <w:color w:val="auto"/>
              </w:rPr>
              <w:t>AND STOCKHOLDERS’ DEFICIT</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
        </w:trPr>
        <w:tc>
          <w:tcPr>
            <w:tcW w:w="5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4"/>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3,760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3,336</w:t>
            </w:r>
          </w:p>
        </w:tc>
      </w:tr>
      <w:tr>
        <w:trPr>
          <w:trHeight w:val="40"/>
        </w:trPr>
        <w:tc>
          <w:tcPr>
            <w:tcW w:w="5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63"/>
        </w:trPr>
        <w:tc>
          <w:tcPr>
            <w:tcW w:w="5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7,298</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20" w:type="dxa"/>
            <w:vAlign w:val="bottom"/>
          </w:tcPr>
          <w:p>
            <w:pPr>
              <w:spacing w:after="0"/>
              <w:rPr>
                <w:sz w:val="22"/>
                <w:szCs w:val="22"/>
                <w:color w:val="auto"/>
              </w:rPr>
            </w:pPr>
          </w:p>
        </w:tc>
      </w:tr>
      <w:tr>
        <w:trPr>
          <w:trHeight w:val="243"/>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lease obligation, current portion</w:t>
            </w:r>
          </w:p>
        </w:tc>
        <w:tc>
          <w:tcPr>
            <w:tcW w:w="22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2,331</w:t>
            </w:r>
          </w:p>
        </w:tc>
      </w:tr>
      <w:tr>
        <w:trPr>
          <w:trHeight w:val="40"/>
        </w:trPr>
        <w:tc>
          <w:tcPr>
            <w:tcW w:w="5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63"/>
        </w:trPr>
        <w:tc>
          <w:tcPr>
            <w:tcW w:w="5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3,281</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r>
      <w:tr>
        <w:trPr>
          <w:trHeight w:val="243"/>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lease liabilities, current portion</w:t>
            </w:r>
          </w:p>
        </w:tc>
        <w:tc>
          <w:tcPr>
            <w:tcW w:w="22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1,301</w:t>
            </w:r>
          </w:p>
        </w:tc>
        <w:tc>
          <w:tcPr>
            <w:tcW w:w="8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64"/>
        </w:trPr>
        <w:tc>
          <w:tcPr>
            <w:tcW w:w="5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liability</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2,737</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20" w:type="dxa"/>
            <w:vAlign w:val="bottom"/>
          </w:tcPr>
          <w:p>
            <w:pPr>
              <w:spacing w:after="0"/>
              <w:rPr>
                <w:sz w:val="22"/>
                <w:szCs w:val="22"/>
                <w:color w:val="auto"/>
              </w:rPr>
            </w:pPr>
          </w:p>
        </w:tc>
      </w:tr>
      <w:tr>
        <w:trPr>
          <w:trHeight w:val="243"/>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rent, current portion</w:t>
            </w:r>
          </w:p>
        </w:tc>
        <w:tc>
          <w:tcPr>
            <w:tcW w:w="22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w:t>
            </w:r>
          </w:p>
        </w:tc>
      </w:tr>
      <w:tr>
        <w:trPr>
          <w:trHeight w:val="40"/>
        </w:trPr>
        <w:tc>
          <w:tcPr>
            <w:tcW w:w="5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63"/>
        </w:trPr>
        <w:tc>
          <w:tcPr>
            <w:tcW w:w="5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6,042</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12,078</w:t>
            </w:r>
          </w:p>
        </w:tc>
        <w:tc>
          <w:tcPr>
            <w:tcW w:w="20" w:type="dxa"/>
            <w:vAlign w:val="bottom"/>
          </w:tcPr>
          <w:p>
            <w:pPr>
              <w:spacing w:after="0"/>
              <w:rPr>
                <w:sz w:val="22"/>
                <w:szCs w:val="22"/>
                <w:color w:val="auto"/>
              </w:rPr>
            </w:pPr>
          </w:p>
        </w:tc>
      </w:tr>
      <w:tr>
        <w:trPr>
          <w:trHeight w:val="243"/>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notes, current portion</w:t>
            </w:r>
          </w:p>
        </w:tc>
        <w:tc>
          <w:tcPr>
            <w:tcW w:w="22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29,868</w:t>
            </w:r>
          </w:p>
        </w:tc>
        <w:tc>
          <w:tcPr>
            <w:tcW w:w="8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63"/>
        </w:trPr>
        <w:tc>
          <w:tcPr>
            <w:tcW w:w="5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liability</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3,488</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r>
      <w:tr>
        <w:trPr>
          <w:trHeight w:val="257"/>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payable, current portion</w:t>
            </w:r>
          </w:p>
        </w:tc>
        <w:tc>
          <w:tcPr>
            <w:tcW w:w="22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29,964</w:t>
            </w:r>
          </w:p>
        </w:tc>
        <w:tc>
          <w:tcPr>
            <w:tcW w:w="8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r>
      <w:tr>
        <w:trPr>
          <w:trHeight w:val="244"/>
        </w:trPr>
        <w:tc>
          <w:tcPr>
            <w:tcW w:w="57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24,523</w:t>
            </w:r>
          </w:p>
        </w:tc>
        <w:tc>
          <w:tcPr>
            <w:tcW w:w="20" w:type="dxa"/>
            <w:vAlign w:val="bottom"/>
          </w:tcPr>
          <w:p>
            <w:pPr>
              <w:spacing w:after="0"/>
              <w:rPr>
                <w:sz w:val="21"/>
                <w:szCs w:val="21"/>
                <w:color w:val="auto"/>
              </w:rPr>
            </w:pPr>
          </w:p>
        </w:tc>
      </w:tr>
      <w:tr>
        <w:trPr>
          <w:trHeight w:val="283"/>
        </w:trPr>
        <w:tc>
          <w:tcPr>
            <w:tcW w:w="5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spacing w:after="0"/>
              <w:rPr>
                <w:sz w:val="24"/>
                <w:szCs w:val="24"/>
                <w:color w:val="auto"/>
              </w:rPr>
            </w:pPr>
          </w:p>
        </w:tc>
      </w:tr>
      <w:tr>
        <w:trPr>
          <w:trHeight w:val="263"/>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 net of current portion</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20" w:type="dxa"/>
            <w:vAlign w:val="bottom"/>
          </w:tcPr>
          <w:p>
            <w:pPr>
              <w:spacing w:after="0"/>
              <w:rPr>
                <w:sz w:val="22"/>
                <w:szCs w:val="22"/>
                <w:color w:val="auto"/>
              </w:rPr>
            </w:pPr>
          </w:p>
        </w:tc>
      </w:tr>
      <w:tr>
        <w:trPr>
          <w:trHeight w:val="24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2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8,611</w:t>
            </w:r>
          </w:p>
        </w:tc>
        <w:tc>
          <w:tcPr>
            <w:tcW w:w="8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63"/>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liabilities, net of current portion</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r>
      <w:tr>
        <w:trPr>
          <w:trHeight w:val="24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 net of current portion</w:t>
            </w:r>
          </w:p>
        </w:tc>
        <w:tc>
          <w:tcPr>
            <w:tcW w:w="22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1,511</w:t>
            </w:r>
          </w:p>
        </w:tc>
      </w:tr>
      <w:tr>
        <w:trPr>
          <w:trHeight w:val="41"/>
        </w:trPr>
        <w:tc>
          <w:tcPr>
            <w:tcW w:w="5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64"/>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14,959</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19,204</w:t>
            </w:r>
          </w:p>
        </w:tc>
        <w:tc>
          <w:tcPr>
            <w:tcW w:w="20" w:type="dxa"/>
            <w:vAlign w:val="bottom"/>
          </w:tcPr>
          <w:p>
            <w:pPr>
              <w:spacing w:after="0"/>
              <w:rPr>
                <w:sz w:val="22"/>
                <w:szCs w:val="22"/>
                <w:color w:val="auto"/>
              </w:rPr>
            </w:pPr>
          </w:p>
        </w:tc>
      </w:tr>
      <w:tr>
        <w:trPr>
          <w:trHeight w:val="24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Derivative and warrant liability</w:t>
            </w:r>
          </w:p>
        </w:tc>
        <w:tc>
          <w:tcPr>
            <w:tcW w:w="22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4,384</w:t>
            </w:r>
          </w:p>
        </w:tc>
      </w:tr>
      <w:tr>
        <w:trPr>
          <w:trHeight w:val="40"/>
        </w:trPr>
        <w:tc>
          <w:tcPr>
            <w:tcW w:w="5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64"/>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net of current portion</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13,058</w:t>
            </w:r>
          </w:p>
        </w:tc>
        <w:tc>
          <w:tcPr>
            <w:tcW w:w="20" w:type="dxa"/>
            <w:vAlign w:val="bottom"/>
          </w:tcPr>
          <w:p>
            <w:pPr>
              <w:spacing w:after="0"/>
              <w:rPr>
                <w:sz w:val="22"/>
                <w:szCs w:val="22"/>
                <w:color w:val="auto"/>
              </w:rPr>
            </w:pPr>
          </w:p>
        </w:tc>
      </w:tr>
      <w:tr>
        <w:trPr>
          <w:trHeight w:val="25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1,336</w:t>
            </w:r>
          </w:p>
        </w:tc>
        <w:tc>
          <w:tcPr>
            <w:tcW w:w="8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2,371</w:t>
            </w:r>
          </w:p>
        </w:tc>
      </w:tr>
      <w:tr>
        <w:trPr>
          <w:trHeight w:val="27"/>
        </w:trPr>
        <w:tc>
          <w:tcPr>
            <w:tcW w:w="5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5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112,937</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66,303</w:t>
            </w:r>
          </w:p>
        </w:tc>
        <w:tc>
          <w:tcPr>
            <w:tcW w:w="20" w:type="dxa"/>
            <w:vAlign w:val="bottom"/>
          </w:tcPr>
          <w:p>
            <w:pPr>
              <w:spacing w:after="0"/>
              <w:rPr>
                <w:sz w:val="21"/>
                <w:szCs w:val="21"/>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0"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3" w:name="page154"/>
    <w:bookmarkEnd w:id="1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par value data)</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18"/>
                <w:szCs w:val="18"/>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83"/>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8"/>
        </w:trPr>
        <w:tc>
          <w:tcPr>
            <w:tcW w:w="5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Redeemable convertible preferred stock; $0.0001 par value; 26,316,129</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authorized; 19,248,537 and 19,132,387 shares issued and</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liquidation preference of $284,826 and $284,047 as of</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5"/>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2021 and December 31, 2020, respectively</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279,503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273,687</w:t>
            </w:r>
          </w:p>
        </w:tc>
      </w:tr>
      <w:tr>
        <w:trPr>
          <w:trHeight w:val="283"/>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198"/>
        </w:trPr>
        <w:tc>
          <w:tcPr>
            <w:tcW w:w="5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45,000,000 shares authorized;</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12,280,051 and 11,818,761 shares issued and outstanding as of</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2021 and December 31, 2020, respectively</w:t>
            </w:r>
          </w:p>
        </w:tc>
        <w:tc>
          <w:tcPr>
            <w:tcW w:w="24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r>
      <w:tr>
        <w:trPr>
          <w:trHeight w:val="41"/>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43,491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30,836</w:t>
            </w: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r>
      <w:tr>
        <w:trPr>
          <w:trHeight w:val="41"/>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(386,729)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(307,189)</w:t>
            </w:r>
          </w:p>
        </w:tc>
      </w:tr>
      <w:tr>
        <w:trPr>
          <w:trHeight w:val="237"/>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(343,237</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(276,353</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178"/>
        </w:trPr>
        <w:tc>
          <w:tcPr>
            <w:tcW w:w="5600" w:type="dxa"/>
            <w:vAlign w:val="bottom"/>
            <w:shd w:val="clear" w:color="auto" w:fill="CCEEFF"/>
          </w:tcPr>
          <w:p>
            <w:pPr>
              <w:ind w:left="360"/>
              <w:spacing w:after="0" w:line="177" w:lineRule="exact"/>
              <w:rPr>
                <w:sz w:val="20"/>
                <w:szCs w:val="20"/>
                <w:color w:val="auto"/>
              </w:rPr>
            </w:pPr>
            <w:r>
              <w:rPr>
                <w:rFonts w:ascii="Times New Roman" w:cs="Times New Roman" w:eastAsia="Times New Roman" w:hAnsi="Times New Roman"/>
                <w:sz w:val="18"/>
                <w:szCs w:val="18"/>
                <w:color w:val="auto"/>
              </w:rPr>
              <w:t>Total liabilities, redeemable convertible preferred stock, and</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55"/>
        </w:trPr>
        <w:tc>
          <w:tcPr>
            <w:tcW w:w="5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stockholders’ deficit</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49,203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63,637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4" w:name="page155"/>
    <w:bookmarkEnd w:id="1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for per share amounts)</w:t>
      </w:r>
    </w:p>
    <w:p>
      <w:pPr>
        <w:spacing w:after="0" w:line="16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21,197</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6,585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59,178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16,521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14,140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86,524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(65,327</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(66,004</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(8,342)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(2,269)</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Pr>
          <w:p>
            <w:pPr>
              <w:spacing w:after="0"/>
              <w:rPr>
                <w:sz w:val="22"/>
                <w:szCs w:val="22"/>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(5,415)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(5,396)</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(73,669)</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(74,407)</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8"/>
        </w:trPr>
        <w:tc>
          <w:tcPr>
            <w:tcW w:w="5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Deemed dividend related to the exchange of redeemable convertible</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series D-3A for redeemable convertible preferred stock</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series D-3</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(3,182)</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84"/>
        </w:trPr>
        <w:tc>
          <w:tcPr>
            <w:tcW w:w="560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(79,540</w:t>
            </w:r>
          </w:p>
        </w:tc>
        <w:tc>
          <w:tcPr>
            <w:tcW w:w="140" w:type="dxa"/>
            <w:vAlign w:val="bottom"/>
            <w:vMerge w:val="continue"/>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(77,589</w:t>
            </w:r>
          </w:p>
        </w:tc>
        <w:tc>
          <w:tcPr>
            <w:tcW w:w="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holding gain on available-for-sale securities, net of tax</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84"/>
        </w:trPr>
        <w:tc>
          <w:tcPr>
            <w:tcW w:w="560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(79,539</w:t>
            </w:r>
          </w:p>
        </w:tc>
        <w:tc>
          <w:tcPr>
            <w:tcW w:w="140" w:type="dxa"/>
            <w:vAlign w:val="bottom"/>
            <w:vMerge w:val="continue"/>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(74,402</w:t>
            </w:r>
          </w:p>
        </w:tc>
        <w:tc>
          <w:tcPr>
            <w:tcW w:w="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(6.57)</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12,104,523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11,780,078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5" w:name="page156"/>
    <w:bookmarkEnd w:id="1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par value data)</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72"/>
        </w:trPr>
        <w:tc>
          <w:tcPr>
            <w:tcW w:w="1700" w:type="dxa"/>
            <w:vAlign w:val="bottom"/>
          </w:tcPr>
          <w:p>
            <w:pPr>
              <w:spacing w:after="0"/>
              <w:rPr>
                <w:sz w:val="23"/>
                <w:szCs w:val="23"/>
                <w:color w:val="auto"/>
              </w:rPr>
            </w:pPr>
          </w:p>
        </w:tc>
        <w:tc>
          <w:tcPr>
            <w:tcW w:w="1680" w:type="dxa"/>
            <w:vAlign w:val="bottom"/>
            <w:tcBorders>
              <w:right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11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Borders>
              <w:right w:val="single" w:sz="8" w:color="auto"/>
            </w:tcBorders>
            <w:gridSpan w:val="5"/>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10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3"/>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80" w:type="dxa"/>
            <w:vAlign w:val="bottom"/>
            <w:gridSpan w:val="8"/>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Accumulated</w:t>
            </w: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5"/>
                <w:szCs w:val="5"/>
                <w:color w:val="auto"/>
              </w:rPr>
            </w:pPr>
          </w:p>
        </w:tc>
        <w:tc>
          <w:tcPr>
            <w:tcW w:w="720" w:type="dxa"/>
            <w:vAlign w:val="bottom"/>
            <w:tcBorders>
              <w:right w:val="single" w:sz="8" w:color="auto"/>
            </w:tcBorders>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5"/>
                <w:szCs w:val="5"/>
                <w:color w:val="auto"/>
              </w:rPr>
            </w:pP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1880" w:type="dxa"/>
            <w:vAlign w:val="bottom"/>
            <w:gridSpan w:val="8"/>
            <w:vMerge w:val="continue"/>
          </w:tcPr>
          <w:p>
            <w:pPr>
              <w:spacing w:after="0"/>
              <w:rPr>
                <w:sz w:val="5"/>
                <w:szCs w:val="5"/>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6"/>
        </w:trPr>
        <w:tc>
          <w:tcPr>
            <w:tcW w:w="17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Balance as of January 1,</w:t>
            </w:r>
          </w:p>
        </w:tc>
        <w:tc>
          <w:tcPr>
            <w:tcW w:w="8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17,784,975</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223,641</w:t>
            </w: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11,750,082</w:t>
            </w:r>
          </w:p>
        </w:tc>
        <w:tc>
          <w:tcPr>
            <w:tcW w:w="4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25,936</w:t>
            </w:r>
          </w:p>
        </w:tc>
        <w:tc>
          <w:tcPr>
            <w:tcW w:w="8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w:t>
            </w: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(232,782)</w:t>
            </w: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(206,851)</w:t>
            </w:r>
          </w:p>
        </w:tc>
        <w:tc>
          <w:tcPr>
            <w:tcW w:w="0" w:type="dxa"/>
            <w:vAlign w:val="bottom"/>
          </w:tcPr>
          <w:p>
            <w:pPr>
              <w:spacing w:after="0"/>
              <w:rPr>
                <w:sz w:val="1"/>
                <w:szCs w:val="1"/>
                <w:color w:val="auto"/>
              </w:rPr>
            </w:pPr>
          </w:p>
        </w:tc>
      </w:tr>
      <w:tr>
        <w:trPr>
          <w:trHeight w:val="192"/>
        </w:trPr>
        <w:tc>
          <w:tcPr>
            <w:tcW w:w="1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2020</w:t>
            </w: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100" w:type="dxa"/>
            <w:vAlign w:val="bottom"/>
            <w:tcBorders>
              <w:bottom w:val="single" w:sz="8" w:color="CCEEFF"/>
            </w:tcBorders>
            <w:vMerge w:val="continue"/>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2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60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redeemable</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convertible Series D3</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preferred stock Preferred</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 exchange at $33.00</w:t>
            </w: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454,545</w:t>
            </w:r>
          </w:p>
        </w:tc>
        <w:tc>
          <w:tcPr>
            <w:tcW w:w="100" w:type="dxa"/>
            <w:vAlign w:val="bottom"/>
          </w:tcPr>
          <w:p>
            <w:pPr>
              <w:spacing w:after="0"/>
              <w:rPr>
                <w:sz w:val="12"/>
                <w:szCs w:val="12"/>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15,000</w:t>
            </w: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6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per share</w:t>
            </w:r>
          </w:p>
        </w:tc>
        <w:tc>
          <w:tcPr>
            <w:tcW w:w="8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redeemable</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convertible Series D3</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preferred stock Preferred</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 exchange at $40.00</w:t>
            </w:r>
          </w:p>
        </w:tc>
        <w:tc>
          <w:tcPr>
            <w:tcW w:w="8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per share</w:t>
            </w: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3"/>
            <w:vMerge w:val="continue"/>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Conversion of convertible</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notes for redeemable</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convertible Series D-3</w:t>
            </w: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766,293</w:t>
            </w:r>
          </w:p>
        </w:tc>
        <w:tc>
          <w:tcPr>
            <w:tcW w:w="100" w:type="dxa"/>
            <w:vAlign w:val="bottom"/>
          </w:tcPr>
          <w:p>
            <w:pPr>
              <w:spacing w:after="0"/>
              <w:rPr>
                <w:sz w:val="12"/>
                <w:szCs w:val="12"/>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30,664</w:t>
            </w: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6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preferred stock</w:t>
            </w:r>
          </w:p>
        </w:tc>
        <w:tc>
          <w:tcPr>
            <w:tcW w:w="8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Preferred stock exchange</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3,182</w:t>
            </w: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(3,182)</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(3,182)</w:t>
            </w:r>
          </w:p>
        </w:tc>
        <w:tc>
          <w:tcPr>
            <w:tcW w:w="0" w:type="dxa"/>
            <w:vAlign w:val="bottom"/>
          </w:tcPr>
          <w:p>
            <w:pPr>
              <w:spacing w:after="0"/>
              <w:rPr>
                <w:sz w:val="1"/>
                <w:szCs w:val="1"/>
                <w:color w:val="auto"/>
              </w:rPr>
            </w:pPr>
          </w:p>
        </w:tc>
      </w:tr>
      <w:tr>
        <w:trPr>
          <w:trHeight w:val="192"/>
        </w:trPr>
        <w:tc>
          <w:tcPr>
            <w:tcW w:w="1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(D-3 to D-3A)</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3"/>
            <w:vMerge w:val="continue"/>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redeemable</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convertible Series B</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preferred stock upon net</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exercise of Series B</w:t>
            </w: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101,574</w:t>
            </w:r>
          </w:p>
        </w:tc>
        <w:tc>
          <w:tcPr>
            <w:tcW w:w="100" w:type="dxa"/>
            <w:vAlign w:val="bottom"/>
          </w:tcPr>
          <w:p>
            <w:pPr>
              <w:spacing w:after="0"/>
              <w:rPr>
                <w:sz w:val="12"/>
                <w:szCs w:val="12"/>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200</w:t>
            </w: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1,931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Warrants</w:t>
            </w:r>
          </w:p>
        </w:tc>
        <w:tc>
          <w:tcPr>
            <w:tcW w:w="8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upon exercise of stock</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68,679</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3"/>
            <w:vMerge w:val="continue"/>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Other comprehensive gain,</w:t>
            </w:r>
          </w:p>
        </w:tc>
        <w:tc>
          <w:tcPr>
            <w:tcW w:w="8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of tax</w:t>
            </w: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5,897</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24"/>
                <w:szCs w:val="24"/>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(74,407)</w:t>
            </w:r>
          </w:p>
        </w:tc>
        <w:tc>
          <w:tcPr>
            <w:tcW w:w="8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(74,407)</w:t>
            </w:r>
          </w:p>
        </w:tc>
        <w:tc>
          <w:tcPr>
            <w:tcW w:w="0" w:type="dxa"/>
            <w:vAlign w:val="bottom"/>
          </w:tcPr>
          <w:p>
            <w:pPr>
              <w:spacing w:after="0"/>
              <w:rPr>
                <w:sz w:val="1"/>
                <w:szCs w:val="1"/>
                <w:color w:val="auto"/>
              </w:rPr>
            </w:pPr>
          </w:p>
        </w:tc>
      </w:tr>
      <w:tr>
        <w:trPr>
          <w:trHeight w:val="111"/>
        </w:trPr>
        <w:tc>
          <w:tcPr>
            <w:tcW w:w="1700" w:type="dxa"/>
            <w:vAlign w:val="bottom"/>
            <w:tcBorders>
              <w:top w:val="single" w:sz="8" w:color="CCEEFF"/>
            </w:tcBorders>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Balance as of December 31,</w:t>
            </w:r>
          </w:p>
        </w:tc>
        <w:tc>
          <w:tcPr>
            <w:tcW w:w="8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right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19,132,387</w:t>
            </w:r>
          </w:p>
        </w:tc>
        <w:tc>
          <w:tcPr>
            <w:tcW w:w="10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273,687</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11,818,761</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30,836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(307,189)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(276,353)</w:t>
            </w: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9"/>
                <w:szCs w:val="9"/>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9"/>
                <w:szCs w:val="9"/>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3,843</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3,843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warrants</w:t>
            </w: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upon exercise of stock</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461,290</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2,490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3"/>
            <w:vMerge w:val="continue"/>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Other comprehensive gain,</w:t>
            </w:r>
          </w:p>
        </w:tc>
        <w:tc>
          <w:tcPr>
            <w:tcW w:w="8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0"/>
                <w:szCs w:val="10"/>
                <w:color w:val="auto"/>
              </w:rPr>
            </w:pPr>
          </w:p>
        </w:tc>
        <w:tc>
          <w:tcPr>
            <w:tcW w:w="6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of tax</w:t>
            </w: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6,322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redeemable</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convertible Series C</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preferred stock upon net</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exercise of Series C</w:t>
            </w: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116,150</w:t>
            </w:r>
          </w:p>
        </w:tc>
        <w:tc>
          <w:tcPr>
            <w:tcW w:w="100" w:type="dxa"/>
            <w:vAlign w:val="bottom"/>
          </w:tcPr>
          <w:p>
            <w:pPr>
              <w:spacing w:after="0"/>
              <w:rPr>
                <w:sz w:val="12"/>
                <w:szCs w:val="12"/>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5,816</w:t>
            </w: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6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Warrants</w:t>
            </w:r>
          </w:p>
        </w:tc>
        <w:tc>
          <w:tcPr>
            <w:tcW w:w="8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(79,540)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(79,540)</w:t>
            </w:r>
          </w:p>
        </w:tc>
        <w:tc>
          <w:tcPr>
            <w:tcW w:w="0" w:type="dxa"/>
            <w:vAlign w:val="bottom"/>
          </w:tcPr>
          <w:p>
            <w:pPr>
              <w:spacing w:after="0"/>
              <w:rPr>
                <w:sz w:val="1"/>
                <w:szCs w:val="1"/>
                <w:color w:val="auto"/>
              </w:rPr>
            </w:pPr>
          </w:p>
        </w:tc>
      </w:tr>
      <w:tr>
        <w:trPr>
          <w:trHeight w:val="106"/>
        </w:trPr>
        <w:tc>
          <w:tcPr>
            <w:tcW w:w="170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Balance as of December 31,</w:t>
            </w:r>
          </w:p>
        </w:tc>
        <w:tc>
          <w:tcPr>
            <w:tcW w:w="8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2021</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19,248,537</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279,503</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12,280,051</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43,491</w:t>
            </w:r>
          </w:p>
        </w:tc>
        <w:tc>
          <w:tcPr>
            <w:tcW w:w="8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(386,729)</w:t>
            </w:r>
          </w:p>
        </w:tc>
        <w:tc>
          <w:tcPr>
            <w:tcW w:w="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(343,237)</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6" w:name="page157"/>
    <w:bookmarkEnd w:id="1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 Ended December 31,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6"/>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46"/>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20"/>
                <w:szCs w:val="20"/>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(79,540)</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(74,407)</w:t>
            </w: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5,502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6,037</w:t>
            </w: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6,322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5,897</w:t>
            </w: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 and warrant liability</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4,920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1,846</w:t>
            </w: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4,746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1,068</w:t>
            </w: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lease amortization</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upon extinguishment of debt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3,775</w:t>
            </w: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taxes</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(2,282)</w:t>
            </w: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(1,890)</w:t>
            </w: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(320)</w:t>
            </w:r>
          </w:p>
        </w:tc>
      </w:tr>
      <w:tr>
        <w:trPr>
          <w:trHeight w:val="243"/>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21"/>
                <w:szCs w:val="21"/>
                <w:color w:val="auto"/>
              </w:rPr>
            </w:pP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assets, non-current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1,174</w:t>
            </w: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3,671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1,291</w:t>
            </w:r>
          </w:p>
        </w:tc>
      </w:tr>
      <w:tr>
        <w:trPr>
          <w:trHeight w:val="243"/>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Deferred rent</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640</w:t>
            </w: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(10,281)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10,341</w:t>
            </w:r>
          </w:p>
        </w:tc>
      </w:tr>
      <w:tr>
        <w:trPr>
          <w:trHeight w:val="257"/>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20" w:type="dxa"/>
            <w:vAlign w:val="bottom"/>
          </w:tcPr>
          <w:p>
            <w:pPr>
              <w:spacing w:after="0"/>
              <w:rPr>
                <w:sz w:val="22"/>
                <w:szCs w:val="22"/>
                <w:color w:val="auto"/>
              </w:rPr>
            </w:pP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526</w:t>
            </w: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(46,304</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179705</wp:posOffset>
            </wp:positionV>
            <wp:extent cx="5143500" cy="1803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Maturities of short-term investments</w:t>
      </w:r>
    </w:p>
    <w:p>
      <w:pPr>
        <w:spacing w:after="0" w:line="77" w:lineRule="exact"/>
        <w:rPr>
          <w:sz w:val="20"/>
          <w:szCs w:val="20"/>
          <w:color w:val="auto"/>
        </w:rPr>
      </w:pPr>
    </w:p>
    <w:p>
      <w:pPr>
        <w:jc w:val="right"/>
        <w:ind w:right="1239"/>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8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1201" w:hanging="1201"/>
        <w:spacing w:after="0"/>
        <w:tabs>
          <w:tab w:leader="none" w:pos="1201"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(2,162)</w:t>
      </w:r>
    </w:p>
    <w:p>
      <w:pPr>
        <w:spacing w:after="0" w:line="101" w:lineRule="exact"/>
        <w:rPr>
          <w:rFonts w:ascii="Times New Roman" w:cs="Times New Roman" w:eastAsia="Times New Roman" w:hAnsi="Times New Roman"/>
          <w:sz w:val="17"/>
          <w:szCs w:val="17"/>
          <w:color w:val="auto"/>
        </w:rPr>
      </w:pPr>
    </w:p>
    <w:p>
      <w:pPr>
        <w:ind w:left="141"/>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13,610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34290</wp:posOffset>
            </wp:positionV>
            <wp:extent cx="14827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43" w:lineRule="exact"/>
        <w:rPr>
          <w:sz w:val="20"/>
          <w:szCs w:val="20"/>
          <w:color w:val="auto"/>
        </w:rPr>
      </w:pPr>
    </w:p>
    <w:p>
      <w:pPr>
        <w:ind w:left="1"/>
        <w:spacing w:after="0"/>
        <w:tabs>
          <w:tab w:leader="none" w:pos="1160" w:val="left"/>
        </w:tabs>
        <w:rPr>
          <w:sz w:val="20"/>
          <w:szCs w:val="20"/>
          <w:color w:val="auto"/>
        </w:rPr>
      </w:pPr>
      <w:r>
        <w:rPr>
          <w:rFonts w:ascii="Times New Roman" w:cs="Times New Roman" w:eastAsia="Times New Roman" w:hAnsi="Times New Roman"/>
          <w:sz w:val="18"/>
          <w:szCs w:val="18"/>
          <w:color w:val="auto"/>
        </w:rPr>
        <w:t>(636)</w:t>
      </w:r>
      <w:r>
        <w:rPr>
          <w:sz w:val="20"/>
          <w:szCs w:val="20"/>
          <w:color w:val="auto"/>
        </w:rPr>
        <w:tab/>
      </w:r>
      <w:r>
        <w:rPr>
          <w:rFonts w:ascii="Times New Roman" w:cs="Times New Roman" w:eastAsia="Times New Roman" w:hAnsi="Times New Roman"/>
          <w:sz w:val="17"/>
          <w:szCs w:val="17"/>
          <w:color w:val="auto"/>
        </w:rPr>
        <w:t>11,448</w:t>
      </w:r>
    </w:p>
    <w:p>
      <w:pPr>
        <w:spacing w:after="0" w:line="200" w:lineRule="exact"/>
        <w:rPr>
          <w:sz w:val="20"/>
          <w:szCs w:val="20"/>
          <w:color w:val="auto"/>
        </w:rPr>
      </w:pPr>
    </w:p>
    <w:p>
      <w:pPr>
        <w:sectPr>
          <w:pgSz w:w="11900" w:h="16838" w:orient="portrait"/>
          <w:cols w:equalWidth="0" w:num="2">
            <w:col w:w="6019" w:space="720"/>
            <w:col w:w="2280"/>
          </w:cols>
          <w:pgMar w:left="1440" w:top="270" w:right="1440" w:bottom="1440" w:gutter="0" w:footer="0" w:header="0"/>
          <w:type w:val="continuous"/>
        </w:sectPr>
      </w:pP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convertible notes, net of issuance cost</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14,905</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note payable, net of issuance cost</w:t>
            </w:r>
          </w:p>
        </w:tc>
        <w:tc>
          <w:tcPr>
            <w:tcW w:w="2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29,833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preferred stock</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16,000</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exercise of common stock options</w:t>
            </w:r>
          </w:p>
        </w:tc>
        <w:tc>
          <w:tcPr>
            <w:tcW w:w="2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finance and capital lease obligations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(2,575)</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198"/>
        </w:trPr>
        <w:tc>
          <w:tcPr>
            <w:tcW w:w="5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Proceeds from the exercise of warrants for redeemable convertible</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w:t>
            </w:r>
          </w:p>
        </w:tc>
        <w:tc>
          <w:tcPr>
            <w:tcW w:w="2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44,653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53,454</w:t>
            </w:r>
          </w:p>
        </w:tc>
        <w:tc>
          <w:tcPr>
            <w:tcW w:w="0" w:type="dxa"/>
            <w:vAlign w:val="bottom"/>
          </w:tcPr>
          <w:p>
            <w:pPr>
              <w:spacing w:after="0"/>
              <w:rPr>
                <w:sz w:val="1"/>
                <w:szCs w:val="1"/>
                <w:color w:val="auto"/>
              </w:rPr>
            </w:pPr>
          </w:p>
        </w:tc>
      </w:tr>
      <w:tr>
        <w:trPr>
          <w:trHeight w:val="178"/>
        </w:trPr>
        <w:tc>
          <w:tcPr>
            <w:tcW w:w="5600" w:type="dxa"/>
            <w:vAlign w:val="bottom"/>
          </w:tcPr>
          <w:p>
            <w:pPr>
              <w:ind w:left="720"/>
              <w:spacing w:after="0" w:line="177" w:lineRule="exact"/>
              <w:rPr>
                <w:sz w:val="20"/>
                <w:szCs w:val="20"/>
                <w:color w:val="auto"/>
              </w:rPr>
            </w:pPr>
            <w:r>
              <w:rPr>
                <w:rFonts w:ascii="Times New Roman" w:cs="Times New Roman" w:eastAsia="Times New Roman" w:hAnsi="Times New Roman"/>
                <w:sz w:val="18"/>
                <w:szCs w:val="18"/>
                <w:color w:val="auto"/>
              </w:rPr>
              <w:t>Net (decrease) increase in cash, cash equivalents, and restricted</w:t>
            </w:r>
          </w:p>
        </w:tc>
        <w:tc>
          <w:tcPr>
            <w:tcW w:w="2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(22,160)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18,598</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equivalents, beginning of period</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44,982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26,384</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equivalents, end of period</w:t>
            </w: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22,822</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44,982</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3880"/>
              <w:spacing w:after="0"/>
              <w:rPr>
                <w:sz w:val="20"/>
                <w:szCs w:val="20"/>
                <w:color w:val="auto"/>
              </w:rPr>
            </w:pPr>
            <w:r>
              <w:rPr>
                <w:rFonts w:ascii="Times New Roman" w:cs="Times New Roman" w:eastAsia="Times New Roman" w:hAnsi="Times New Roman"/>
                <w:sz w:val="18"/>
                <w:szCs w:val="18"/>
                <w:color w:val="auto"/>
              </w:rPr>
              <w:t>F-31</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60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type w:val="continuous"/>
        </w:sectPr>
      </w:pPr>
    </w:p>
    <w:bookmarkStart w:id="157" w:name="page158"/>
    <w:bookmarkEnd w:id="1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 Ended December 31,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6"/>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to amounts on the consolidated balance sheets: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21,626</w:t>
            </w:r>
          </w:p>
        </w:tc>
        <w:tc>
          <w:tcPr>
            <w:tcW w:w="3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43,692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restricted cash equivalents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460</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portion of restricted cash equivalents</w:t>
            </w:r>
          </w:p>
        </w:tc>
        <w:tc>
          <w:tcPr>
            <w:tcW w:w="22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736</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5600" w:type="dxa"/>
            <w:vAlign w:val="bottom"/>
            <w:shd w:val="clear" w:color="auto" w:fill="CCEEFF"/>
          </w:tcPr>
          <w:p>
            <w:pPr>
              <w:ind w:left="540"/>
              <w:spacing w:after="0" w:line="177" w:lineRule="exact"/>
              <w:rPr>
                <w:sz w:val="20"/>
                <w:szCs w:val="20"/>
                <w:color w:val="auto"/>
              </w:rPr>
            </w:pPr>
            <w:r>
              <w:rPr>
                <w:rFonts w:ascii="Times New Roman" w:cs="Times New Roman" w:eastAsia="Times New Roman" w:hAnsi="Times New Roman"/>
                <w:sz w:val="18"/>
                <w:szCs w:val="18"/>
                <w:color w:val="auto"/>
              </w:rPr>
              <w:t>Total cash, cash equivalents, and restricted cash equivalents shown</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 the consolidated statements of cash flows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22,822</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44,982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2,631</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5600" w:type="dxa"/>
            <w:vAlign w:val="bottom"/>
            <w:tcBorders>
              <w:bottom w:val="single" w:sz="8" w:color="CCEEFF"/>
            </w:tcBorders>
            <w:vMerge w:val="continue"/>
          </w:tcPr>
          <w:p>
            <w:pPr>
              <w:spacing w:after="0"/>
              <w:rPr>
                <w:sz w:val="23"/>
                <w:szCs w:val="23"/>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5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Operating lease liabilities and right-of-use assets through adoption of</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Topic 842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11,428</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5600" w:type="dxa"/>
            <w:vAlign w:val="bottom"/>
            <w:tcBorders>
              <w:bottom w:val="single" w:sz="8" w:color="CCEEFF"/>
            </w:tcBorders>
            <w:vMerge w:val="continue"/>
          </w:tcPr>
          <w:p>
            <w:pPr>
              <w:spacing w:after="0"/>
              <w:rPr>
                <w:sz w:val="23"/>
                <w:szCs w:val="23"/>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shd w:val="clear" w:color="auto" w:fill="CCEEFF"/>
          </w:tcPr>
          <w:p>
            <w:pPr>
              <w:ind w:left="360"/>
              <w:spacing w:after="0" w:line="201" w:lineRule="exact"/>
              <w:rPr>
                <w:sz w:val="20"/>
                <w:szCs w:val="20"/>
                <w:color w:val="auto"/>
              </w:rPr>
            </w:pPr>
            <w:r>
              <w:rPr>
                <w:rFonts w:ascii="Times New Roman" w:cs="Times New Roman" w:eastAsia="Times New Roman" w:hAnsi="Times New Roman"/>
                <w:sz w:val="18"/>
                <w:szCs w:val="18"/>
                <w:color w:val="auto"/>
              </w:rPr>
              <w:t>Property and equipment acquired under capital leases or debt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Debt discount through issuance of common stock warrants</w:t>
            </w: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vMerge w:val="continue"/>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5600" w:type="dxa"/>
            <w:vAlign w:val="bottom"/>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Debt discount through issuance of convertible note with derivative</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5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liability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6,520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Extinguishment of derivative liability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66"/>
        </w:trPr>
        <w:tc>
          <w:tcPr>
            <w:tcW w:w="5600" w:type="dxa"/>
            <w:vAlign w:val="bottom"/>
            <w:tcBorders>
              <w:bottom w:val="single" w:sz="8" w:color="CCEEFF"/>
            </w:tcBorders>
            <w:vMerge w:val="continue"/>
          </w:tcPr>
          <w:p>
            <w:pPr>
              <w:spacing w:after="0"/>
              <w:rPr>
                <w:sz w:val="23"/>
                <w:szCs w:val="23"/>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160" w:type="dxa"/>
            <w:vAlign w:val="bottom"/>
            <w:tcBorders>
              <w:bottom w:val="single" w:sz="8" w:color="CCEEFF"/>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shd w:val="clear" w:color="auto" w:fill="CCEEFF"/>
          </w:tcPr>
          <w:p>
            <w:pPr>
              <w:ind w:left="360"/>
              <w:spacing w:after="0" w:line="201" w:lineRule="exact"/>
              <w:rPr>
                <w:sz w:val="20"/>
                <w:szCs w:val="20"/>
                <w:color w:val="auto"/>
              </w:rPr>
            </w:pPr>
            <w:r>
              <w:rPr>
                <w:rFonts w:ascii="Times New Roman" w:cs="Times New Roman" w:eastAsia="Times New Roman" w:hAnsi="Times New Roman"/>
                <w:sz w:val="18"/>
                <w:szCs w:val="18"/>
                <w:color w:val="auto"/>
              </w:rPr>
              <w:t>Non-cash debt discount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line="195" w:lineRule="exact"/>
              <w:rPr>
                <w:sz w:val="20"/>
                <w:szCs w:val="20"/>
                <w:color w:val="auto"/>
              </w:rPr>
            </w:pPr>
            <w:r>
              <w:rPr>
                <w:rFonts w:ascii="Times New Roman" w:cs="Times New Roman" w:eastAsia="Times New Roman" w:hAnsi="Times New Roman"/>
                <w:sz w:val="18"/>
                <w:szCs w:val="18"/>
                <w:color w:val="auto"/>
              </w:rPr>
              <w:t>Issues of series C redeemable convertible preferred stock for exercise</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6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of warrants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5,816</w:t>
            </w:r>
          </w:p>
        </w:tc>
        <w:tc>
          <w:tcPr>
            <w:tcW w:w="3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8"/>
        </w:trPr>
        <w:tc>
          <w:tcPr>
            <w:tcW w:w="5600" w:type="dxa"/>
            <w:vAlign w:val="bottom"/>
            <w:tcBorders>
              <w:top w:val="single" w:sz="8" w:color="CCEEFF"/>
            </w:tcBorders>
            <w:shd w:val="clear" w:color="auto" w:fill="CCEEFF"/>
          </w:tcPr>
          <w:p>
            <w:pPr>
              <w:ind w:left="360"/>
              <w:spacing w:after="0" w:line="157" w:lineRule="exact"/>
              <w:rPr>
                <w:sz w:val="20"/>
                <w:szCs w:val="20"/>
                <w:color w:val="auto"/>
              </w:rPr>
            </w:pPr>
            <w:r>
              <w:rPr>
                <w:rFonts w:ascii="Times New Roman" w:cs="Times New Roman" w:eastAsia="Times New Roman" w:hAnsi="Times New Roman"/>
                <w:sz w:val="18"/>
                <w:szCs w:val="18"/>
                <w:color w:val="auto"/>
              </w:rPr>
              <w:t>Issues of series B redeemable convertible preferred stock for exercise</w:t>
            </w: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5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of warrants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1,931</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360"/>
              <w:spacing w:after="0" w:line="198" w:lineRule="exact"/>
              <w:rPr>
                <w:sz w:val="20"/>
                <w:szCs w:val="20"/>
                <w:color w:val="auto"/>
              </w:rPr>
            </w:pPr>
            <w:r>
              <w:rPr>
                <w:rFonts w:ascii="Times New Roman" w:cs="Times New Roman" w:eastAsia="Times New Roman" w:hAnsi="Times New Roman"/>
                <w:sz w:val="18"/>
                <w:szCs w:val="18"/>
                <w:color w:val="auto"/>
              </w:rPr>
              <w:t>Deemed dividend from exchange of series D-3A redeemable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6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convertible preferred stock for series D-3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3,182</w:t>
            </w:r>
          </w:p>
        </w:tc>
        <w:tc>
          <w:tcPr>
            <w:tcW w:w="0" w:type="dxa"/>
            <w:vAlign w:val="bottom"/>
          </w:tcPr>
          <w:p>
            <w:pPr>
              <w:spacing w:after="0"/>
              <w:rPr>
                <w:sz w:val="1"/>
                <w:szCs w:val="1"/>
                <w:color w:val="auto"/>
              </w:rPr>
            </w:pPr>
          </w:p>
        </w:tc>
      </w:tr>
      <w:tr>
        <w:trPr>
          <w:trHeight w:val="158"/>
        </w:trPr>
        <w:tc>
          <w:tcPr>
            <w:tcW w:w="5600" w:type="dxa"/>
            <w:vAlign w:val="bottom"/>
            <w:tcBorders>
              <w:top w:val="single" w:sz="8" w:color="CCEEFF"/>
            </w:tcBorders>
            <w:shd w:val="clear" w:color="auto" w:fill="CCEEFF"/>
          </w:tcPr>
          <w:p>
            <w:pPr>
              <w:ind w:left="360"/>
              <w:spacing w:after="0" w:line="157" w:lineRule="exact"/>
              <w:rPr>
                <w:sz w:val="20"/>
                <w:szCs w:val="20"/>
                <w:color w:val="auto"/>
              </w:rPr>
            </w:pPr>
            <w:r>
              <w:rPr>
                <w:rFonts w:ascii="Times New Roman" w:cs="Times New Roman" w:eastAsia="Times New Roman" w:hAnsi="Times New Roman"/>
                <w:sz w:val="18"/>
                <w:szCs w:val="18"/>
                <w:color w:val="auto"/>
              </w:rPr>
              <w:t>Conversion of convertible notes to series D-3A redeemable convertible</w:t>
            </w: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5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preferred stock</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30,664</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8" w:name="page159"/>
    <w:bookmarkEnd w:id="1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Nature of Operations</w:t>
      </w:r>
    </w:p>
    <w:p>
      <w:pPr>
        <w:spacing w:after="0" w:line="148"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SoundHound, Inc. and its subsidiaries (“SoundHound” or the “Company”) was incorporated in Delaware on September 2, 2005 and is headquartered in Santa Clara, California.</w:t>
      </w:r>
    </w:p>
    <w:p>
      <w:pPr>
        <w:spacing w:after="0" w:line="94"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SoundHound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The conversation voice AI platform is called “Houndify”, where product creators can develop their own voice interfaces with their customers. Hound is primarily used as a prototyping tool to demonstrate what Houndify can deliver. Products and services built on the Houndify platform are referred to as Houndified Products and Houndified Services. The SoundHound music app allows customers to identify and play songs by singing or humming into the smartphone’s microphone, or by identifying the sound playing in the background from external sources.</w:t>
      </w:r>
    </w:p>
    <w:p>
      <w:pPr>
        <w:spacing w:after="0" w:line="18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Going Concern</w:t>
      </w:r>
    </w:p>
    <w:p>
      <w:pPr>
        <w:spacing w:after="0" w:line="162"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Since inception, the Company has generated recurring losses as well as negative operating cash flows, which has resulted in a net loss attributable to common stockholders of $79,540 for the year ended December 31, 2021. As of December 31, 2021, the Company has an accumulated deficit of $386,729. Management expects to continue to incur additional substantial losses in the foreseeable future as a result of research and development activities. The Company has funded its operations primarily through equity or debt financings.</w:t>
      </w:r>
    </w:p>
    <w:p>
      <w:pPr>
        <w:spacing w:after="0" w:line="106"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The Company plans to continue funding its operations and capital funding needs through a combination of private equity offerings, debt financing, revenue and other sources. Total cash and cash equivalents on hand as of December 31, 2021 was $21,626. The Company’s consolidated financial statements have been prepared on a going-concern basis, which contemplates the realization of assets and the satisfaction of liabilities in the normal course of business. The Company has reviewed the relevant conditions and events surrounding its ability to continue as a going concern including among others: historical losses, projected future results, including the effects of COVID-19, cash requirements for the upcoming year, funding capacity, net working capital, total stockholders’ deficit and future access to capital.</w:t>
      </w:r>
    </w:p>
    <w:p>
      <w:pPr>
        <w:spacing w:after="0" w:line="124"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On November 15, 2021, the Company entered into a definitive merger agreement with Archimedes Tech SPAC Partners Co. (the “Business Combination” or the “Merger”). The transaction is expected to deliver between $111,000 and $244,000 of gross proceeds with an expected closing date during the second quarter of 2022. Management believes the Company’s sources of liquidity will be sufficient to fund the Company’s planned operations and existing obligations within one year after the date that the consolidated financial statements are issued. In the event that the Company does not achieve profitability and financing objectives in its current operating plan, management has the ability and commitment to reduce operating expenses as necessary. The Company’s long-term success is dependent upon its ability to successfully raise additional capital, market its existing services, increase revenues, and, ultimately, to achieve profitable operations. The consolidated financial statements do not include any adjustments that might be necessary if the Company is unable to continue as a going concern.</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Other Risk and Uncertainties</w:t>
      </w:r>
    </w:p>
    <w:p>
      <w:pPr>
        <w:spacing w:after="0" w:line="162"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During the two-year period ended December 31, 2021, and subsequently afterward, the Company continued to experience the results of the worldwide COVID-19 pandemic. The COVID-19 outbreak in the United States has caused business disruption through mandated and voluntary closings of businesses and shelter in place orders. In response, the U.S. Government enacted the CARES Act, which includes significant provisions to provide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9" w:name="page160"/>
    <w:bookmarkEnd w:id="1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880" w:right="479"/>
        <w:spacing w:after="0" w:line="261" w:lineRule="auto"/>
        <w:rPr>
          <w:sz w:val="20"/>
          <w:szCs w:val="20"/>
          <w:color w:val="auto"/>
        </w:rPr>
      </w:pPr>
      <w:r>
        <w:rPr>
          <w:rFonts w:ascii="Times New Roman" w:cs="Times New Roman" w:eastAsia="Times New Roman" w:hAnsi="Times New Roman"/>
          <w:sz w:val="18"/>
          <w:szCs w:val="18"/>
          <w:color w:val="auto"/>
        </w:rPr>
        <w:t>relief and assistance to affected organizations. While the disruption is currently expected to be temporary, there is considerable uncertainty around potential future closings, shelter in place orders, containment of the recent COVID-19 variants, and the ultimate impact of the CARES Act and other government initiatives.</w:t>
      </w:r>
    </w:p>
    <w:p>
      <w:pPr>
        <w:spacing w:after="0" w:line="112"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The COVID-19 pandemic and its resulting economic and other effects could result in significant adverse effects on our customers’ cash flow and their ability to manufacture, distribute, and sell products incorporating our voice-enabling technologies. This in turn may cause customers to be less able to pay invoices for royalties, licensing fees and usage fees, or may result in a reduction in the royalties, licensing fees and usage fees that the Company earns which are often based on the number of units sold or distributed by customers. This reduction could cause adverse effects on the business, results of operations, financial condition, cash flows and ability to raise operating capital. In addition, any depression or recession resulting from the COVID-19 pandemic may adversely change consumer behavior and demand, including products sold by customers, which may result in a significant reduction in our revenue, results of operations and financial condition. To date, this matter has not negatively impacted the Company. However, the financial impact and duration cannot be reasonably estimated at this time.</w:t>
      </w:r>
    </w:p>
    <w:p>
      <w:pPr>
        <w:spacing w:after="0" w:line="188" w:lineRule="exact"/>
        <w:rPr>
          <w:sz w:val="20"/>
          <w:szCs w:val="20"/>
          <w:color w:val="auto"/>
        </w:rPr>
      </w:pPr>
    </w:p>
    <w:p>
      <w:pPr>
        <w:ind w:left="860" w:hanging="406"/>
        <w:spacing w:after="0"/>
        <w:tabs>
          <w:tab w:leader="none" w:pos="8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Basis of Presentation and Significant Accounting Policies</w:t>
      </w:r>
    </w:p>
    <w:p>
      <w:pPr>
        <w:spacing w:after="0" w:line="148"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(“U.S. GAAP”) and applicable rules and regulations of the Securities and Exchange Commission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Principles of Consolidation</w:t>
      </w:r>
    </w:p>
    <w:p>
      <w:pPr>
        <w:spacing w:after="0" w:line="162"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accounts of the Company and its wholly-owned subsidiaries. All intercompany accounts and transactions have been eliminated in consolidation.</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Reclassification</w:t>
      </w:r>
    </w:p>
    <w:p>
      <w:pPr>
        <w:spacing w:after="0" w:line="162" w:lineRule="exact"/>
        <w:rPr>
          <w:sz w:val="20"/>
          <w:szCs w:val="20"/>
          <w:color w:val="auto"/>
        </w:rPr>
      </w:pPr>
    </w:p>
    <w:p>
      <w:pPr>
        <w:jc w:val="both"/>
        <w:ind w:left="880" w:right="479"/>
        <w:spacing w:after="0" w:line="261" w:lineRule="auto"/>
        <w:rPr>
          <w:sz w:val="20"/>
          <w:szCs w:val="20"/>
          <w:color w:val="auto"/>
        </w:rPr>
      </w:pPr>
      <w:r>
        <w:rPr>
          <w:rFonts w:ascii="Times New Roman" w:cs="Times New Roman" w:eastAsia="Times New Roman" w:hAnsi="Times New Roman"/>
          <w:sz w:val="18"/>
          <w:szCs w:val="18"/>
          <w:color w:val="auto"/>
        </w:rPr>
        <w:t>Certain prior period balances have been reclassified to conform to the current year presentation. Such changes include the presentation change on the consolidated statements of operations and comprehensive loss from a two-step presentation to a one-step presentation, as well as reclassifications or combinations of certain accounts on the consolidated balance sheets.</w:t>
      </w:r>
    </w:p>
    <w:p>
      <w:pPr>
        <w:spacing w:after="0" w:line="99"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These reclassifications had no impact on total assets, total liabilities, net loss or comprehensive loss or accumulated deficit in the previously reported consolidated financial statements for the year ended December 31, 2020.</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Foreign Currency</w:t>
      </w:r>
    </w:p>
    <w:p>
      <w:pPr>
        <w:spacing w:after="0" w:line="162"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The functional currency of SoundHound, Inc.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years ended December 31, 2021 and 2020, the Company recognized net losses/(gains) related to foreign currency transactions and remeasurements of $501 and ($18), respectively, in the consolidated statements of operations as other expense, net.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0" w:name="page161"/>
    <w:bookmarkEnd w:id="1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135"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judgments that affect the amounts reported and disclosures in the consolidated financial statements and accompanying notes. Such estimates include revenue recognition, allowance for doubtful accounts, accrued liabilities, derivative and warrant liabilities, calculation of the incremental borrowing rate, financial instruments recorded at fair value on a recurring basis, valuation of deferred tax assets and uncertain tax positions and the fair value of common stock and other assumptions used to measure stock-based compensation expense.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Cash and Cash Equivalents</w:t>
      </w:r>
    </w:p>
    <w:p>
      <w:pPr>
        <w:spacing w:after="0" w:line="135"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90 days or less from the date of purchase to be cash equivalents. The Company’s cash equivalents consist of mutual funds, commercial paper and certificates of deposit. The deposits exceed federally insured limits.</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Cash Equivalents</w:t>
      </w:r>
    </w:p>
    <w:p>
      <w:pPr>
        <w:spacing w:after="0" w:line="148"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The Company’s restricted cash equivalents were established according to the requirements under the leases for the Company’s corporate headquarters, data center and sales office, and are subject to certain restrictions under the leases. All amounts in restricted cash equivalents as of December 31, 2021 and 2020 represent funds held in certificates of deposit, have original maturities of six months to one year and are recorded at cost plus accrued interest, which approximates fair value as of December 31, 2021 and 2020. Restricted cash equivalents are classified as current or non-current on the consolidated balance sheets based on the remaining term of the restriction.</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Accounts Receivable, Net</w:t>
      </w:r>
    </w:p>
    <w:p>
      <w:pPr>
        <w:spacing w:after="0" w:line="135"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Accounts receivable consist of current trade receivables due from customers recorded at invoiced amounts, net of allowance for doubtful accounts. Accounts receivable do not bear interest and the Company generally does not require collateral or other security in support of accounts receivable.</w:t>
      </w:r>
    </w:p>
    <w:p>
      <w:pPr>
        <w:spacing w:after="0" w:line="81"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The Company has established an allowance for doubtful accounts and evaluates the collectability of its accounts receivable based on known collection risks and historical experience. Uncollectible receivables are written off when all efforts to collect have been exhausted and recoveries are recognized when received. The allowance for doubtful accounts as of December 31, 2021 and December 31, 2020 was $109.</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Property and Equipment, Net</w:t>
      </w:r>
    </w:p>
    <w:p>
      <w:pPr>
        <w:spacing w:after="0" w:line="148"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is provided using the straight-line method over the estimated useful lives of the respective assets.</w:t>
      </w:r>
    </w:p>
    <w:p>
      <w:pPr>
        <w:spacing w:after="0" w:line="6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estimated useful lives of the Company’s property and equipment are as follows:</w:t>
      </w:r>
    </w:p>
    <w:p>
      <w:pPr>
        <w:spacing w:after="0" w:line="200" w:lineRule="exact"/>
        <w:rPr>
          <w:sz w:val="20"/>
          <w:szCs w:val="20"/>
          <w:color w:val="auto"/>
        </w:rPr>
      </w:pPr>
    </w:p>
    <w:p>
      <w:pPr>
        <w:spacing w:after="0" w:line="286" w:lineRule="exact"/>
        <w:rPr>
          <w:sz w:val="20"/>
          <w:szCs w:val="20"/>
          <w:color w:val="auto"/>
        </w:rPr>
      </w:pPr>
    </w:p>
    <w:tbl>
      <w:tblPr>
        <w:tblLayout w:type="fixed"/>
        <w:tblInd w:w="880" w:type="dxa"/>
        <w:tblCellMar>
          <w:top w:w="0" w:type="dxa"/>
          <w:left w:w="0" w:type="dxa"/>
          <w:bottom w:w="0" w:type="dxa"/>
          <w:right w:w="0" w:type="dxa"/>
        </w:tblCellMar>
      </w:tblPr>
      <w:tr>
        <w:trPr>
          <w:trHeight w:val="263"/>
        </w:trPr>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4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 4 years</w:t>
            </w:r>
          </w:p>
        </w:tc>
      </w:tr>
      <w:tr>
        <w:trPr>
          <w:trHeight w:val="24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41"/>
        </w:trPr>
        <w:tc>
          <w:tcPr>
            <w:tcW w:w="3180" w:type="dxa"/>
            <w:vAlign w:val="bottom"/>
          </w:tcPr>
          <w:p>
            <w:pPr>
              <w:spacing w:after="0"/>
              <w:rPr>
                <w:sz w:val="3"/>
                <w:szCs w:val="3"/>
                <w:color w:val="auto"/>
              </w:rPr>
            </w:pPr>
          </w:p>
        </w:tc>
        <w:tc>
          <w:tcPr>
            <w:tcW w:w="4500" w:type="dxa"/>
            <w:vAlign w:val="bottom"/>
          </w:tcPr>
          <w:p>
            <w:pPr>
              <w:spacing w:after="0"/>
              <w:rPr>
                <w:sz w:val="3"/>
                <w:szCs w:val="3"/>
                <w:color w:val="auto"/>
              </w:rPr>
            </w:pPr>
          </w:p>
        </w:tc>
      </w:tr>
      <w:tr>
        <w:trPr>
          <w:trHeight w:val="264"/>
        </w:trPr>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4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Lesser of useful life or the term of the lease</w:t>
            </w:r>
          </w:p>
        </w:tc>
      </w:tr>
    </w:tbl>
    <w:p>
      <w:pPr>
        <w:spacing w:after="0" w:line="21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Maintenance and repairs that do not extend the life or improve the asset are expensed as incurred.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1" w:name="page162"/>
    <w:bookmarkEnd w:id="1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Impairment of Long-Lived Assets</w:t>
      </w:r>
    </w:p>
    <w:p>
      <w:pPr>
        <w:spacing w:after="0" w:line="148"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The Company evaluates property and equipment for impairment whenever events or changes in circumstances indicate that the carrying amount of the assets may not be recoverable. An impairment loss is recognized when the total of estimated undiscounted future cash flows expected to result from the use of the asset and its eventual disposition is less than its carrying amount. Impairment, if any, would be assessed using discounted cash flows or other appropriate measures of fair value. Through December 31, 2021, there have been no such impairments.</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162" w:lineRule="exact"/>
        <w:rPr>
          <w:sz w:val="20"/>
          <w:szCs w:val="20"/>
          <w:color w:val="auto"/>
        </w:rPr>
      </w:pPr>
    </w:p>
    <w:p>
      <w:pPr>
        <w:jc w:val="both"/>
        <w:ind w:left="880" w:right="479"/>
        <w:spacing w:after="0" w:line="261" w:lineRule="auto"/>
        <w:rPr>
          <w:sz w:val="20"/>
          <w:szCs w:val="20"/>
          <w:color w:val="auto"/>
        </w:rPr>
      </w:pPr>
      <w:r>
        <w:rPr>
          <w:rFonts w:ascii="Times New Roman" w:cs="Times New Roman" w:eastAsia="Times New Roman" w:hAnsi="Times New Roman"/>
          <w:sz w:val="18"/>
          <w:szCs w:val="18"/>
          <w:color w:val="auto"/>
        </w:rPr>
        <w:t>The Company has determined that the Chief Executive Officer is its chief operating decision maker. The Company’s Chief Executive Officer reviews financial information on a consolidated basis for purposes of allocating resources and evaluating financial performance. Accordingly, the Company has determined that it operates as a single reportable segment.</w:t>
      </w:r>
    </w:p>
    <w:p>
      <w:pPr>
        <w:spacing w:after="0" w:line="112"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The Company’s property and equipment is primarily located in the United States. As of December 31, 2021, the Company’s property and equipment is located in the United States, except for 11.7% of assets located in Canada and 1.7% in other foreign jurisdictions. As of December 31, 2020, all property and equipment were located in the United States.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Emerging Growth Company Status</w:t>
      </w:r>
    </w:p>
    <w:p>
      <w:pPr>
        <w:spacing w:after="0" w:line="148"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has elected to use the extended transition period for complying with new or revised accounting standards unless the Company otherwise early adopts select standards.</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Concentrations of Credit Risk and Other Risks and Uncertainties</w:t>
      </w:r>
    </w:p>
    <w:p>
      <w:pPr>
        <w:spacing w:after="0" w:line="162"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potential significant concentrations of credit risk consist principally of cash and cash equivalents. The Company regularly monitors its credit risk exposure and takes steps to mitigate the likelihood of these exposures resulting in actual loss.</w:t>
      </w:r>
    </w:p>
    <w:p>
      <w:pPr>
        <w:spacing w:after="0" w:line="108"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As of December 31, 2021, accounts receivable balances due from five customers collectively totaled 86% of the Company’s consolidated accounts receivable balance. As of December 31, 2020, accounts receivable balances due from two customers collectively totaled 87% of the Company’s consolidated accounts receivable balance.</w:t>
      </w:r>
    </w:p>
    <w:p>
      <w:pPr>
        <w:spacing w:after="0" w:line="99"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the Company had three customers that accounted for 61% of revenue and two customers that accounted for 43% of revenue for the year ended December 31, 2020.</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Equity Issuance Costs</w:t>
      </w:r>
    </w:p>
    <w:p>
      <w:pPr>
        <w:spacing w:after="0" w:line="162"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including the Business Combination, as deferred offering costs until such financings are consummated. After consummation of the financing, these costs are recorded as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2" w:name="page163"/>
    <w:bookmarkEnd w:id="1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a reduction of the proceeds received from the equity financing. If a planned equity financing is abandoned, the deferred offering costs are expensed immediately as a charge to operating expenses in the consolidated statements of operations and comprehensive loss.</w:t>
      </w:r>
    </w:p>
    <w:p>
      <w:pPr>
        <w:spacing w:after="0" w:line="108" w:lineRule="exact"/>
        <w:rPr>
          <w:sz w:val="20"/>
          <w:szCs w:val="20"/>
          <w:color w:val="auto"/>
        </w:rPr>
      </w:pPr>
    </w:p>
    <w:p>
      <w:pPr>
        <w:jc w:val="both"/>
        <w:ind w:left="880" w:right="479"/>
        <w:spacing w:after="0" w:line="258" w:lineRule="auto"/>
        <w:rPr>
          <w:sz w:val="20"/>
          <w:szCs w:val="20"/>
          <w:color w:val="auto"/>
        </w:rPr>
      </w:pPr>
      <w:r>
        <w:rPr>
          <w:rFonts w:ascii="Times New Roman" w:cs="Times New Roman" w:eastAsia="Times New Roman" w:hAnsi="Times New Roman"/>
          <w:sz w:val="18"/>
          <w:szCs w:val="18"/>
          <w:color w:val="auto"/>
        </w:rPr>
        <w:t>Additionally, certain transaction costs incurred in connection with the pending merger agreement, which are direct and incremental to the proposed merger, will be deferred and recorded as a component of other non-current assets within the consolidated balance sheets and will offset cash proceeds from the Business Combination if successful. The Company had $1,264 of deferred offering costs recorded as of December 31, 2021. The Company had not incurred deferred offering costs as of December 31, 2020.</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148"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recognizes revenue under Accounting Standards Codification Topic 606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when a customer obtains control of promised goods or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an amount that reflects the consideration which the entity expects to receive in exchange for those goods or services. To determine revenue recognition for arrangements that an entity determines are within the scope of ASC 606, the Company performs the following five steps:</w:t>
      </w:r>
    </w:p>
    <w:p>
      <w:pPr>
        <w:spacing w:after="0" w:line="116" w:lineRule="exact"/>
        <w:rPr>
          <w:sz w:val="20"/>
          <w:szCs w:val="20"/>
          <w:color w:val="auto"/>
        </w:rPr>
      </w:pPr>
    </w:p>
    <w:p>
      <w:pPr>
        <w:ind w:left="1720" w:hanging="402"/>
        <w:spacing w:after="0"/>
        <w:tabs>
          <w:tab w:leader="none" w:pos="17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contract(s) with a customer;</w:t>
      </w:r>
    </w:p>
    <w:p>
      <w:pPr>
        <w:spacing w:after="0" w:line="157" w:lineRule="exact"/>
        <w:rPr>
          <w:rFonts w:ascii="Times New Roman" w:cs="Times New Roman" w:eastAsia="Times New Roman" w:hAnsi="Times New Roman"/>
          <w:sz w:val="18"/>
          <w:szCs w:val="18"/>
          <w:color w:val="auto"/>
        </w:rPr>
      </w:pPr>
    </w:p>
    <w:p>
      <w:pPr>
        <w:ind w:left="1720" w:hanging="402"/>
        <w:spacing w:after="0"/>
        <w:tabs>
          <w:tab w:leader="none" w:pos="17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44" w:lineRule="exact"/>
        <w:rPr>
          <w:rFonts w:ascii="Times New Roman" w:cs="Times New Roman" w:eastAsia="Times New Roman" w:hAnsi="Times New Roman"/>
          <w:sz w:val="18"/>
          <w:szCs w:val="18"/>
          <w:color w:val="auto"/>
        </w:rPr>
      </w:pPr>
    </w:p>
    <w:p>
      <w:pPr>
        <w:ind w:left="1720" w:hanging="402"/>
        <w:spacing w:after="0"/>
        <w:tabs>
          <w:tab w:leader="none" w:pos="17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 including the constraint on variable consideration;</w:t>
      </w:r>
    </w:p>
    <w:p>
      <w:pPr>
        <w:spacing w:after="0" w:line="157" w:lineRule="exact"/>
        <w:rPr>
          <w:rFonts w:ascii="Times New Roman" w:cs="Times New Roman" w:eastAsia="Times New Roman" w:hAnsi="Times New Roman"/>
          <w:sz w:val="18"/>
          <w:szCs w:val="18"/>
          <w:color w:val="auto"/>
        </w:rPr>
      </w:pPr>
    </w:p>
    <w:p>
      <w:pPr>
        <w:ind w:left="1700" w:hanging="382"/>
        <w:spacing w:after="0"/>
        <w:tabs>
          <w:tab w:leader="none" w:pos="17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157" w:lineRule="exact"/>
        <w:rPr>
          <w:rFonts w:ascii="Times New Roman" w:cs="Times New Roman" w:eastAsia="Times New Roman" w:hAnsi="Times New Roman"/>
          <w:sz w:val="18"/>
          <w:szCs w:val="18"/>
          <w:color w:val="auto"/>
        </w:rPr>
      </w:pPr>
    </w:p>
    <w:p>
      <w:pPr>
        <w:ind w:left="1700" w:hanging="382"/>
        <w:spacing w:after="0"/>
        <w:tabs>
          <w:tab w:leader="none" w:pos="17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performance obligations are satisfied.</w:t>
      </w:r>
    </w:p>
    <w:p>
      <w:pPr>
        <w:spacing w:after="0" w:line="144"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Contracts are accounted for when both parties have approved and committed to the contract, the rights of the parties and payment terms are identifiable, the contract has commercial substance and collectability of consideration is probable. Any payments received from customers that do not meet criteria for having a contract are recorded as deposit liabilities on the consolidated balance sheet.</w:t>
      </w:r>
    </w:p>
    <w:p>
      <w:pPr>
        <w:spacing w:after="0" w:line="112"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Under ASC 606, assuming all other revenue recognition criteria have been met, the Company will recognize revenue for arrangements upon the transfer of control of the Company’s performance obligations to its customers. A performance obligation is a promise in a contract to transfer a distinct good or service to a customer and is the unit of account in ASC 606. Revenues are recognized when control of the promised goods or services are transferred to a customer in an amount that reflects the consideration that the Company expects to receive in exchange for those services. The Company currently generates its revenues through the following performance obligations: (1) hosted services, (2) professional services and (3) monetization.</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w:t>
      </w:r>
    </w:p>
    <w:p>
      <w:pPr>
        <w:spacing w:after="0" w:line="162"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Warrants</w:t>
      </w:r>
    </w:p>
    <w:p>
      <w:pPr>
        <w:spacing w:after="0" w:line="148"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3" w:name="page164"/>
    <w:bookmarkEnd w:id="1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 xml:space="preserve">The warrants are considered freestanding instruments that qualify as liabilities under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as the Company is committed to issuing an instrument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ultimately may require a transfer of assets. The warrant liability is accounted for at fair value and remeasured at each reporting date. Accordingly, the Company classifies the warrants as a liability at their fair value and adjusts the instruments to fair value at each balance sheet date until the warrants are exercised or expired. Any change in the fair value of the warrants is recognized as other expense, net in the consolidated statements of operations and comprehensive loss.</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162"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 asset will not be realized. The Company adopted a more-likely-than-not threshold for financial statement recognition and measurement of tax positions taken or expected to be taken in a tax return. The Company records a liability for the difference between the benefit recognized and measured and the tax position taken or expected to be taken on the Company’s tax return.</w:t>
      </w:r>
    </w:p>
    <w:p>
      <w:pPr>
        <w:spacing w:after="0" w:line="111"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The Company classifies interest and penalties related to uncertain tax positions in income tax expense, if applicable. There were no interest expenses or penalties related to unrecognized tax benefits recorded through the years ended December 31, 2021 and 2020.</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Stock-Based Compensation</w:t>
      </w:r>
    </w:p>
    <w:p>
      <w:pPr>
        <w:spacing w:after="0" w:line="162"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straight-line method to recognize stock-based compensation. The Company uses the Black-Scholes-Merton (“Black- Scholes”) option-pricing model to determine the fair value of stock options. The Black-Scholes option-pricing model requires the use of highly subjective and complex assumptions to determine the fair value of stock options, including the option’s expected term and the price volatility of the underlying stock. The Company calculates the fair value of options granted by using the Black-Scholes option-pricing model with the following assumptions:</w:t>
      </w:r>
    </w:p>
    <w:p>
      <w:pPr>
        <w:spacing w:after="0" w:line="119" w:lineRule="exact"/>
        <w:rPr>
          <w:sz w:val="20"/>
          <w:szCs w:val="20"/>
          <w:color w:val="auto"/>
        </w:rPr>
      </w:pPr>
    </w:p>
    <w:p>
      <w:pPr>
        <w:jc w:val="both"/>
        <w:ind w:left="1320" w:right="4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The Company estimates volatility for option grants by evaluating the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volatility of a peer group of companies for the period immediately preceding the option grant for a term that is approximately equal to the option’s expected term.</w:t>
      </w:r>
    </w:p>
    <w:p>
      <w:pPr>
        <w:spacing w:after="0" w:line="92" w:lineRule="exact"/>
        <w:rPr>
          <w:sz w:val="20"/>
          <w:szCs w:val="20"/>
          <w:color w:val="auto"/>
        </w:rPr>
      </w:pPr>
    </w:p>
    <w:p>
      <w:pPr>
        <w:jc w:val="both"/>
        <w:ind w:left="1320" w:right="4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expected term of the Company’s options represents the period that the stock-based awards are expected to be outstanding. 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w:t>
      </w:r>
    </w:p>
    <w:p>
      <w:pPr>
        <w:spacing w:after="0" w:line="116" w:lineRule="exact"/>
        <w:rPr>
          <w:sz w:val="20"/>
          <w:szCs w:val="20"/>
          <w:color w:val="auto"/>
        </w:rPr>
      </w:pPr>
    </w:p>
    <w:p>
      <w:pPr>
        <w:jc w:val="both"/>
        <w:ind w:left="1320" w:right="4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is based on the implied yield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on U.S. Treasury zero-coupon issues with a term that is equal to the options’ expected term at the grant date.</w:t>
      </w:r>
    </w:p>
    <w:p>
      <w:pPr>
        <w:spacing w:after="0" w:line="106" w:lineRule="exact"/>
        <w:rPr>
          <w:sz w:val="20"/>
          <w:szCs w:val="20"/>
          <w:color w:val="auto"/>
        </w:rPr>
      </w:pPr>
    </w:p>
    <w:p>
      <w:pPr>
        <w:jc w:val="both"/>
        <w:ind w:left="1320" w:right="4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 Yield </w:t>
      </w:r>
      <w:r>
        <w:rPr>
          <w:rFonts w:ascii="Times New Roman" w:cs="Times New Roman" w:eastAsia="Times New Roman" w:hAnsi="Times New Roman"/>
          <w:sz w:val="18"/>
          <w:szCs w:val="18"/>
          <w:color w:val="auto"/>
        </w:rPr>
        <w:t>— The Company has not declared or paid dividends to date and does not anticipate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declaring dividends. As such, the dividend yield has been estimated to be zero.</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4" w:name="page165"/>
    <w:bookmarkEnd w:id="1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148"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spacing w:after="0" w:line="110" w:lineRule="exact"/>
        <w:rPr>
          <w:sz w:val="20"/>
          <w:szCs w:val="20"/>
          <w:color w:val="auto"/>
        </w:rPr>
      </w:pPr>
    </w:p>
    <w:p>
      <w:pPr>
        <w:ind w:left="1760" w:right="459" w:hanging="442"/>
        <w:spacing w:after="0" w:line="284" w:lineRule="auto"/>
        <w:tabs>
          <w:tab w:leader="none" w:pos="1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Inputs are unadjusted quoted prices in active markets for identical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at the measurement date.</w:t>
      </w:r>
    </w:p>
    <w:p>
      <w:pPr>
        <w:spacing w:after="0" w:line="90" w:lineRule="exact"/>
        <w:rPr>
          <w:rFonts w:ascii="Times New Roman" w:cs="Times New Roman" w:eastAsia="Times New Roman" w:hAnsi="Times New Roman"/>
          <w:sz w:val="18"/>
          <w:szCs w:val="18"/>
          <w:color w:val="auto"/>
        </w:rPr>
      </w:pPr>
    </w:p>
    <w:p>
      <w:pPr>
        <w:jc w:val="both"/>
        <w:ind w:left="1760" w:right="479" w:hanging="442"/>
        <w:spacing w:after="0" w:line="267" w:lineRule="auto"/>
        <w:tabs>
          <w:tab w:leader="none" w:pos="180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 </w:t>
      </w:r>
      <w:r>
        <w:rPr>
          <w:rFonts w:ascii="Times New Roman" w:cs="Times New Roman" w:eastAsia="Times New Roman" w:hAnsi="Times New Roman"/>
          <w:sz w:val="18"/>
          <w:szCs w:val="18"/>
          <w:color w:val="auto"/>
        </w:rPr>
        <w:t>Inputs (other than quoted market prices included in Level 1) are either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observable for the asset or liability through correlation with market data at the measurement date and for the duration of the instrument’s anticipated life.</w:t>
      </w:r>
    </w:p>
    <w:p>
      <w:pPr>
        <w:spacing w:after="0" w:line="92" w:lineRule="exact"/>
        <w:rPr>
          <w:rFonts w:ascii="Times New Roman" w:cs="Times New Roman" w:eastAsia="Times New Roman" w:hAnsi="Times New Roman"/>
          <w:sz w:val="18"/>
          <w:szCs w:val="18"/>
          <w:color w:val="auto"/>
        </w:rPr>
      </w:pPr>
    </w:p>
    <w:p>
      <w:pPr>
        <w:jc w:val="both"/>
        <w:ind w:left="1760" w:right="479" w:hanging="442"/>
        <w:spacing w:after="0" w:line="267" w:lineRule="auto"/>
        <w:tabs>
          <w:tab w:leader="none" w:pos="176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 </w:t>
      </w:r>
      <w:r>
        <w:rPr>
          <w:rFonts w:ascii="Times New Roman" w:cs="Times New Roman" w:eastAsia="Times New Roman" w:hAnsi="Times New Roman"/>
          <w:sz w:val="18"/>
          <w:szCs w:val="18"/>
          <w:color w:val="auto"/>
        </w:rPr>
        <w:t>Inputs reflect management’s best estimate of what market participants would use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the asset or liability at the measurement date. Consideration is given to the risk inherent in the valuation technique and the risk inherent in the inputs to the model.</w:t>
      </w:r>
    </w:p>
    <w:p>
      <w:pPr>
        <w:spacing w:after="0" w:line="108"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The Company’s derivative liabilities and warrants are measured at fair value on a recurring basis and are classified as Level 3 liabilities. The Company records subsequent adjustments to reflect the increase or decrease in estimated fair value at each reporting date on the consolidated statements of operations and comprehensive loss.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Redeemable Convertible Preferred Stock</w:t>
      </w:r>
    </w:p>
    <w:p>
      <w:pPr>
        <w:spacing w:after="0" w:line="162"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The Company’s shares of redeemable convertible preferred stock (“Preferred Stock”) do not have a mandatory redemption date and are assessed at issuance for classification and redemption features requiring bifurcation. The Company presents as temporary equity any stock which (i) the Company undertakes to redeem at a fixed or determinable price on the fixed or determinable date or dates; (ii) is redeemable at the option of the holders, or (iii) has conditions for redemption which are not solely within the control of the Company. The Company’s Preferred Stock is redeemable upon a deemed liquidation event which the Company determined is not solely within its control and thus has classified shares of Preferred Stock as temporary equity until such time as the conditions are removed or lapse. Because the occurrence of a deemed liquidation event is not currently probable, the carrying values of the shares of Preferred Stock are not being accreted to their redemption values. Subsequent adjustments to the carrying values of the shares of Preferred Stock would be made only when a deemed liquidation event becomes probable.</w:t>
      </w:r>
    </w:p>
    <w:p>
      <w:pPr>
        <w:spacing w:after="0" w:line="1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Convertible Notes and Derivative Liabilities</w:t>
      </w:r>
    </w:p>
    <w:p>
      <w:pPr>
        <w:spacing w:after="0" w:line="148"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The Company evaluates its convertible notes, and other contracts, if any, to determine if those contracts or embedded components of those contracts qualify as derivatives requiring bifurcation. The Company accounts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expense, net in the consolidated statements of operations and comprehensive loss. The fair value of the conversion features has been estimated using a probability-weighted discount model with and without the conversion feature (see Note 9 for additional information).</w:t>
      </w:r>
    </w:p>
    <w:p>
      <w:pPr>
        <w:spacing w:after="0" w:line="127"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The Company holds its convertible notes at amortized cost and amortizes the associated debt discount created from bifurcated derivatives and issuance costs under the effective interest or straight-line method until maturity or early conversion pursuant to the contractual terms of the arrangement.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5" w:name="page166"/>
    <w:bookmarkEnd w:id="1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Net Loss Per Share</w:t>
      </w:r>
    </w:p>
    <w:p>
      <w:pPr>
        <w:spacing w:after="0" w:line="148"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108"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Preferred Stock, stock options, warrants and convertible notes are considered to be potentially dilutive securities. See Note 15 for further information.</w:t>
      </w:r>
    </w:p>
    <w:p>
      <w:pPr>
        <w:spacing w:after="0" w:line="116"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Accordingly, in periods in which the Company reports a net loss, diluted net loss per share is the same as basic net loss per share, since dilutive common stock is not assumed to have been issued if their effect is anti-dilutive.</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 — Adopted</w:t>
      </w:r>
    </w:p>
    <w:p>
      <w:pPr>
        <w:spacing w:after="0" w:line="148"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or Accounting Standards Updates, are issued by the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60"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FASB issued Accounting Standards Update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and subsequent amendments to the initial guidance: ASU 2017-13, ASU 2018-10, ASU 2018-11, ASU 2018-20 and ASU 2019-01 (collectively, “Topic 842”). Topic 842 aims to increase transparency and comparability among organizations by requiring lessees to recognize leases with a term greater than 12 months as a right-of-use (“ROU”) asset and corresponding lease liabilities on the balance sheet, regardless of lease classification, and requiring disclosure of key information about leasing arrangements. The lease liability should be initially measured at the present value of the remaining contractual lease payments. Subsequently, the ROU assets will be amortized generally on a straight-line basis over the lease term, and the lease liability will bear interest expense and be reduced for lease payments. Topic 842 is effective for the Company for fiscal years beginning after December 15, 2021, including interim periods within those fiscal years. A modified retrospective application is required with an option to not restate comparative periods in the period of adoption. The Company adopted Topic 842 on January 1, 2021 using the modified retrospective approach, and financial information for the comparative period was not updated.</w:t>
      </w:r>
    </w:p>
    <w:p>
      <w:pPr>
        <w:spacing w:after="0" w:line="338"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In addition, the Company elected the transition package of three practical expedients which allow companies not to reassess (i) whether agreements contain leases, (ii) the classification of leases, and</w:t>
      </w:r>
    </w:p>
    <w:p>
      <w:pPr>
        <w:jc w:val="both"/>
        <w:ind w:left="880" w:right="459" w:firstLine="6"/>
        <w:spacing w:after="0" w:line="253" w:lineRule="auto"/>
        <w:tabs>
          <w:tab w:leader="none" w:pos="120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capitalization of initial direct costs. Further, the Company elected to separate lease and non-lease components for the building asset class and elected to not separate lease and non-lease components for the equipment asset class. The Company also made an accounting policy election to recognize lease expense for leases with a term of 12 months or less on a straight-line basis over the lease term and recognize no ROU or lease liability for those leases.</w:t>
      </w:r>
    </w:p>
    <w:p>
      <w:pPr>
        <w:spacing w:after="0" w:line="106"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The Company’s lease portfolio consists primarily of real estate assets and computer equipment. Some of these leases also require the Company to pay maintenance, utilities, taxes, insurance, and other operating expenses associated with the leased space. Based upon the nature of the items leased and the structure of the leases, the Company’s leases classified as operating leases continue to be classified as operating leases and capital leases will be accounted for as financing leases under the new accounting standard.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6" w:name="page167"/>
    <w:bookmarkEnd w:id="1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880" w:right="479"/>
        <w:spacing w:after="0" w:line="282" w:lineRule="auto"/>
        <w:rPr>
          <w:sz w:val="20"/>
          <w:szCs w:val="20"/>
          <w:color w:val="auto"/>
        </w:rPr>
      </w:pPr>
      <w:r>
        <w:rPr>
          <w:rFonts w:ascii="Times New Roman" w:cs="Times New Roman" w:eastAsia="Times New Roman" w:hAnsi="Times New Roman"/>
          <w:sz w:val="18"/>
          <w:szCs w:val="18"/>
          <w:color w:val="auto"/>
        </w:rPr>
        <w:t>As a result of the adoption of the new lease accounting guidance, the Company recognized on January 1, 2021:</w:t>
      </w:r>
    </w:p>
    <w:p>
      <w:pPr>
        <w:spacing w:after="0" w:line="94" w:lineRule="exact"/>
        <w:rPr>
          <w:sz w:val="20"/>
          <w:szCs w:val="20"/>
          <w:color w:val="auto"/>
        </w:rPr>
      </w:pPr>
    </w:p>
    <w:p>
      <w:pPr>
        <w:jc w:val="both"/>
        <w:ind w:left="1760" w:right="479" w:hanging="442"/>
        <w:spacing w:after="0" w:line="266" w:lineRule="auto"/>
        <w:tabs>
          <w:tab w:leader="none" w:pos="179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liabilities of approximately $11,428, which represent the present value of the remaining lease payments, as of the date of adoption, discounted using the Company’s incremental borrowing rate on a lease-by-lease basis, and</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91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ROU assets of approximately $9,848 which represent the operating lease liabilities of $11,428, adjusted for (1) deferred rent of approximately $827, (2) lease incentives or tenant improvement allowance of $1,098 and (3) prepaid rent of $345.</w:t>
      </w:r>
    </w:p>
    <w:p>
      <w:pPr>
        <w:spacing w:after="0" w:line="108"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7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additionally recharacterized its capital leases as finance leases. However, there was no quantitative impact to capital leases upon transitioning to the new standard.</w:t>
      </w:r>
    </w:p>
    <w:p>
      <w:pPr>
        <w:spacing w:after="0" w:line="94"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The adoption of the new lease accounting standard did not have any other material impact on the Company’s consolidated balance sheet and did not impact the Company’s operating results and cash flows. See Leases in Note 13 for further information, including further discussion on the impact of adoption and changes in accounting policies relating to leases.</w:t>
      </w:r>
    </w:p>
    <w:p>
      <w:pPr>
        <w:spacing w:after="0" w:line="99"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In August 2020, the FASB issued ASU 2020-06, Debt — 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U.S. GAAP. ASU 2020-06 also removes certain settlement conditions that are required for equity-linked contracts to qualify for scope exception, and it simplifies the diluted earnings per share calculation in certain areas. The Company adopted ASU 2020-06 on January 1, 2021. Adoption of ASU 2020-06 did not impact the Company’s financial position, results of operations or cash flows as the Company does not have any instruments with cash or beneficial conversion features. Further, updates from ASU 2020-06 to Contracts in an Entity’s Own Equity does not impact the Company’s debt instruments as of December 31, 2021.</w:t>
      </w:r>
    </w:p>
    <w:p>
      <w:pPr>
        <w:spacing w:after="0" w:line="16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 — Not Yet Adopted</w:t>
      </w:r>
    </w:p>
    <w:p>
      <w:pPr>
        <w:spacing w:after="0" w:line="148"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(“ASC 805”) Accounting for Contract Assets and Contract Liabilities from Contracts with Customers guidance requiring entities to apply ASC 606 to recognize and measure contract assets and contract liabilities in a business combination. Under current U.S. GAAP, an acquirer generally recognizes assets acquired and liabilities assumed in a business combination, including contract assets and contract liabilities arising from revenue contracts with customers and other similar contracts that are accounted for in accordance with ASC 606, at fair value on the acquisition date. Under the new guidance the acquirer will recognize contract assets and contract liabilities at the same amounts recorded by the acquiree. The modifications improve comparability for both the recognition and measurement of acquired revenue contracts with customers at the date of, and after a business combination. The amendment is effective for the Company in fiscal years beginning after December 15, 2023. Early adoption of the amendment is permitted. The Company anticipates that it will not have a material impact on its consolidated financial statements and related disclosures.</w:t>
      </w:r>
    </w:p>
    <w:p>
      <w:pPr>
        <w:spacing w:after="0" w:line="338"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In June 2016, the FASB issued ASU 2016-13 to update the methodology used to measure current expected credit losses (“CECL”). This ASU applies to financial assets measured at amortized cost, including loans, held-to-maturity debt securities, net investments in leases, and trade accounts receivable as well as certain off-balance sheet credit exposures, such as loan commitments. This ASU replaces the current incurred loss impairment methodology with a methodology to reflect CECL and requires consideration of a broader range of reasonable and supportable information to explain credit loss estimates. The guidance must be adopted using a modified retrospective transition method through a cumulative-effect adjustment to retained earnings/(deficit) in the period of adoption. In November 2019, the FASB issued ASU 2019-10, Financial Instruments — Credit Losses (“Topic 326”), Targeted Transition Relief, which amends the transition guidance for ASU 2016-13. The ASU provides entities with the option to irrevocably elect the fair value option in Subtopic 825-10 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7" w:name="page168"/>
    <w:bookmarkEnd w:id="1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an instrument-by-instrument basis. ASU 2019-10 and ASU 2016-13 are effective for years beginning after December 15, 2022, with early adoption permitted. The Company is currently evaluating the impact the standard will have on the Company’s consolidated financial statements.</w:t>
      </w:r>
    </w:p>
    <w:p>
      <w:pPr>
        <w:spacing w:after="0" w:line="108" w:lineRule="exact"/>
        <w:rPr>
          <w:sz w:val="20"/>
          <w:szCs w:val="20"/>
          <w:color w:val="auto"/>
        </w:rPr>
      </w:pPr>
    </w:p>
    <w:p>
      <w:pPr>
        <w:jc w:val="both"/>
        <w:ind w:left="880" w:right="459"/>
        <w:spacing w:after="0" w:line="252" w:lineRule="auto"/>
        <w:rPr>
          <w:sz w:val="20"/>
          <w:szCs w:val="20"/>
          <w:color w:val="auto"/>
        </w:rPr>
      </w:pPr>
      <w:r>
        <w:rPr>
          <w:rFonts w:ascii="Times New Roman" w:cs="Times New Roman" w:eastAsia="Times New Roman" w:hAnsi="Times New Roman"/>
          <w:sz w:val="18"/>
          <w:szCs w:val="18"/>
          <w:color w:val="auto"/>
        </w:rPr>
        <w:t>In December 2019, the FASB issued ASU No. 2019-12, Simplifying the Accounting for Income Taxes (“Topic 740”) (“ASU 2019-12”). ASU 2019-12 eliminates the need for an organization to analyze whether the following apply in a given period (1) exception to the incremental approach for intra-period tax allocation (2) exceptions to accounting for basis differences when there are ownership changes in foreign investments and (3) exceptions in interim period income tax accounting for year-to-date losses that exceed anticipated losses. ASU 2019-12 also is designed to improve financial statement preparers’ application of income tax-related guidance and simplify U.S. GAAP for (1) franchise taxes that are partially based on income, (2) transactions with a government that result in a step-up in the tax basis of goodwill, (3) separate financial statements of legal entities that are not subject to tax, and (4) enacted changes in tax laws in interim periods. The amendments in ASU 2019-12 are effective for the Company in fiscal years beginning after December 15, 2021. Early adoption of the amendments is permitted. An entity that elects early adoption must adopt all the amendments in the same period. Adoption of ASU 2019-12 is not expected to result in any material changes to the way the tax provision is prepared and is not expected to have a material impact on the Company’s consolidated financial statements.</w:t>
      </w:r>
    </w:p>
    <w:p>
      <w:pPr>
        <w:spacing w:after="0" w:line="193" w:lineRule="exact"/>
        <w:rPr>
          <w:sz w:val="20"/>
          <w:szCs w:val="20"/>
          <w:color w:val="auto"/>
        </w:rPr>
      </w:pPr>
    </w:p>
    <w:p>
      <w:pPr>
        <w:ind w:left="860" w:hanging="406"/>
        <w:spacing w:after="0"/>
        <w:tabs>
          <w:tab w:leader="none" w:pos="8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148"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The Company enters into contracts that can include various products or services, which are generally capable of being distinct and accounted for as separate performance obligations.</w:t>
      </w:r>
    </w:p>
    <w:p>
      <w:pPr>
        <w:spacing w:after="0" w:line="121"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The Company derives its revenue primarily from the following performance obligations: (1) hosted services, (2) professional services and (3) monetization. Revenue is reported net of applicable sales and use taxes that are passed through to customers.</w:t>
      </w:r>
    </w:p>
    <w:p>
      <w:pPr>
        <w:spacing w:after="0" w:line="108"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The Company’s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has the following performance obligations in contracts with customers:</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Hosted Services</w:t>
      </w:r>
    </w:p>
    <w:p>
      <w:pPr>
        <w:spacing w:after="0" w:line="162"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108"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 (i.e., recognized as incurred).</w:t>
      </w:r>
    </w:p>
    <w:p>
      <w:pPr>
        <w:spacing w:after="0" w:line="106"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Hosted services generally include up-front services to develop and/or customize the Houndify application to each customer’s specification. Judgement is required to determine whether these professional services are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8" w:name="page169"/>
    <w:bookmarkEnd w:id="1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108"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In instances where the Company concluded that the up-front services are not distinct performance obligations, revenue for these activities is recognized over the period which the hosted services are provided and is included within hosted services revenue.</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Professional Services</w:t>
      </w:r>
    </w:p>
    <w:p>
      <w:pPr>
        <w:spacing w:after="0" w:line="148"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Revenue from distinct professional services, such as non-integrated development services, is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 is determined to be recognized at a point in time.</w:t>
      </w:r>
    </w:p>
    <w:p>
      <w:pPr>
        <w:spacing w:after="0" w:line="121"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 During the year ended December 31, 2021, $2,446 of professional service revenue was recognized over time, with the remaining $4,696 recognized at a point in time when the performance obligation was completed and control of the service was transferred to the customer. During the year ended December 31, 2020, $2,194 of professional service revenue was recognized over time, with the remaining $886 recognized at a point in time when the performance obligation was completed and control of the service was transferred to the customer.</w:t>
      </w:r>
    </w:p>
    <w:p>
      <w:pPr>
        <w:spacing w:after="0" w:line="18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Monetization</w:t>
      </w:r>
    </w:p>
    <w:p>
      <w:pPr>
        <w:spacing w:after="0" w:line="162"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109" w:lineRule="exact"/>
        <w:rPr>
          <w:sz w:val="20"/>
          <w:szCs w:val="20"/>
          <w:color w:val="auto"/>
        </w:rPr>
      </w:pPr>
    </w:p>
    <w:p>
      <w:pPr>
        <w:jc w:val="both"/>
        <w:ind w:left="880" w:right="479"/>
        <w:spacing w:after="0" w:line="256" w:lineRule="auto"/>
        <w:rPr>
          <w:sz w:val="20"/>
          <w:szCs w:val="20"/>
          <w:color w:val="auto"/>
        </w:rPr>
      </w:pPr>
      <w:r>
        <w:rPr>
          <w:rFonts w:ascii="Times New Roman" w:cs="Times New Roman" w:eastAsia="Times New Roman" w:hAnsi="Times New Roman"/>
          <w:sz w:val="18"/>
          <w:szCs w:val="18"/>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120" w:lineRule="exact"/>
        <w:rPr>
          <w:sz w:val="20"/>
          <w:szCs w:val="20"/>
          <w:color w:val="auto"/>
        </w:rPr>
      </w:pPr>
    </w:p>
    <w:p>
      <w:pPr>
        <w:ind w:left="1740" w:hanging="422"/>
        <w:spacing w:after="0"/>
        <w:tabs>
          <w:tab w:leader="none" w:pos="17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developing and supplying each performance obligation</w:t>
      </w:r>
    </w:p>
    <w:p>
      <w:pPr>
        <w:spacing w:after="0" w:line="157" w:lineRule="exact"/>
        <w:rPr>
          <w:rFonts w:ascii="Times New Roman" w:cs="Times New Roman" w:eastAsia="Times New Roman" w:hAnsi="Times New Roman"/>
          <w:sz w:val="18"/>
          <w:szCs w:val="18"/>
          <w:color w:val="auto"/>
        </w:rPr>
      </w:pPr>
    </w:p>
    <w:p>
      <w:pPr>
        <w:ind w:left="1740" w:hanging="422"/>
        <w:spacing w:after="0"/>
        <w:tabs>
          <w:tab w:leader="none" w:pos="17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standards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9" w:name="page170"/>
    <w:bookmarkEnd w:id="1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(cont.)</w:t>
      </w:r>
    </w:p>
    <w:p>
      <w:pPr>
        <w:spacing w:after="0" w:line="188" w:lineRule="exact"/>
        <w:rPr>
          <w:rFonts w:ascii="Times New Roman" w:cs="Times New Roman" w:eastAsia="Times New Roman" w:hAnsi="Times New Roman"/>
          <w:sz w:val="18"/>
          <w:szCs w:val="18"/>
          <w:b w:val="1"/>
          <w:bCs w:val="1"/>
          <w:color w:val="auto"/>
        </w:rPr>
      </w:pPr>
    </w:p>
    <w:p>
      <w:pPr>
        <w:ind w:left="1740" w:hanging="422"/>
        <w:spacing w:after="0"/>
        <w:tabs>
          <w:tab w:leader="none" w:pos="17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product groupings</w:t>
      </w:r>
    </w:p>
    <w:p>
      <w:pPr>
        <w:spacing w:after="0" w:line="157" w:lineRule="exact"/>
        <w:rPr>
          <w:rFonts w:ascii="Times New Roman" w:cs="Times New Roman" w:eastAsia="Times New Roman" w:hAnsi="Times New Roman"/>
          <w:sz w:val="18"/>
          <w:szCs w:val="18"/>
          <w:color w:val="auto"/>
        </w:rPr>
      </w:pPr>
    </w:p>
    <w:p>
      <w:pPr>
        <w:ind w:left="1760" w:right="459" w:hanging="442"/>
        <w:spacing w:after="0" w:line="282" w:lineRule="auto"/>
        <w:tabs>
          <w:tab w:leader="none" w:pos="1832"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objectives and pricing practices, such as contractually stated prices, discounts offered, and applicable price lists</w:t>
      </w:r>
    </w:p>
    <w:p>
      <w:pPr>
        <w:spacing w:after="0" w:line="81" w:lineRule="exact"/>
        <w:rPr>
          <w:sz w:val="20"/>
          <w:szCs w:val="20"/>
          <w:color w:val="auto"/>
        </w:rPr>
      </w:pPr>
    </w:p>
    <w:p>
      <w:pPr>
        <w:jc w:val="both"/>
        <w:ind w:left="880" w:right="479"/>
        <w:spacing w:after="0" w:line="261" w:lineRule="auto"/>
        <w:rPr>
          <w:sz w:val="20"/>
          <w:szCs w:val="20"/>
          <w:color w:val="auto"/>
        </w:rPr>
      </w:pPr>
      <w:r>
        <w:rPr>
          <w:rFonts w:ascii="Times New Roman" w:cs="Times New Roman" w:eastAsia="Times New Roman" w:hAnsi="Times New Roman"/>
          <w:sz w:val="18"/>
          <w:szCs w:val="18"/>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spacing w:after="0" w:line="1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 the years ended December 31, 2021 and 2020, revenues under each performance obligation were:</w:t>
      </w:r>
    </w:p>
    <w:p>
      <w:pPr>
        <w:spacing w:after="0" w:line="228" w:lineRule="exact"/>
        <w:rPr>
          <w:sz w:val="20"/>
          <w:szCs w:val="20"/>
          <w:color w:val="auto"/>
        </w:rPr>
      </w:pPr>
    </w:p>
    <w:tbl>
      <w:tblPr>
        <w:tblLayout w:type="fixed"/>
        <w:tblInd w:w="880" w:type="dxa"/>
        <w:tblCellMar>
          <w:top w:w="0" w:type="dxa"/>
          <w:left w:w="0" w:type="dxa"/>
          <w:bottom w:w="0" w:type="dxa"/>
          <w:right w:w="0" w:type="dxa"/>
        </w:tblCellMar>
      </w:tblPr>
      <w:tr>
        <w:trPr>
          <w:trHeight w:val="212"/>
        </w:trPr>
        <w:tc>
          <w:tcPr>
            <w:tcW w:w="5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5"/>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6"/>
        </w:trPr>
        <w:tc>
          <w:tcPr>
            <w:tcW w:w="5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6"/>
        </w:trPr>
        <w:tc>
          <w:tcPr>
            <w:tcW w:w="5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Hosted services</w:t>
            </w: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8,563</w:t>
            </w:r>
          </w:p>
        </w:tc>
        <w:tc>
          <w:tcPr>
            <w:tcW w:w="0" w:type="dxa"/>
            <w:vAlign w:val="bottom"/>
          </w:tcPr>
          <w:p>
            <w:pPr>
              <w:spacing w:after="0"/>
              <w:rPr>
                <w:sz w:val="1"/>
                <w:szCs w:val="1"/>
                <w:color w:val="auto"/>
              </w:rPr>
            </w:pPr>
          </w:p>
        </w:tc>
      </w:tr>
      <w:tr>
        <w:trPr>
          <w:trHeight w:val="24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7,142</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0" w:type="dxa"/>
            <w:vAlign w:val="bottom"/>
          </w:tcPr>
          <w:p>
            <w:pPr>
              <w:spacing w:after="0"/>
              <w:rPr>
                <w:sz w:val="1"/>
                <w:szCs w:val="1"/>
                <w:color w:val="auto"/>
              </w:rPr>
            </w:pPr>
          </w:p>
        </w:tc>
      </w:tr>
      <w:tr>
        <w:trPr>
          <w:trHeight w:val="41"/>
        </w:trPr>
        <w:tc>
          <w:tcPr>
            <w:tcW w:w="5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Monetization</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1,291</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220" w:type="dxa"/>
            <w:vAlign w:val="bottom"/>
            <w:vMerge w:val="continue"/>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21,197</w:t>
            </w:r>
          </w:p>
        </w:tc>
        <w:tc>
          <w:tcPr>
            <w:tcW w:w="80" w:type="dxa"/>
            <w:vAlign w:val="bottom"/>
          </w:tcPr>
          <w:p>
            <w:pPr>
              <w:spacing w:after="0"/>
              <w:rPr>
                <w:sz w:val="21"/>
                <w:szCs w:val="21"/>
                <w:color w:val="auto"/>
              </w:rPr>
            </w:pPr>
          </w:p>
        </w:tc>
        <w:tc>
          <w:tcPr>
            <w:tcW w:w="280" w:type="dxa"/>
            <w:vAlign w:val="bottom"/>
            <w:tcBorders>
              <w:bottom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13,017</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2021 and 2020, the disaggregated revenue by geographic location is as follows:</w:t>
      </w:r>
    </w:p>
    <w:p>
      <w:pPr>
        <w:spacing w:after="0" w:line="164"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30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4"/>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7"/>
        </w:trPr>
        <w:tc>
          <w:tcPr>
            <w:tcW w:w="3080" w:type="dxa"/>
            <w:vAlign w:val="bottom"/>
          </w:tcPr>
          <w:p>
            <w:pPr>
              <w:spacing w:after="0"/>
              <w:rPr>
                <w:sz w:val="4"/>
                <w:szCs w:val="4"/>
                <w:color w:val="auto"/>
              </w:rPr>
            </w:pPr>
          </w:p>
        </w:tc>
        <w:tc>
          <w:tcPr>
            <w:tcW w:w="2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30"/>
        </w:trPr>
        <w:tc>
          <w:tcPr>
            <w:tcW w:w="30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7"/>
        </w:trPr>
        <w:tc>
          <w:tcPr>
            <w:tcW w:w="3080" w:type="dxa"/>
            <w:vAlign w:val="bottom"/>
            <w:tcBorders>
              <w:bottom w:val="single" w:sz="8" w:color="CCEEFF"/>
            </w:tcBorders>
          </w:tcPr>
          <w:p>
            <w:pPr>
              <w:spacing w:after="0"/>
              <w:rPr>
                <w:sz w:val="4"/>
                <w:szCs w:val="4"/>
                <w:color w:val="auto"/>
              </w:rPr>
            </w:pPr>
          </w:p>
        </w:tc>
        <w:tc>
          <w:tcPr>
            <w:tcW w:w="2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43"/>
        </w:trPr>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r>
      <w:tr>
        <w:trPr>
          <w:trHeight w:val="243"/>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5,117</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w:t>
            </w:r>
          </w:p>
        </w:tc>
      </w:tr>
      <w:tr>
        <w:trPr>
          <w:trHeight w:val="40"/>
        </w:trPr>
        <w:tc>
          <w:tcPr>
            <w:tcW w:w="30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64"/>
        </w:trPr>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3,797</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w:t>
            </w:r>
          </w:p>
        </w:tc>
      </w:tr>
      <w:tr>
        <w:trPr>
          <w:trHeight w:val="243"/>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Korea</w:t>
            </w:r>
          </w:p>
        </w:tc>
        <w:tc>
          <w:tcPr>
            <w:tcW w:w="2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1,373</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w:t>
            </w:r>
          </w:p>
        </w:tc>
      </w:tr>
      <w:tr>
        <w:trPr>
          <w:trHeight w:val="40"/>
        </w:trPr>
        <w:tc>
          <w:tcPr>
            <w:tcW w:w="30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63"/>
        </w:trPr>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c>
          <w:tcPr>
            <w:tcW w:w="2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2,616</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57"/>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768</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7"/>
        </w:trPr>
        <w:tc>
          <w:tcPr>
            <w:tcW w:w="30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21,197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880" w:right="45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2021 and 2020, the disaggregated revenue by recognition pattern is as follows:</w:t>
      </w:r>
    </w:p>
    <w:p>
      <w:pPr>
        <w:spacing w:after="0" w:line="178"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3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4"/>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7"/>
        </w:trPr>
        <w:tc>
          <w:tcPr>
            <w:tcW w:w="326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30"/>
        </w:trPr>
        <w:tc>
          <w:tcPr>
            <w:tcW w:w="32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6"/>
        </w:trPr>
        <w:tc>
          <w:tcPr>
            <w:tcW w:w="3260" w:type="dxa"/>
            <w:vAlign w:val="bottom"/>
            <w:tcBorders>
              <w:bottom w:val="single" w:sz="8" w:color="CCEEFF"/>
            </w:tcBorders>
          </w:tcPr>
          <w:p>
            <w:pPr>
              <w:spacing w:after="0"/>
              <w:rPr>
                <w:sz w:val="4"/>
                <w:szCs w:val="4"/>
                <w:color w:val="auto"/>
              </w:rPr>
            </w:pPr>
          </w:p>
        </w:tc>
        <w:tc>
          <w:tcPr>
            <w:tcW w:w="19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44"/>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 revenue</w:t>
            </w:r>
          </w:p>
        </w:tc>
        <w:tc>
          <w:tcPr>
            <w:tcW w:w="1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10,757</w:t>
            </w:r>
          </w:p>
        </w:tc>
      </w:tr>
      <w:tr>
        <w:trPr>
          <w:trHeight w:val="257"/>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Point-in-time</w:t>
            </w:r>
          </w:p>
        </w:tc>
        <w:tc>
          <w:tcPr>
            <w:tcW w:w="1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5,987</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r>
      <w:tr>
        <w:trPr>
          <w:trHeight w:val="27"/>
        </w:trPr>
        <w:tc>
          <w:tcPr>
            <w:tcW w:w="326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21,197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The Company also disaggregates revenue by service type. This disaggregation consists of Product Royalties, Service Subscriptions and Monetization. Product Royalties revenue is derived from Houndified Products, which are voice-enabled tangible products across the automotive and consumer electronics industries. Revenue from Product Royalties is based on volume, usage, or life of the products, which are driven by number of devices, users, or unit of time. Service Subscription revenue is generated through Houndified Services, which include customer services, food ordering, content, appointments, and voice commerce. Subscription revenue is derived from monthly fees based on usage-based revenue, revenue per query or revenue per user. Both Houndified Products and Houndified Services may include professional services that develop and customize the Houndify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0" w:name="page171"/>
    <w:bookmarkEnd w:id="1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platform to fit customers’ specific needs. Revenue from Monetization is generated from the SoundHound music identification app and is primarily attributable to user ad impression revenue. For the years ended December 31, 2021 and 2020, the disaggregated revenue by service type is as follows:</w:t>
      </w:r>
    </w:p>
    <w:p>
      <w:pPr>
        <w:spacing w:after="0" w:line="178"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3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4"/>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7"/>
        </w:trPr>
        <w:tc>
          <w:tcPr>
            <w:tcW w:w="33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3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6"/>
        </w:trPr>
        <w:tc>
          <w:tcPr>
            <w:tcW w:w="3380" w:type="dxa"/>
            <w:vAlign w:val="bottom"/>
            <w:tcBorders>
              <w:bottom w:val="single" w:sz="8" w:color="CCEEFF"/>
            </w:tcBorders>
          </w:tcPr>
          <w:p>
            <w:pPr>
              <w:spacing w:after="0"/>
              <w:rPr>
                <w:sz w:val="4"/>
                <w:szCs w:val="4"/>
                <w:color w:val="auto"/>
              </w:rPr>
            </w:pPr>
          </w:p>
        </w:tc>
        <w:tc>
          <w:tcPr>
            <w:tcW w:w="18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Royalties</w:t>
            </w:r>
          </w:p>
        </w:tc>
        <w:tc>
          <w:tcPr>
            <w:tcW w:w="1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10,372</w:t>
            </w: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Service Subscriptions</w:t>
            </w:r>
          </w:p>
        </w:tc>
        <w:tc>
          <w:tcPr>
            <w:tcW w:w="1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1,550</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41"/>
        </w:trPr>
        <w:tc>
          <w:tcPr>
            <w:tcW w:w="33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Monetization</w:t>
            </w:r>
          </w:p>
        </w:tc>
        <w:tc>
          <w:tcPr>
            <w:tcW w:w="18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1,291</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380" w:type="dxa"/>
            <w:vAlign w:val="bottom"/>
            <w:vMerge w:val="continue"/>
          </w:tcPr>
          <w:p>
            <w:pPr>
              <w:spacing w:after="0"/>
              <w:rPr>
                <w:sz w:val="21"/>
                <w:szCs w:val="21"/>
                <w:color w:val="auto"/>
              </w:rPr>
            </w:pPr>
          </w:p>
        </w:tc>
        <w:tc>
          <w:tcPr>
            <w:tcW w:w="20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21,197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13,017</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Contract Balances</w:t>
      </w:r>
    </w:p>
    <w:p>
      <w:pPr>
        <w:spacing w:after="0" w:line="162" w:lineRule="exact"/>
        <w:rPr>
          <w:sz w:val="20"/>
          <w:szCs w:val="20"/>
          <w:color w:val="auto"/>
        </w:rPr>
      </w:pPr>
    </w:p>
    <w:p>
      <w:pPr>
        <w:jc w:val="both"/>
        <w:ind w:left="880" w:right="479"/>
        <w:spacing w:after="0" w:line="261" w:lineRule="auto"/>
        <w:rPr>
          <w:sz w:val="20"/>
          <w:szCs w:val="20"/>
          <w:color w:val="auto"/>
        </w:rPr>
      </w:pPr>
      <w:r>
        <w:rPr>
          <w:rFonts w:ascii="Times New Roman" w:cs="Times New Roman" w:eastAsia="Times New Roman" w:hAnsi="Times New Roman"/>
          <w:sz w:val="18"/>
          <w:szCs w:val="18"/>
          <w:color w:val="auto"/>
        </w:rPr>
        <w:t>The Company performs its obligations under a contract with a customer by licensing access to software or providing services in exchange for consideration from the customer. The timing of the Company’s performance often differs from the timing of the customer’s payment, which results in the recognition of a receivable, a contract asset or a contract liability.</w:t>
      </w:r>
    </w:p>
    <w:p>
      <w:pPr>
        <w:spacing w:after="0" w:line="112" w:lineRule="exact"/>
        <w:rPr>
          <w:sz w:val="20"/>
          <w:szCs w:val="20"/>
          <w:color w:val="auto"/>
        </w:rPr>
      </w:pPr>
    </w:p>
    <w:p>
      <w:pPr>
        <w:jc w:val="both"/>
        <w:ind w:left="880" w:right="479"/>
        <w:spacing w:after="0" w:line="289" w:lineRule="auto"/>
        <w:rPr>
          <w:sz w:val="20"/>
          <w:szCs w:val="20"/>
          <w:color w:val="auto"/>
        </w:rPr>
      </w:pPr>
      <w:r>
        <w:rPr>
          <w:rFonts w:ascii="Times New Roman" w:cs="Times New Roman" w:eastAsia="Times New Roman" w:hAnsi="Times New Roman"/>
          <w:sz w:val="17"/>
          <w:szCs w:val="17"/>
          <w:color w:val="auto"/>
        </w:rPr>
        <w:t>As of December 31, 2021 and 2020, the Company had contract assets included in prepaid expenses and other current assets of $54 and $43, respectively, in the consolidated balance sheets. The Company did not record any asset impairment charges related to contract assets during the year ended December 31, 2021.</w:t>
      </w:r>
    </w:p>
    <w:p>
      <w:pPr>
        <w:spacing w:after="0" w:line="77" w:lineRule="exact"/>
        <w:rPr>
          <w:sz w:val="20"/>
          <w:szCs w:val="20"/>
          <w:color w:val="auto"/>
        </w:rPr>
      </w:pPr>
    </w:p>
    <w:p>
      <w:pPr>
        <w:jc w:val="both"/>
        <w:ind w:left="880" w:right="459"/>
        <w:spacing w:after="0" w:line="252" w:lineRule="auto"/>
        <w:rPr>
          <w:sz w:val="20"/>
          <w:szCs w:val="20"/>
          <w:color w:val="auto"/>
        </w:rPr>
      </w:pPr>
      <w:r>
        <w:rPr>
          <w:rFonts w:ascii="Times New Roman" w:cs="Times New Roman" w:eastAsia="Times New Roman" w:hAnsi="Times New Roman"/>
          <w:sz w:val="18"/>
          <w:szCs w:val="18"/>
          <w:color w:val="auto"/>
        </w:rPr>
        <w:t>Revenue recognized for the years ended December 31, 2021 and 2020 that was included in the deferred revenues balances at the beginning of the reporting period was $14,945 and $7,503, respectively. The significant decrease in deferred revenue as of December 31, 2021 compared to the beginning of the reporting period is primarily due to recognition of $4,346 revenue related to a one-time contract modification to reduce the scope of the Company’s performance obligation, in addition to satisfying its servicing performance obligations for other contracts. As of December 31, 2021, the aggregate amount of the transaction price allocated to the remaining performance obligations related to customer contracts that were unsatisfied or partially unsatisfied was $31,323. Given the applicable contract terms, $8,034 is expected to be recognized as revenue within one year and $14,858 is expected to be recognized between two to five years, with the remainder of $8,431 recognized after five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126" w:lineRule="exact"/>
        <w:rPr>
          <w:sz w:val="20"/>
          <w:szCs w:val="20"/>
          <w:color w:val="auto"/>
        </w:rPr>
      </w:pPr>
    </w:p>
    <w:p>
      <w:pPr>
        <w:jc w:val="both"/>
        <w:ind w:left="880" w:right="479"/>
        <w:spacing w:after="0" w:line="261" w:lineRule="auto"/>
        <w:rPr>
          <w:sz w:val="20"/>
          <w:szCs w:val="20"/>
          <w:color w:val="auto"/>
        </w:rPr>
      </w:pPr>
      <w:r>
        <w:rPr>
          <w:rFonts w:ascii="Times New Roman" w:cs="Times New Roman" w:eastAsia="Times New Roman" w:hAnsi="Times New Roman"/>
          <w:sz w:val="18"/>
          <w:szCs w:val="18"/>
          <w:color w:val="auto"/>
        </w:rPr>
        <w:t>The Company’s long-term contracts do not have significant financing components, as there is generally payment and performance in each year of the contract. If there is a period of one year or longer between the transfer of promised services and payment, it is generally for reasons other than financing and, thus, the Company does not adjust the transaction price for financing components.</w:t>
      </w:r>
    </w:p>
    <w:p>
      <w:pPr>
        <w:spacing w:after="0" w:line="112"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The Company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1" w:name="page172"/>
    <w:bookmarkEnd w:id="1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4.</w:t>
        <w:tab/>
        <w:t>PROPERTY AND EQUIPMENT, NET</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2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20,571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19,867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Software and voice recordings</w:t>
            </w: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8,687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8,335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3,567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3,560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at cost</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33,554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(27,399)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(22,053)</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200" w:type="dxa"/>
            <w:vAlign w:val="bottom"/>
            <w:vMerge w:val="continue"/>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6,155</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10,435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The property and equipment account includes assets under finance lease obligations (see Note 13 for additional information) with an aggregate cost of approximately $16,622 and $16,278 and accumulated depreciation of approximately $13,938 and $11,673 as of December 31, 2021 and 2020, respectively. Depreciation and amortization expense totaled approximately $5,502 and $6,037 for the years ended December 31, 2021 and 2020, respectively.</w:t>
      </w:r>
    </w:p>
    <w:p>
      <w:pPr>
        <w:spacing w:after="0" w:line="179" w:lineRule="exact"/>
        <w:rPr>
          <w:sz w:val="20"/>
          <w:szCs w:val="20"/>
          <w:color w:val="auto"/>
        </w:rPr>
      </w:pPr>
    </w:p>
    <w:p>
      <w:pPr>
        <w:ind w:left="840" w:hanging="386"/>
        <w:spacing w:after="0"/>
        <w:tabs>
          <w:tab w:leader="none" w:pos="8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LIABILITIES</w:t>
      </w:r>
    </w:p>
    <w:p>
      <w:pPr>
        <w:spacing w:after="0" w:line="162" w:lineRule="exact"/>
        <w:rPr>
          <w:sz w:val="20"/>
          <w:szCs w:val="20"/>
          <w:color w:val="auto"/>
        </w:rPr>
      </w:pPr>
    </w:p>
    <w:p>
      <w:pPr>
        <w:ind w:left="880" w:right="479"/>
        <w:spacing w:after="0" w:line="282" w:lineRule="auto"/>
        <w:rPr>
          <w:sz w:val="20"/>
          <w:szCs w:val="20"/>
          <w:color w:val="auto"/>
        </w:rPr>
      </w:pPr>
      <w:r>
        <w:rPr>
          <w:rFonts w:ascii="Times New Roman" w:cs="Times New Roman" w:eastAsia="Times New Roman" w:hAnsi="Times New Roman"/>
          <w:sz w:val="18"/>
          <w:szCs w:val="18"/>
          <w:color w:val="auto"/>
        </w:rPr>
        <w:t>Accrued liabilities on the consolidated balance sheets are comprised of the following as of December 31, 2021 and 2020, respectively:</w:t>
      </w:r>
    </w:p>
    <w:p>
      <w:pPr>
        <w:spacing w:after="0" w:line="124" w:lineRule="exact"/>
        <w:rPr>
          <w:sz w:val="20"/>
          <w:szCs w:val="20"/>
          <w:color w:val="auto"/>
        </w:rPr>
      </w:pPr>
    </w:p>
    <w:tbl>
      <w:tblPr>
        <w:tblLayout w:type="fixed"/>
        <w:tblInd w:w="88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7"/>
        </w:trPr>
        <w:tc>
          <w:tcPr>
            <w:tcW w:w="52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3"/>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expenses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r>
      <w:tr>
        <w:trPr>
          <w:trHeight w:val="24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0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4"/>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vendor payables</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4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10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40"/>
        </w:trPr>
        <w:tc>
          <w:tcPr>
            <w:tcW w:w="5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5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44"/>
        </w:trPr>
        <w:tc>
          <w:tcPr>
            <w:tcW w:w="52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7,298</w:t>
            </w:r>
          </w:p>
        </w:tc>
        <w:tc>
          <w:tcPr>
            <w:tcW w:w="80" w:type="dxa"/>
            <w:vAlign w:val="bottom"/>
          </w:tcPr>
          <w:p>
            <w:pPr>
              <w:spacing w:after="0"/>
              <w:rPr>
                <w:sz w:val="21"/>
                <w:szCs w:val="21"/>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3,411</w:t>
            </w:r>
          </w:p>
        </w:tc>
      </w:tr>
      <w:tr>
        <w:trPr>
          <w:trHeight w:val="20"/>
        </w:trPr>
        <w:tc>
          <w:tcPr>
            <w:tcW w:w="5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The Company recorded accrued interest of $395 as of December 31, 2020 under other liabilities, non-current on the Company’s consolidated balance sheet related to the promissory note issued in June 2020 (“SNAP June 2020 Note”). See Note 8 for further information.</w:t>
      </w:r>
    </w:p>
    <w:p>
      <w:pPr>
        <w:spacing w:after="0" w:line="172" w:lineRule="exact"/>
        <w:rPr>
          <w:sz w:val="20"/>
          <w:szCs w:val="20"/>
          <w:color w:val="auto"/>
        </w:rPr>
      </w:pPr>
    </w:p>
    <w:p>
      <w:pPr>
        <w:ind w:left="860" w:hanging="406"/>
        <w:spacing w:after="0"/>
        <w:tabs>
          <w:tab w:leader="none" w:pos="86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Contracts</w:t>
      </w:r>
    </w:p>
    <w:p>
      <w:pPr>
        <w:spacing w:after="0" w:line="162" w:lineRule="exact"/>
        <w:rPr>
          <w:sz w:val="20"/>
          <w:szCs w:val="20"/>
          <w:color w:val="auto"/>
        </w:rPr>
      </w:pPr>
    </w:p>
    <w:p>
      <w:pPr>
        <w:jc w:val="both"/>
        <w:ind w:left="880" w:right="479"/>
        <w:spacing w:after="0" w:line="261" w:lineRule="auto"/>
        <w:rPr>
          <w:sz w:val="20"/>
          <w:szCs w:val="20"/>
          <w:color w:val="auto"/>
        </w:rPr>
      </w:pPr>
      <w:r>
        <w:rPr>
          <w:rFonts w:ascii="Times New Roman" w:cs="Times New Roman" w:eastAsia="Times New Roman" w:hAnsi="Times New Roman"/>
          <w:sz w:val="18"/>
          <w:szCs w:val="18"/>
          <w:color w:val="auto"/>
        </w:rPr>
        <w:t>In August 2021, the Company entered into an exclusive agreement with a cloud service provider to host its voice artificial intelligence platform pursuant to which the Company committed to pay $100,000 in cloud costs over a seven-year period contingent upon the successful completion of the Business Combination.</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Letters of Credit</w:t>
      </w:r>
    </w:p>
    <w:p>
      <w:pPr>
        <w:spacing w:after="0" w:line="162"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In conjunction with entering an 89-month lease in 2017 for the Santa Clara, California, facility, the Company agreed to issue a letter of credit for $1,656 to the landlord as a lease guarantee. The Company has cash equivalents deposited with a commercial bank as collateral against the letter of credit. The letter of credit was initially issued for a term of twelve months and is automatically renewed every twelve months for the entire term of the lease.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2" w:name="page173"/>
    <w:bookmarkEnd w:id="1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880" w:right="459"/>
        <w:spacing w:after="0" w:line="250" w:lineRule="auto"/>
        <w:rPr>
          <w:sz w:val="20"/>
          <w:szCs w:val="20"/>
          <w:color w:val="auto"/>
        </w:rPr>
      </w:pPr>
      <w:r>
        <w:rPr>
          <w:rFonts w:ascii="Times New Roman" w:cs="Times New Roman" w:eastAsia="Times New Roman" w:hAnsi="Times New Roman"/>
          <w:sz w:val="18"/>
          <w:szCs w:val="18"/>
          <w:color w:val="auto"/>
        </w:rPr>
        <w:t>If an event of default occurs, the landlord may draw upon the letter of credit. The letter of credit is reduced by $230 at the beginning of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month of the lease, and annually thereafter, upon request of the Company. However, if during the period of the lease the Company’s tangible net worth is equal to or greater than $100,000, or the Company completes an initial public offering for the sale of its stock on a U.S. stock exchange for a total market capitalization of $300,000 or more, then the letter of credit will be reduced to $230. As of December 31, 2021, the Company’s letter of credit requirement was $1,196 with $460 recorded as current restricted cash equivalents as the Company did not request a $230 reduction during the year ended. As of December 31, 2020, the Company’s letter of credit requirement was $1,196 with $230 recorded as current restricted cash equivalents.</w:t>
      </w:r>
    </w:p>
    <w:p>
      <w:pPr>
        <w:spacing w:after="0" w:line="128"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Additionally, in conjunction with entering a five-year lease in 2015 for the San Francisco, California, facility, the Company agreed to issue a letter of credit for $94 as security for the Company’s performance of the provisions of the lease agreement. As of December 31, 2021, the restriction on cash expired.</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Legal Proceedings</w:t>
      </w:r>
    </w:p>
    <w:p>
      <w:pPr>
        <w:spacing w:after="0" w:line="148"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In the opinion of management, there are no pending claims for which the outcome is expected to result in a material adverse effect on the financial position, results of operations or cash flows of the Company.</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162"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 xml:space="preserve">The Company has not historically collected U.S. state or local sales and use tax, or other similar taxes, in any jurisdiction. On June 21, 2018, the U.S. Supreme Court decided, in </w:t>
      </w:r>
      <w:r>
        <w:rPr>
          <w:rFonts w:ascii="Times New Roman" w:cs="Times New Roman" w:eastAsia="Times New Roman" w:hAnsi="Times New Roman"/>
          <w:sz w:val="18"/>
          <w:szCs w:val="18"/>
          <w:i w:val="1"/>
          <w:iCs w:val="1"/>
          <w:color w:val="auto"/>
        </w:rPr>
        <w:t>South Dakota v. Wayfair, Inc.</w:t>
      </w:r>
      <w:r>
        <w:rPr>
          <w:rFonts w:ascii="Times New Roman" w:cs="Times New Roman" w:eastAsia="Times New Roman" w:hAnsi="Times New Roman"/>
          <w:sz w:val="18"/>
          <w:szCs w:val="18"/>
          <w:color w:val="auto"/>
        </w:rPr>
        <w:t xml:space="preserve">, that state and local jurisdiction may, in certain circumstances, enforce sales and use tax collection obligations on remote vendors that have no physical presence in such jurisdiction. A number of states have already begun, or have positioned themselves to begin, requiring sales and use tax collection from remote vendors. The details and effective dates of these collection requirements vary from state to state. The Company continues to analyze potential sales tax exposure using a state-by-state assessment, and estimated and recorded a liability as of December 31, 2021 and 2020, in accordance with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of $1,105 and $829, respectively.</w:t>
      </w:r>
    </w:p>
    <w:p>
      <w:pPr>
        <w:spacing w:after="0" w:line="184" w:lineRule="exact"/>
        <w:rPr>
          <w:sz w:val="20"/>
          <w:szCs w:val="20"/>
          <w:color w:val="auto"/>
        </w:rPr>
      </w:pPr>
    </w:p>
    <w:p>
      <w:pPr>
        <w:ind w:left="860" w:hanging="406"/>
        <w:spacing w:after="0"/>
        <w:tabs>
          <w:tab w:leader="none" w:pos="86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62"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promissory notes in September 2010 and March 2011, the Company issued detachable warrants to purchase 76,180 and 25,394 shares of Series B Preferred Stock (“Series B Warrants”), respectively, at $1.97 per share to the lenders, which were immediately exercisable. The warrants have a ten-year expiration date from the applicable closing date of September 2020 and March 2021. The remaining warrants were exercised during the year ended December 31, 2020 and, therefore, were no longer outstanding as of December 31, 2020.</w:t>
      </w:r>
    </w:p>
    <w:p>
      <w:pPr>
        <w:spacing w:after="0" w:line="106"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In connection with the issuance of the April 2013 Note and November 2013 Note, the Company issued detachable warrants to purchase 44,708 and 89,418 shares of Series C Preferred Stock (“Series C Warrants”), respectively, at $6.71 per share to the lenders, which were immediately exercisable. In December 2021, all outstanding 134,126 shares of warrants related to April 2013 Note and November 2013 were net exercised, leading to a net issuance of 116,150 shares of Series C Preferred Stock. This resulted into $3,812 recorded as other expense, net within the consolidated statements of operations and comprehensive loss for the change in the fair value of the warrant liability immediately before exercise. As of December 31, 2021 and 2020, the fair value of the warrant liability was $0 and $2,004, respectively.</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3" w:name="page174"/>
    <w:bookmarkEnd w:id="1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WARRANTS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issuance of the Company’s 2021 note payable (“SVB March 2021 Note”) and 2021 Convertible Note (“SCI June 2021 Note”), the Company issued detachable warrants to purchase 127,570 and 63,785 shares of common stock, respectively, with an exercise price of $20.37 per share to the lenders, which were immediately exercisable. The Company recorded the warrants initially at fair value (see Note 9 for additional information) as paid-in-capital on the consolidated balance sheets based on the allocation of its relative fair value of the debt proceeds. See Note 9 for additional information on the fair value calculation. The fair value in relation to the SVB March 2021 Note was allocated to the notes as a discount. The fair value in relation to the SCI June 2021 Note was capitalized as an asset, as the underlying debt bears similarity to a revolving commitment. As the warrants were classified as equity, they are not subject to remeasurement at the end of each reporting period. The initial allocated fair value of the warrants as of March 31, 2021 and June 14, 2021 was $2,316 and $1,527, respectively. The warrants have a ten-year expiration date from the applicable closing date of March 2031 and June 2031, respectively.</w:t>
      </w:r>
    </w:p>
    <w:p>
      <w:pPr>
        <w:spacing w:after="0" w:line="183" w:lineRule="exact"/>
        <w:rPr>
          <w:sz w:val="20"/>
          <w:szCs w:val="20"/>
          <w:color w:val="auto"/>
        </w:rPr>
      </w:pPr>
    </w:p>
    <w:p>
      <w:pPr>
        <w:ind w:left="860" w:hanging="406"/>
        <w:spacing w:after="0"/>
        <w:tabs>
          <w:tab w:leader="none" w:pos="86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NOTES AND NOTE PAYABLE</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2020 Convertible Notes</w:t>
      </w:r>
    </w:p>
    <w:p>
      <w:pPr>
        <w:spacing w:after="0" w:line="162"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In May 2020, the Company issued a convertible promissory note (“May Note”) to a Lender in exchange for $25,000 in cash proceeds. The May Note had an annual interest rate of 5% and a maturity date of May 15, 2022. All unpaid interest and principal are due and payable upon request of the Lender on or after the May Note’s maturity date.</w:t>
      </w:r>
    </w:p>
    <w:p>
      <w:pPr>
        <w:spacing w:after="0" w:line="99"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In June 2020, the Company issued a promissory note, the SNAP June 2020 Note, to a Lender in exchange for $15,000 in cash proceeds. This note has an annual interest rate of 5% and a maturity date of June 26, 2022, if not converted earlier pursuant to conversion terms and change in control events as described below. All unpaid interest and principal are due and payable upon request of the Lender on or after the SNAP June 2020 Note’s maturity date.</w:t>
      </w:r>
    </w:p>
    <w:p>
      <w:pPr>
        <w:spacing w:after="0" w:line="116"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The outstanding principal balance and unpaid accrued interest of the May Note and SNAP June 2020 Note are convertible pursuant to the following terms (“May Note Conversion Feature,” “SNAP June 2020 Note Conversion Feature,” collectively, “Conversion Features”): automatic conversion into equity shares in the next equity financing round (“May Note Qualified Financing,” “SNAP June 2020 Note Qualified Financing,” collectively, “Qualified Financing”) at a conversion price equal to either (a) the lowest cash price per share paid by investors in such qualified financing (which will reflect at least a 20% discount to the price per share paid by other investors purchasing securities in additional closings), or (b) if there are no additional closings, 0.80 times the price per share paid by investors purchasing equity securities in the Qualified Financing. The May Note Qualified Financing shall be at least $40,000, which includes the conversion of the May Note but excludes any other indebtedness. The SNAP June 2020 Note Qualified Financing shall be at least $30,000, which excludes the conversion of the SNAP June 2020 Note and any other indebtedness.</w:t>
      </w:r>
    </w:p>
    <w:p>
      <w:pPr>
        <w:spacing w:after="0" w:line="122" w:lineRule="exact"/>
        <w:rPr>
          <w:sz w:val="20"/>
          <w:szCs w:val="20"/>
          <w:color w:val="auto"/>
        </w:rPr>
      </w:pPr>
    </w:p>
    <w:p>
      <w:pPr>
        <w:ind w:left="880" w:right="479"/>
        <w:spacing w:after="0" w:line="282" w:lineRule="auto"/>
        <w:rPr>
          <w:sz w:val="20"/>
          <w:szCs w:val="20"/>
          <w:color w:val="auto"/>
        </w:rPr>
      </w:pPr>
      <w:r>
        <w:rPr>
          <w:rFonts w:ascii="Times New Roman" w:cs="Times New Roman" w:eastAsia="Times New Roman" w:hAnsi="Times New Roman"/>
          <w:sz w:val="18"/>
          <w:szCs w:val="18"/>
          <w:color w:val="auto"/>
        </w:rPr>
        <w:t>Furthermore, upon a change of control event, the Company shall settle both the May Note and SNAP June 2020 Note in cash, pursuant to the following terms (“Redemption Features”):</w:t>
      </w:r>
    </w:p>
    <w:p>
      <w:pPr>
        <w:spacing w:after="0" w:line="81" w:lineRule="exact"/>
        <w:rPr>
          <w:sz w:val="20"/>
          <w:szCs w:val="20"/>
          <w:color w:val="auto"/>
        </w:rPr>
      </w:pPr>
    </w:p>
    <w:p>
      <w:pPr>
        <w:ind w:left="1320" w:right="459"/>
        <w:spacing w:after="0" w:line="282" w:lineRule="auto"/>
        <w:rPr>
          <w:sz w:val="20"/>
          <w:szCs w:val="20"/>
          <w:color w:val="auto"/>
        </w:rPr>
      </w:pPr>
      <w:r>
        <w:rPr>
          <w:rFonts w:ascii="Times New Roman" w:cs="Times New Roman" w:eastAsia="Times New Roman" w:hAnsi="Times New Roman"/>
          <w:sz w:val="18"/>
          <w:szCs w:val="18"/>
          <w:color w:val="auto"/>
        </w:rPr>
        <w:t>— 200% of the then outstanding principal amount of the respective note plus any unpaid accrued interest on the original principal of such note; and</w:t>
      </w:r>
    </w:p>
    <w:p>
      <w:pPr>
        <w:spacing w:after="0" w:line="94" w:lineRule="exact"/>
        <w:rPr>
          <w:sz w:val="20"/>
          <w:szCs w:val="20"/>
          <w:color w:val="auto"/>
        </w:rPr>
      </w:pPr>
    </w:p>
    <w:p>
      <w:pPr>
        <w:jc w:val="both"/>
        <w:ind w:left="1320" w:right="459"/>
        <w:spacing w:after="0" w:line="266" w:lineRule="auto"/>
        <w:rPr>
          <w:sz w:val="20"/>
          <w:szCs w:val="20"/>
          <w:color w:val="auto"/>
        </w:rPr>
      </w:pPr>
      <w:r>
        <w:rPr>
          <w:rFonts w:ascii="Times New Roman" w:cs="Times New Roman" w:eastAsia="Times New Roman" w:hAnsi="Times New Roman"/>
          <w:sz w:val="18"/>
          <w:szCs w:val="18"/>
          <w:color w:val="auto"/>
        </w:rPr>
        <w:t>— 100% of the then outstanding principal amount of the respective note plus any unpaid accrued interest on the original principal of such note, provided that if the change of control transaction closes between the Company and the Lender or an affiliate of the Lender.</w:t>
      </w:r>
    </w:p>
    <w:p>
      <w:pPr>
        <w:spacing w:after="0" w:line="81"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The Company evaluated whether the Convertible Notes contain embedded features that meet the definition of derivatives under ASC 815, Derivatives and Hedging. The Conversion Features qualify as derivatives as they continuously reset as the underlying stock price increases or decreases so as to provide a variable number of shares for a fixed value of equity to the holders at any conversion date. As such, the Conversion Features were bifurcated and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4" w:name="page175"/>
    <w:bookmarkEnd w:id="1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CONVERTIBLE NOTES AND NOTE PAYABLE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accounted for as a derivative liability to be remeasured at the end of each reporting period. The Company recorded the bifurcated Conversion Features initially at fair value with the residual value being allocated to the Convertible Notes as a debt discount. The fair value of the Conversion Features upon issuance in May 2020 and June 2020, were $4,060 and $2,460, respectively, and were recorded as a derivative liability on the Company’s Consolidated Balance Sheet. The Redemption Features of the Convertible Notes do not meet the definition of derivatives. Therefore, the Redemption Features are not bifurcated.</w:t>
      </w:r>
    </w:p>
    <w:p>
      <w:pPr>
        <w:spacing w:after="0" w:line="93"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The Company evaluated whether the Convertible Notes contain embedded features that meet the definition of derivatives under ASC 815, Derivatives and Hedging. The Company determined that certain conversion features met criteria to be bifurcated as derivative liabilities to be remeasured at the end of each reporting period. The Company recorded the bifurcated conversion features initially at fair value with the residual value being allocated to the convertible notes as a debt discount. The redemption features of the May Note and SNAP June 2020 Note do not meet the definition of derivatives. Therefore, the redemption features are not bifurcated.</w:t>
      </w:r>
    </w:p>
    <w:p>
      <w:pPr>
        <w:spacing w:after="0" w:line="108"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The total amount of debt discount at issuance for the May Note and SNAP June 2020 Note was $4,175 and $2,529, respectively. The Company amortized the aggregate debt discount using the effective interest method. The Company recognized total interest expense of $2,015 associated with the SNAP June 2020 Note for the year ended December 31, 2021, out of which $1,265 relates to the amortization of the debt discount. The Company recognized total interest expense of $1,724 associated with the May Note and SNAP June 2020 Note for the year ended December 31, 2020, out of which $1,050 relates to the amortization of the debt discount. The debt discount related to the SNAP June 2020 Note is amortized over the life of the instrument, beginning at note issuance and ending on June 26, 2022, the date of maturity.</w:t>
      </w:r>
    </w:p>
    <w:p>
      <w:pPr>
        <w:spacing w:after="0" w:line="94"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The May Note contains a conversion feature in which outstanding principal and any unpaid accrued interest automatically converts into equity securities. This conversion occurs when the Company issues and sells equity securities in a bona fide equity financing with total proceeds to the Company totaling more than $40,000, including the face value of the May Note before the May Note’s maturity date (“May Note Qualified Financing”). The SNAP June 2020 Note contains a similar conversion feature, differing where total proceeds must exceed $30,000, excluding the face value of the SNAP June 2020 Note (“SNAP June 2020 Note Qualified Financing”).</w:t>
      </w:r>
    </w:p>
    <w:p>
      <w:pPr>
        <w:spacing w:after="0" w:line="94"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In August 2020, the Company issued Series D-3A Preferred Stock (“Series D-3A”) for proceeds in aggregate of approximately $40,300. The Series D-3A financing meets the definition of the May Note Qualified Financing. As a result, the May Note, with then outstanding principal balance of $25,000 and accrued unpaid interest of $288, were automatically converted into 766,293 shares of Series D-3A resulting in an extinguishment of the outstanding principal balance and accrued net of unamortized discount of $21,268, extinguishing the derivative liability at fair value of $5,360 at the acquisition price of Series D-3A of $30,652. In connection with the extinguishment, the Company recognized a loss of $3,775 on the consolidated statements of operations and comprehensive loss. The Series D-3A financing did not meet the definition of the SNAP June 2020 Note Qualified Financing and, as such, the SNAP June 2020 Note remained outstanding as of December 31, 2021, and December 31, 2020.</w:t>
      </w:r>
    </w:p>
    <w:p>
      <w:pPr>
        <w:spacing w:after="0" w:line="127"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unamortized debt discount, fair value of conversion feature, and accrued interest as of December 31, 2021 and 2020, and fair value remeasurement for the years ended December 31, 2021 and 2020:</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40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4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47"/>
        </w:trPr>
        <w:tc>
          <w:tcPr>
            <w:tcW w:w="400" w:type="dxa"/>
            <w:vAlign w:val="bottom"/>
          </w:tcPr>
          <w:p>
            <w:pPr>
              <w:spacing w:after="0"/>
              <w:rPr>
                <w:sz w:val="4"/>
                <w:szCs w:val="4"/>
                <w:color w:val="auto"/>
              </w:rPr>
            </w:pPr>
          </w:p>
        </w:tc>
        <w:tc>
          <w:tcPr>
            <w:tcW w:w="450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4"/>
        </w:trPr>
        <w:tc>
          <w:tcPr>
            <w:tcW w:w="400" w:type="dxa"/>
            <w:vAlign w:val="bottom"/>
          </w:tcPr>
          <w:p>
            <w:pPr>
              <w:spacing w:after="0"/>
              <w:rPr>
                <w:sz w:val="21"/>
                <w:szCs w:val="21"/>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r>
      <w:tr>
        <w:trPr>
          <w:trHeight w:val="243"/>
        </w:trPr>
        <w:tc>
          <w:tcPr>
            <w:tcW w:w="40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conversion feature</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3,488</w:t>
            </w:r>
          </w:p>
        </w:tc>
        <w:tc>
          <w:tcPr>
            <w:tcW w:w="6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r>
      <w:tr>
        <w:trPr>
          <w:trHeight w:val="40"/>
        </w:trPr>
        <w:tc>
          <w:tcPr>
            <w:tcW w:w="4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400" w:type="dxa"/>
            <w:vAlign w:val="bottom"/>
          </w:tcPr>
          <w:p>
            <w:pPr>
              <w:spacing w:after="0"/>
              <w:rPr>
                <w:sz w:val="22"/>
                <w:szCs w:val="22"/>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1,136</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376"/>
        </w:trPr>
        <w:tc>
          <w:tcPr>
            <w:tcW w:w="4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4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46"/>
        </w:trPr>
        <w:tc>
          <w:tcPr>
            <w:tcW w:w="400" w:type="dxa"/>
            <w:vAlign w:val="bottom"/>
          </w:tcPr>
          <w:p>
            <w:pPr>
              <w:spacing w:after="0"/>
              <w:rPr>
                <w:sz w:val="4"/>
                <w:szCs w:val="4"/>
                <w:color w:val="auto"/>
              </w:rPr>
            </w:pPr>
          </w:p>
        </w:tc>
        <w:tc>
          <w:tcPr>
            <w:tcW w:w="450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4"/>
        </w:trPr>
        <w:tc>
          <w:tcPr>
            <w:tcW w:w="400" w:type="dxa"/>
            <w:vAlign w:val="bottom"/>
          </w:tcPr>
          <w:p>
            <w:pPr>
              <w:spacing w:after="0"/>
              <w:rPr>
                <w:sz w:val="21"/>
                <w:szCs w:val="21"/>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of conversion feature – gain/(loss)</w:t>
            </w:r>
          </w:p>
        </w:tc>
        <w:tc>
          <w:tcPr>
            <w:tcW w:w="720" w:type="dxa"/>
            <w:vAlign w:val="bottom"/>
            <w:tcBorders>
              <w:bottom w:val="single" w:sz="8" w:color="CCEEFF"/>
            </w:tcBorders>
            <w:gridSpan w:val="2"/>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91"/>
        </w:trPr>
        <w:tc>
          <w:tcPr>
            <w:tcW w:w="4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ind w:left="3480"/>
              <w:spacing w:after="0"/>
              <w:rPr>
                <w:sz w:val="20"/>
                <w:szCs w:val="20"/>
                <w:color w:val="auto"/>
              </w:rPr>
            </w:pPr>
            <w:r>
              <w:rPr>
                <w:rFonts w:ascii="Times New Roman" w:cs="Times New Roman" w:eastAsia="Times New Roman" w:hAnsi="Times New Roman"/>
                <w:sz w:val="18"/>
                <w:szCs w:val="18"/>
                <w:color w:val="auto"/>
              </w:rPr>
              <w:t>F-49</w:t>
            </w: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75" w:name="page176"/>
    <w:bookmarkEnd w:id="1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CONVERTIBLE NOTES AND NOTE PAYABLE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880" w:right="479"/>
        <w:spacing w:after="0" w:line="258" w:lineRule="auto"/>
        <w:rPr>
          <w:sz w:val="20"/>
          <w:szCs w:val="20"/>
          <w:color w:val="auto"/>
        </w:rPr>
      </w:pPr>
      <w:r>
        <w:rPr>
          <w:rFonts w:ascii="Times New Roman" w:cs="Times New Roman" w:eastAsia="Times New Roman" w:hAnsi="Times New Roman"/>
          <w:sz w:val="18"/>
          <w:szCs w:val="18"/>
          <w:color w:val="auto"/>
        </w:rPr>
        <w:t>Accrued interest is included in accrued liabilities as of December 31, 2021, and other non-current liabilities as of December 31, 2020, on the consolidated balance sheets to reflect the classification of the SNAP June 2020 Note as short-term in nature on December 31, 2021 and long-term in nature as of December 31, 2020. The Company recorded the remeasurement of derivative liabilities in other expense, net on the consolidated statements of operations and comprehensive loss.</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SVB March 2021 Note</w:t>
      </w:r>
    </w:p>
    <w:p>
      <w:pPr>
        <w:spacing w:after="0" w:line="162"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In March 2021, the Company entered into a loan and security agreement with a commercial bank to borrow $30,000 along with the issuance of warrants to purchase 127,570 shares of the Company’s common stock. The warrant’s allocated fair value was $2,316 at issuance. The SVB March 2021 Note also contains a final payment provision of $1,050. The warrants were recognized as a debt discount at issuance and recorded as a reduction of the debt balance under a relative fair value approach. The Company recorded the final payment as an increase to the principal balance and debt discount for the entire payment amount. The Company is amortizing the discounts on an effective interest basis over the period from issuance through the Early Maturity Date (as defined below).</w:t>
      </w:r>
    </w:p>
    <w:p>
      <w:pPr>
        <w:spacing w:after="0" w:line="111"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The loan bears interest at an annual rate equal to the greater of 9% or 5.75% above the Prime Rate. As of December 31, 2021, the interest rate was 9%. Payments are interest-only for the first twelve months and are fully amortizable thereafter. The Company recorded interest expense in the consolidated statements of operations and comprehensive loss for the year ended December 31, 2021 of $4,508, of which $233 remained unpaid as accrued interest.</w:t>
      </w:r>
    </w:p>
    <w:p>
      <w:pPr>
        <w:spacing w:after="0" w:line="116"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The term loan amortization date is April 1, 2022, with an opportunity for a six-month extension if certain performance milestones are met. The total amount of debt discount at issuance was $3,532. As of December 31, 2021, the unamortized debt discount totaled $1,086. The maturity date of the loan is April 26, 2022 (“Early Maturity Date”), with an opportunity for extension to September 2024 or March 2025 if certain performance milestones are met, including the conversion of the SNAP June 2020 Note. Accordingly, the Company has classified the entire note payable balance as short-term as of December 31, 2021.</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SCI June 2021 Note</w:t>
      </w:r>
    </w:p>
    <w:p>
      <w:pPr>
        <w:spacing w:after="0" w:line="162"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In June 2021, the Company entered into a loan and security agreement with a lender to obtain credit extensions to the Company. Extensions may be requested in $5,000 increments up to a total commitment amount of $15,000. The Company drew an initial $5,000 on June 14, 2021 and the remaining $10,000 on December 1, 2021. The SCI June 2021 Note also contains a final payment provision of 3.5% on each draw or $525 in total. Additionally, warrants were issued alongside the convertible note to purchase 63,785 shares of SoundHound’s common stock. The warrant’s allocated fair value was $1,527 at issuance. The Company recorded the final payment as an increase to the principal balance and debt discount for the entire payment amount upon each draw.</w:t>
      </w:r>
    </w:p>
    <w:p>
      <w:pPr>
        <w:spacing w:after="0" w:line="111"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As the warrants and discounts of $2,150 are directly attributable to the total commitment of $15,000, the Company has presented its unamortized debt issuance cost associated with this convertible note as a current asset, recorded as debt issuance cost on the consolidated balance sheets. The Company is amortizing the cost on a straight-line basis from the issuance date through the early maturity date of June 26, 2022. The Company recorded $1,018 in interest expense related to the debt discounts during the year ended December 31, 2021. As of December 31, 2021, the unamortized debt discount totaled $1,132.</w:t>
      </w:r>
    </w:p>
    <w:p>
      <w:pPr>
        <w:spacing w:after="0" w:line="120"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The loan bears interest at an annual rate equal to the greater of 9% or 5.75% above the Prime Rate. As of December 31, 2021, the interest rate is 9%. Payments are interest-only for the first twelve months and are fully amortizing thereafter. The Company incurred and paid $329 in stated interest in the consolidated statements of operations and comprehensive loss for the year ended December 31, 2021.</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6" w:name="page177"/>
    <w:bookmarkEnd w:id="1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CONVERTIBLE NOTES AND NOTE PAYABLE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The loan amortization date is June 1, 2022, with an opportunity for a six-month extension if certain performance milestones are met. The maturity date of the loan is the earlier of May 2025 or when the SNAP June 2020 Note is either paid in full or matures on June 26, 2022. Upon mutual consent of the Company and its Agent, the outstanding principal amount of term loan advances may be converted into equity securities that are issued by SoundHound in an Initial Public Offering (“IPO”) or by a Special Purpose Acquisition Company (“SPAC”) during a private placement sale of SoundHound’s equity securities that closes substantially concurrently with the closing of a SPAC acquisition. If conversion occurs in connection with an IPO, the conversion of the principal amount shall be into the same class and series of equity securities for the initial price per security to the public sold in the IPO. If conversion occurs in connection with a SPAC, the conversion of principal amount shall be into the equity securities purchased by other investors in the SPAC at the same share price and upon the same terms. As of December 31, 2021, the Company has classified the SCI June 2021 Note as a current liability on its consolidated balance sheet.</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below table summarizes the Company’s debt balances as of December 31, 2021 and 2020:</w:t>
      </w:r>
    </w:p>
    <w:p>
      <w:pPr>
        <w:spacing w:after="0" w:line="187" w:lineRule="exact"/>
        <w:rPr>
          <w:sz w:val="20"/>
          <w:szCs w:val="20"/>
          <w:color w:val="auto"/>
        </w:rPr>
      </w:pPr>
    </w:p>
    <w:tbl>
      <w:tblPr>
        <w:tblLayout w:type="fixed"/>
        <w:tblInd w:w="88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3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SVB March 2021</w:t>
            </w:r>
          </w:p>
        </w:tc>
        <w:tc>
          <w:tcPr>
            <w:tcW w:w="0" w:type="dxa"/>
            <w:vAlign w:val="bottom"/>
          </w:tcPr>
          <w:p>
            <w:pPr>
              <w:spacing w:after="0"/>
              <w:rPr>
                <w:sz w:val="1"/>
                <w:szCs w:val="1"/>
                <w:color w:val="auto"/>
              </w:rPr>
            </w:pPr>
          </w:p>
        </w:tc>
      </w:tr>
      <w:tr>
        <w:trPr>
          <w:trHeight w:val="212"/>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0" w:type="dxa"/>
            <w:vAlign w:val="bottom"/>
          </w:tcPr>
          <w:p>
            <w:pPr>
              <w:spacing w:after="0"/>
              <w:rPr>
                <w:sz w:val="1"/>
                <w:szCs w:val="1"/>
                <w:color w:val="auto"/>
              </w:rPr>
            </w:pPr>
          </w:p>
        </w:tc>
      </w:tr>
      <w:tr>
        <w:trPr>
          <w:trHeight w:val="46"/>
        </w:trPr>
        <w:tc>
          <w:tcPr>
            <w:tcW w:w="398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31,050</w:t>
            </w:r>
          </w:p>
        </w:tc>
        <w:tc>
          <w:tcPr>
            <w:tcW w:w="0" w:type="dxa"/>
            <w:vAlign w:val="bottom"/>
          </w:tcPr>
          <w:p>
            <w:pPr>
              <w:spacing w:after="0"/>
              <w:rPr>
                <w:sz w:val="1"/>
                <w:szCs w:val="1"/>
                <w:color w:val="auto"/>
              </w:rPr>
            </w:pPr>
          </w:p>
        </w:tc>
      </w:tr>
      <w:tr>
        <w:trPr>
          <w:trHeight w:val="25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Unamortized loan discount</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39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3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160"/>
              <w:spacing w:after="0" w:line="181" w:lineRule="exact"/>
              <w:rPr>
                <w:sz w:val="20"/>
                <w:szCs w:val="20"/>
                <w:color w:val="auto"/>
              </w:rPr>
            </w:pPr>
            <w:r>
              <w:rPr>
                <w:rFonts w:ascii="Times New Roman" w:cs="Times New Roman" w:eastAsia="Times New Roman" w:hAnsi="Times New Roman"/>
                <w:sz w:val="16"/>
                <w:szCs w:val="16"/>
                <w:b w:val="1"/>
                <w:bCs w:val="1"/>
                <w:color w:val="auto"/>
              </w:rPr>
              <w:t>SNAP</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6"/>
                <w:szCs w:val="16"/>
                <w:b w:val="1"/>
                <w:bCs w:val="1"/>
                <w:color w:val="auto"/>
              </w:rPr>
              <w:t>SCI</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June 2020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June 2021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47"/>
        </w:trPr>
        <w:tc>
          <w:tcPr>
            <w:tcW w:w="3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gridSpan w:val="2"/>
          </w:tcPr>
          <w:p>
            <w:pPr>
              <w:spacing w:after="0"/>
              <w:rPr>
                <w:sz w:val="4"/>
                <w:szCs w:val="4"/>
                <w:color w:val="auto"/>
              </w:rPr>
            </w:pPr>
          </w:p>
        </w:tc>
        <w:tc>
          <w:tcPr>
            <w:tcW w:w="1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current portion</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15,525</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30,525</w:t>
            </w:r>
          </w:p>
        </w:tc>
        <w:tc>
          <w:tcPr>
            <w:tcW w:w="0" w:type="dxa"/>
            <w:vAlign w:val="bottom"/>
          </w:tcPr>
          <w:p>
            <w:pPr>
              <w:spacing w:after="0"/>
              <w:rPr>
                <w:sz w:val="1"/>
                <w:szCs w:val="1"/>
                <w:color w:val="auto"/>
              </w:rPr>
            </w:pP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Unamortized loan discount</w:t>
            </w:r>
          </w:p>
        </w:tc>
        <w:tc>
          <w:tcPr>
            <w:tcW w:w="16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14,343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15,525</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29,868</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Unamortized debt issuance cost recorded as an asset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980" w:type="dxa"/>
            <w:vAlign w:val="bottom"/>
            <w:vMerge w:val="continue"/>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3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160"/>
              <w:spacing w:after="0" w:line="181" w:lineRule="exact"/>
              <w:rPr>
                <w:sz w:val="20"/>
                <w:szCs w:val="20"/>
                <w:color w:val="auto"/>
              </w:rPr>
            </w:pPr>
            <w:r>
              <w:rPr>
                <w:rFonts w:ascii="Times New Roman" w:cs="Times New Roman" w:eastAsia="Times New Roman" w:hAnsi="Times New Roman"/>
                <w:sz w:val="16"/>
                <w:szCs w:val="16"/>
                <w:b w:val="1"/>
                <w:bCs w:val="1"/>
                <w:color w:val="auto"/>
              </w:rPr>
              <w:t>SNAP</w:t>
            </w: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June 2020</w:t>
            </w:r>
          </w:p>
        </w:tc>
        <w:tc>
          <w:tcPr>
            <w:tcW w:w="0" w:type="dxa"/>
            <w:vAlign w:val="bottom"/>
          </w:tcPr>
          <w:p>
            <w:pPr>
              <w:spacing w:after="0"/>
              <w:rPr>
                <w:sz w:val="1"/>
                <w:szCs w:val="1"/>
                <w:color w:val="auto"/>
              </w:rPr>
            </w:pPr>
          </w:p>
        </w:tc>
      </w:tr>
      <w:tr>
        <w:trPr>
          <w:trHeight w:val="212"/>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0" w:type="dxa"/>
            <w:vAlign w:val="bottom"/>
          </w:tcPr>
          <w:p>
            <w:pPr>
              <w:spacing w:after="0"/>
              <w:rPr>
                <w:sz w:val="1"/>
                <w:szCs w:val="1"/>
                <w:color w:val="auto"/>
              </w:rPr>
            </w:pPr>
          </w:p>
        </w:tc>
      </w:tr>
      <w:tr>
        <w:trPr>
          <w:trHeight w:val="47"/>
        </w:trPr>
        <w:tc>
          <w:tcPr>
            <w:tcW w:w="3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gridSpan w:val="2"/>
          </w:tcPr>
          <w:p>
            <w:pPr>
              <w:spacing w:after="0"/>
              <w:rPr>
                <w:sz w:val="4"/>
                <w:szCs w:val="4"/>
                <w:color w:val="auto"/>
              </w:rPr>
            </w:pPr>
          </w:p>
        </w:tc>
        <w:tc>
          <w:tcPr>
            <w:tcW w:w="1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net of current portion</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Unamortized loan discount</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(1,942)</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13,058</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Additionally, interest expense on the consolidated statements of operations and comprehensive loss is inclusive of stated interest incurred on the Company’s debt instruments during the relevant periods, as well as the amortization of debt discounts and issuance costs. The life of each instrument may be shortened if a lender demands payment if certain events occur that are outside the control of the Company.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7" w:name="page178"/>
    <w:bookmarkEnd w:id="1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48"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 of the Company’s financial instruments that are measured or disclosed at fair value on a recurring basis:</w:t>
      </w:r>
    </w:p>
    <w:p>
      <w:pPr>
        <w:spacing w:after="0" w:line="137" w:lineRule="exact"/>
        <w:rPr>
          <w:sz w:val="20"/>
          <w:szCs w:val="20"/>
          <w:color w:val="auto"/>
        </w:rPr>
      </w:pPr>
    </w:p>
    <w:p>
      <w:pPr>
        <w:jc w:val="center"/>
        <w:ind w:left="4300"/>
        <w:spacing w:after="0"/>
        <w:rPr>
          <w:sz w:val="20"/>
          <w:szCs w:val="20"/>
          <w:color w:val="auto"/>
        </w:rPr>
      </w:pPr>
      <w:r>
        <w:rPr>
          <w:rFonts w:ascii="Times New Roman" w:cs="Times New Roman" w:eastAsia="Times New Roman" w:hAnsi="Times New Roman"/>
          <w:sz w:val="16"/>
          <w:szCs w:val="16"/>
          <w:b w:val="1"/>
          <w:bCs w:val="1"/>
          <w:color w:val="auto"/>
        </w:rPr>
        <w:t>Fair Value Measurements as of</w:t>
      </w:r>
    </w:p>
    <w:p>
      <w:pPr>
        <w:spacing w:after="0" w:line="28" w:lineRule="exact"/>
        <w:rPr>
          <w:sz w:val="20"/>
          <w:szCs w:val="20"/>
          <w:color w:val="auto"/>
        </w:rPr>
      </w:pPr>
    </w:p>
    <w:p>
      <w:pPr>
        <w:jc w:val="center"/>
        <w:ind w:left="4340"/>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41275</wp:posOffset>
            </wp:positionV>
            <wp:extent cx="237426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83"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2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46"/>
        </w:trPr>
        <w:tc>
          <w:tcPr>
            <w:tcW w:w="2740" w:type="dxa"/>
            <w:vAlign w:val="bottom"/>
            <w:tcBorders>
              <w:bottom w:val="single" w:sz="8" w:color="CCEEFF"/>
            </w:tcBorders>
          </w:tcPr>
          <w:p>
            <w:pPr>
              <w:spacing w:after="0"/>
              <w:rPr>
                <w:sz w:val="4"/>
                <w:szCs w:val="4"/>
                <w:color w:val="auto"/>
              </w:rPr>
            </w:pPr>
          </w:p>
        </w:tc>
        <w:tc>
          <w:tcPr>
            <w:tcW w:w="12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4,863</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27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liability</w:t>
            </w: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(3,488)</w:t>
            </w:r>
          </w:p>
        </w:tc>
        <w:tc>
          <w:tcPr>
            <w:tcW w:w="0" w:type="dxa"/>
            <w:vAlign w:val="bottom"/>
          </w:tcPr>
          <w:p>
            <w:pPr>
              <w:spacing w:after="0"/>
              <w:rPr>
                <w:sz w:val="1"/>
                <w:szCs w:val="1"/>
                <w:color w:val="auto"/>
              </w:rPr>
            </w:pPr>
          </w:p>
        </w:tc>
      </w:tr>
      <w:tr>
        <w:trPr>
          <w:trHeight w:val="40"/>
        </w:trPr>
        <w:tc>
          <w:tcPr>
            <w:tcW w:w="27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1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4"/>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44"/>
        </w:trPr>
        <w:tc>
          <w:tcPr>
            <w:tcW w:w="2740" w:type="dxa"/>
            <w:vAlign w:val="bottom"/>
            <w:vMerge w:val="continue"/>
          </w:tcPr>
          <w:p>
            <w:pPr>
              <w:spacing w:after="0"/>
              <w:rPr>
                <w:sz w:val="21"/>
                <w:szCs w:val="21"/>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4,863</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center"/>
        <w:ind w:left="4280"/>
        <w:spacing w:after="0"/>
        <w:rPr>
          <w:sz w:val="20"/>
          <w:szCs w:val="20"/>
          <w:color w:val="auto"/>
        </w:rPr>
      </w:pPr>
      <w:r>
        <w:rPr>
          <w:rFonts w:ascii="Times New Roman" w:cs="Times New Roman" w:eastAsia="Times New Roman" w:hAnsi="Times New Roman"/>
          <w:sz w:val="16"/>
          <w:szCs w:val="16"/>
          <w:b w:val="1"/>
          <w:bCs w:val="1"/>
          <w:color w:val="auto"/>
        </w:rPr>
        <w:t>Fair Value Measurements as of</w:t>
      </w:r>
    </w:p>
    <w:p>
      <w:pPr>
        <w:spacing w:after="0" w:line="28" w:lineRule="exact"/>
        <w:rPr>
          <w:sz w:val="20"/>
          <w:szCs w:val="20"/>
          <w:color w:val="auto"/>
        </w:rPr>
      </w:pPr>
    </w:p>
    <w:p>
      <w:pPr>
        <w:jc w:val="center"/>
        <w:ind w:left="4320"/>
        <w:spacing w:after="0"/>
        <w:rPr>
          <w:sz w:val="20"/>
          <w:szCs w:val="20"/>
          <w:color w:val="auto"/>
        </w:rPr>
      </w:pPr>
      <w:r>
        <w:rPr>
          <w:rFonts w:ascii="Times New Roman" w:cs="Times New Roman" w:eastAsia="Times New Roman" w:hAnsi="Times New Roman"/>
          <w:sz w:val="16"/>
          <w:szCs w:val="16"/>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41275</wp:posOffset>
            </wp:positionV>
            <wp:extent cx="239141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83"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46"/>
        </w:trPr>
        <w:tc>
          <w:tcPr>
            <w:tcW w:w="2740" w:type="dxa"/>
            <w:vAlign w:val="bottom"/>
            <w:tcBorders>
              <w:bottom w:val="single" w:sz="8" w:color="CCEEFF"/>
            </w:tcBorders>
          </w:tcPr>
          <w:p>
            <w:pPr>
              <w:spacing w:after="0"/>
              <w:rPr>
                <w:sz w:val="4"/>
                <w:szCs w:val="4"/>
                <w:color w:val="auto"/>
              </w:rPr>
            </w:pPr>
          </w:p>
        </w:tc>
        <w:tc>
          <w:tcPr>
            <w:tcW w:w="11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1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35,856</w:t>
            </w: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7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liability</w:t>
            </w: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(2,380)</w:t>
            </w:r>
          </w:p>
        </w:tc>
        <w:tc>
          <w:tcPr>
            <w:tcW w:w="0" w:type="dxa"/>
            <w:vAlign w:val="bottom"/>
          </w:tcPr>
          <w:p>
            <w:pPr>
              <w:spacing w:after="0"/>
              <w:rPr>
                <w:sz w:val="1"/>
                <w:szCs w:val="1"/>
                <w:color w:val="auto"/>
              </w:rPr>
            </w:pPr>
          </w:p>
        </w:tc>
      </w:tr>
      <w:tr>
        <w:trPr>
          <w:trHeight w:val="40"/>
        </w:trPr>
        <w:tc>
          <w:tcPr>
            <w:tcW w:w="27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1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4"/>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(2,004)</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43"/>
        </w:trPr>
        <w:tc>
          <w:tcPr>
            <w:tcW w:w="2740" w:type="dxa"/>
            <w:vAlign w:val="bottom"/>
            <w:vMerge w:val="continue"/>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35,856</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880" w:right="459"/>
        <w:spacing w:after="0" w:line="282" w:lineRule="auto"/>
        <w:rPr>
          <w:sz w:val="20"/>
          <w:szCs w:val="20"/>
          <w:color w:val="auto"/>
        </w:rPr>
      </w:pPr>
      <w:r>
        <w:rPr>
          <w:rFonts w:ascii="Times New Roman" w:cs="Times New Roman" w:eastAsia="Times New Roman" w:hAnsi="Times New Roman"/>
          <w:sz w:val="18"/>
          <w:szCs w:val="18"/>
          <w:color w:val="auto"/>
        </w:rPr>
        <w:t>The fair values of the warrants were determined based on significant inputs not observable in the market, which represent Level 3 measurements within the fair value hierarchy.</w:t>
      </w:r>
    </w:p>
    <w:p>
      <w:pPr>
        <w:spacing w:after="0" w:line="94" w:lineRule="exact"/>
        <w:rPr>
          <w:sz w:val="20"/>
          <w:szCs w:val="20"/>
          <w:color w:val="auto"/>
        </w:rPr>
      </w:pPr>
    </w:p>
    <w:p>
      <w:pPr>
        <w:jc w:val="both"/>
        <w:ind w:left="880" w:right="479"/>
        <w:spacing w:after="0" w:line="258" w:lineRule="auto"/>
        <w:rPr>
          <w:sz w:val="20"/>
          <w:szCs w:val="20"/>
          <w:color w:val="auto"/>
        </w:rPr>
      </w:pPr>
      <w:r>
        <w:rPr>
          <w:rFonts w:ascii="Times New Roman" w:cs="Times New Roman" w:eastAsia="Times New Roman" w:hAnsi="Times New Roman"/>
          <w:sz w:val="18"/>
          <w:szCs w:val="18"/>
          <w:color w:val="auto"/>
        </w:rPr>
        <w:t>In order to determine the fair value of the warrants, the Company utilized a Black-Scholes option-pricing model. Estimates and assumptions impacting the fair value measurement include the fair value of the underlying shares, the remaining contractual or expected term of the warrants, risk-free interest rate, expected dividend yield and expected volatility of the price of the underlying stock on an as-converted basis.</w:t>
      </w:r>
    </w:p>
    <w:p>
      <w:pPr>
        <w:spacing w:after="0" w:line="116"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The Company considered the probability of a deemed liquidation event in determining the remaining expected term of the warrants, which was used as an input to the model. The Company lacks Company-specific historical and implied volatility information of its stock since there is currently no market. Therefore, it estimated its expected stock volatility based on the historical volatility of publicly traded guideline companies for a term equal to the remaining contractual or expected term of the warrants. The risk-free interest rate was determined by reference to the U.S. Treasury yield curve for time periods approximately equal to the remaining contractual or expected term of the warrants. The Company estimated no expected dividend yield based on the fact that the Company has never paid or declared dividends and does not intend to do so in the foreseeable future.</w:t>
      </w:r>
    </w:p>
    <w:p>
      <w:pPr>
        <w:spacing w:after="0" w:line="18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Series B Warrants (September 2010 and March 2011)</w:t>
      </w:r>
    </w:p>
    <w:p>
      <w:pPr>
        <w:spacing w:after="0" w:line="148"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The Company revalued its Series B Warrants as of its exercise date in November 2020, resulting in an increase in fair value of approximately $269, which was recorded as a component of other expense, net, in the accompanying consolidated statements of operations and comprehensive loss, with a corresponding increase to the warrant liability on the consolidated balance sheets.</w:t>
      </w:r>
    </w:p>
    <w:p>
      <w:pPr>
        <w:spacing w:after="0" w:line="112"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The Company determined the fair value per share of the underlying Series B Preferred Stock by taking into consideration the most recent sales of its Preferred Stock, results obtained from third party valuations and additional factors that are deemed relevant. As a private company, specific historical and implied volatility information of its stock is not available. Therefore, the Company estimates its expected stock price volatility based on the historical volatility of publicly traded peer companies for a term equal to the expected term of</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8" w:name="page179"/>
    <w:bookmarkEnd w:id="1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the Series B Warrants. This risk-free interest rate is determined by reference to the U.S. Treasury yield curve for time periods approximately equal to the expected term of the Series B Warrants. The Company estimated a 0% expected dividend yield based on the fact that the Company has never paid or declared dividends and does not intend to do so in the foreseeable future. In November 2020, the Series B Warrants were exercised in full resulting in the issuance of 101,574 Series B Preferred Stock at $1.97 per share in exchange for $200 and a decrease in the corresponding warrant liability of $1,931 representing its intrinsic value on the date of exercise. Therefore, the warrants were not subsequently revalued as of December 31, 2021 or 2020.</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Series C Warrants (April 2013 and November 2013)</w:t>
      </w:r>
    </w:p>
    <w:p>
      <w:pPr>
        <w:spacing w:after="0" w:line="162" w:lineRule="exact"/>
        <w:rPr>
          <w:sz w:val="20"/>
          <w:szCs w:val="20"/>
          <w:color w:val="auto"/>
        </w:rPr>
      </w:pPr>
    </w:p>
    <w:p>
      <w:pPr>
        <w:jc w:val="both"/>
        <w:ind w:left="880" w:right="479"/>
        <w:spacing w:after="0" w:line="261" w:lineRule="auto"/>
        <w:rPr>
          <w:sz w:val="20"/>
          <w:szCs w:val="20"/>
          <w:color w:val="auto"/>
        </w:rPr>
      </w:pPr>
      <w:r>
        <w:rPr>
          <w:rFonts w:ascii="Times New Roman" w:cs="Times New Roman" w:eastAsia="Times New Roman" w:hAnsi="Times New Roman"/>
          <w:sz w:val="18"/>
          <w:szCs w:val="18"/>
          <w:color w:val="auto"/>
        </w:rPr>
        <w:t>The Company revalued its Series C Warrants as of December 31, 2020 resulting in an increase in fair value of approximately $318, which was recorded as a component of other expense, net, in the accompanying consolidated statements of operations and comprehensive loss, with a corresponding increase to the warrant liability on the consolidated balance sheet.</w:t>
      </w:r>
    </w:p>
    <w:p>
      <w:pPr>
        <w:spacing w:after="0" w:line="99"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In December 2021, Series C Warrants were fully exercised. Immediately prior to their exercise, the Company revalued the warrants to their intrinsic value, resulting in a change in fair value of $3,812. This change in fair value was recorded as a component of other expense, net, in the accompanying consolidated statements of operations and comprehensive loss. The warrants were recorded as Series C Preferred Stock at their fair value of $5,816 upon net share settlement.</w:t>
      </w:r>
    </w:p>
    <w:p>
      <w:pPr>
        <w:spacing w:after="0" w:line="116"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The aggregate fair value of the Series C Warrants as of December 31, 2021 and 2020 was approximately $0 and $2,004, respectively.</w:t>
      </w:r>
    </w:p>
    <w:p>
      <w:pPr>
        <w:spacing w:after="0" w:line="94"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the April 2013 Series C Warrants using the Black-Scholes option-pricing model using the following assumptions:</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4240" w:type="dxa"/>
            <w:vAlign w:val="bottom"/>
          </w:tcPr>
          <w:p>
            <w:pPr>
              <w:spacing w:after="0"/>
              <w:rPr>
                <w:sz w:val="17"/>
                <w:szCs w:val="17"/>
                <w:color w:val="auto"/>
              </w:rPr>
            </w:pPr>
          </w:p>
        </w:tc>
        <w:tc>
          <w:tcPr>
            <w:tcW w:w="364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4240" w:type="dxa"/>
            <w:vAlign w:val="bottom"/>
          </w:tcPr>
          <w:p>
            <w:pPr>
              <w:spacing w:after="0"/>
              <w:rPr>
                <w:sz w:val="18"/>
                <w:szCs w:val="18"/>
                <w:color w:val="auto"/>
              </w:rPr>
            </w:pPr>
          </w:p>
        </w:tc>
        <w:tc>
          <w:tcPr>
            <w:tcW w:w="364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74"/>
        </w:trPr>
        <w:tc>
          <w:tcPr>
            <w:tcW w:w="4240" w:type="dxa"/>
            <w:vAlign w:val="bottom"/>
          </w:tcPr>
          <w:p>
            <w:pPr>
              <w:spacing w:after="0"/>
              <w:rPr>
                <w:sz w:val="6"/>
                <w:szCs w:val="6"/>
                <w:color w:val="auto"/>
              </w:rPr>
            </w:pPr>
          </w:p>
        </w:tc>
        <w:tc>
          <w:tcPr>
            <w:tcW w:w="3640" w:type="dxa"/>
            <w:vAlign w:val="bottom"/>
          </w:tcPr>
          <w:p>
            <w:pPr>
              <w:spacing w:after="0"/>
              <w:rPr>
                <w:sz w:val="6"/>
                <w:szCs w:val="6"/>
                <w:color w:val="auto"/>
              </w:rPr>
            </w:pPr>
          </w:p>
        </w:tc>
      </w:tr>
      <w:tr>
        <w:trPr>
          <w:trHeight w:val="331"/>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3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97"/>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54"/>
        </w:trPr>
        <w:tc>
          <w:tcPr>
            <w:tcW w:w="4240" w:type="dxa"/>
            <w:vAlign w:val="bottom"/>
          </w:tcPr>
          <w:p>
            <w:pPr>
              <w:spacing w:after="0"/>
              <w:rPr>
                <w:sz w:val="4"/>
                <w:szCs w:val="4"/>
                <w:color w:val="auto"/>
              </w:rPr>
            </w:pPr>
          </w:p>
        </w:tc>
        <w:tc>
          <w:tcPr>
            <w:tcW w:w="3640" w:type="dxa"/>
            <w:vAlign w:val="bottom"/>
          </w:tcPr>
          <w:p>
            <w:pPr>
              <w:spacing w:after="0"/>
              <w:rPr>
                <w:sz w:val="4"/>
                <w:szCs w:val="4"/>
                <w:color w:val="auto"/>
              </w:rPr>
            </w:pPr>
          </w:p>
        </w:tc>
      </w:tr>
      <w:tr>
        <w:trPr>
          <w:trHeight w:val="331"/>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97"/>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6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2.16</w:t>
            </w:r>
          </w:p>
        </w:tc>
      </w:tr>
    </w:tbl>
    <w:p>
      <w:pPr>
        <w:spacing w:after="0" w:line="211" w:lineRule="exact"/>
        <w:rPr>
          <w:sz w:val="20"/>
          <w:szCs w:val="20"/>
          <w:color w:val="auto"/>
        </w:rPr>
      </w:pPr>
    </w:p>
    <w:p>
      <w:pPr>
        <w:jc w:val="both"/>
        <w:ind w:left="880" w:right="459"/>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the November 2013 Series C Warrants using the Black-Scholes option-pricing model and the following assumptions: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460" w:type="dxa"/>
            <w:vAlign w:val="bottom"/>
          </w:tcPr>
          <w:p>
            <w:pPr>
              <w:spacing w:after="0"/>
              <w:rPr>
                <w:sz w:val="17"/>
                <w:szCs w:val="17"/>
                <w:color w:val="auto"/>
              </w:rPr>
            </w:pPr>
          </w:p>
        </w:tc>
        <w:tc>
          <w:tcPr>
            <w:tcW w:w="142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6460" w:type="dxa"/>
            <w:vAlign w:val="bottom"/>
          </w:tcPr>
          <w:p>
            <w:pPr>
              <w:spacing w:after="0"/>
              <w:rPr>
                <w:sz w:val="18"/>
                <w:szCs w:val="18"/>
                <w:color w:val="auto"/>
              </w:rPr>
            </w:pPr>
          </w:p>
        </w:tc>
        <w:tc>
          <w:tcPr>
            <w:tcW w:w="142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73"/>
        </w:trPr>
        <w:tc>
          <w:tcPr>
            <w:tcW w:w="6460" w:type="dxa"/>
            <w:vAlign w:val="bottom"/>
            <w:tcBorders>
              <w:bottom w:val="single" w:sz="8" w:color="auto"/>
            </w:tcBorders>
          </w:tcPr>
          <w:p>
            <w:pPr>
              <w:spacing w:after="0"/>
              <w:rPr>
                <w:sz w:val="6"/>
                <w:szCs w:val="6"/>
                <w:color w:val="auto"/>
              </w:rPr>
            </w:pPr>
          </w:p>
        </w:tc>
        <w:tc>
          <w:tcPr>
            <w:tcW w:w="1420" w:type="dxa"/>
            <w:vAlign w:val="bottom"/>
            <w:tcBorders>
              <w:bottom w:val="single" w:sz="8" w:color="CCEEFF"/>
            </w:tcBorders>
          </w:tcPr>
          <w:p>
            <w:pPr>
              <w:spacing w:after="0"/>
              <w:rPr>
                <w:sz w:val="6"/>
                <w:szCs w:val="6"/>
                <w:color w:val="auto"/>
              </w:rPr>
            </w:pPr>
          </w:p>
        </w:tc>
      </w:tr>
      <w:tr>
        <w:trPr>
          <w:trHeight w:val="311"/>
        </w:trPr>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97"/>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54"/>
        </w:trPr>
        <w:tc>
          <w:tcPr>
            <w:tcW w:w="646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331"/>
        </w:trPr>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97"/>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4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2.87</w:t>
            </w:r>
          </w:p>
        </w:tc>
      </w:tr>
    </w:tbl>
    <w:p>
      <w:pPr>
        <w:spacing w:after="0" w:line="2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Warrants (SVB March 2021 Note and SCI June 2021 Note)</w:t>
      </w:r>
    </w:p>
    <w:p>
      <w:pPr>
        <w:spacing w:after="0" w:line="148"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The Company issued common stock warrants in connection with the SVB March 2021 Note and SCI June 2021 Note (See Note 8 for additional information). The SVB March 2021 Note and SCI June 2021 Note warrants were recorded based on the allocation of its relative fair of the debt proceeds of $2,316 and $1,527, respectively. The warrants were classified as equity instruments at inception with a corresponding discount recorded at issuance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9" w:name="page180"/>
    <w:bookmarkEnd w:id="1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against the outstanding notes in connection with the SVB March 2021 Note or as an asset in connection with the SCI June 2021 Note. The common stock warrants are not subject to remeasurement at each subsequent balance sheet date due to their classification as equity instruments as they are considered indexed to the Company’s stock. As of December 31, 2021, none of these warrants have been exercised. The SVB March 2021 Note warrants expire in March 2031 and the SCI June 2021 Note warrants expire in June 2031.</w:t>
      </w:r>
    </w:p>
    <w:p>
      <w:pPr>
        <w:spacing w:after="0" w:line="120"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The Company determined the fair value of the SVB March 2021 Note and SCI June 2021 Note common stock warrants at issuance using the Black-Scholes option-pricing model using the following assumptions, respectively:</w:t>
      </w:r>
    </w:p>
    <w:p>
      <w:pPr>
        <w:spacing w:after="0" w:line="176" w:lineRule="exact"/>
        <w:rPr>
          <w:sz w:val="20"/>
          <w:szCs w:val="20"/>
          <w:color w:val="auto"/>
        </w:rPr>
      </w:pPr>
    </w:p>
    <w:tbl>
      <w:tblPr>
        <w:tblLayout w:type="fixed"/>
        <w:tblInd w:w="860" w:type="dxa"/>
        <w:tblCellMar>
          <w:top w:w="0" w:type="dxa"/>
          <w:left w:w="0" w:type="dxa"/>
          <w:bottom w:w="0" w:type="dxa"/>
          <w:right w:w="0" w:type="dxa"/>
        </w:tblCellMar>
      </w:tblPr>
      <w:tr>
        <w:trPr>
          <w:trHeight w:val="214"/>
        </w:trPr>
        <w:tc>
          <w:tcPr>
            <w:tcW w:w="63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SVB March 2021 Note Common Stock Warrants</w:t>
            </w: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46"/>
        </w:trPr>
        <w:tc>
          <w:tcPr>
            <w:tcW w:w="63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360" w:type="dxa"/>
            <w:vAlign w:val="bottom"/>
            <w:tcBorders>
              <w:bottom w:val="single" w:sz="8" w:color="CCEEFF"/>
            </w:tcBorders>
          </w:tcPr>
          <w:p>
            <w:pPr>
              <w:spacing w:after="0"/>
              <w:rPr>
                <w:sz w:val="4"/>
                <w:szCs w:val="4"/>
                <w:color w:val="auto"/>
              </w:rPr>
            </w:pPr>
          </w:p>
        </w:tc>
      </w:tr>
      <w:tr>
        <w:trPr>
          <w:trHeight w:val="244"/>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41"/>
        </w:trPr>
        <w:tc>
          <w:tcPr>
            <w:tcW w:w="6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63"/>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10.00</w:t>
            </w:r>
          </w:p>
        </w:tc>
      </w:tr>
      <w:tr>
        <w:trPr>
          <w:trHeight w:val="453"/>
        </w:trPr>
        <w:tc>
          <w:tcPr>
            <w:tcW w:w="63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SCI June 2021 Note Common Stock Warrants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6"/>
        </w:trPr>
        <w:tc>
          <w:tcPr>
            <w:tcW w:w="6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60" w:type="dxa"/>
            <w:vAlign w:val="bottom"/>
            <w:tcBorders>
              <w:bottom w:val="single" w:sz="8" w:color="CCEEFF"/>
            </w:tcBorders>
          </w:tcPr>
          <w:p>
            <w:pPr>
              <w:spacing w:after="0"/>
              <w:rPr>
                <w:sz w:val="4"/>
                <w:szCs w:val="4"/>
                <w:color w:val="auto"/>
              </w:rPr>
            </w:pPr>
          </w:p>
        </w:tc>
      </w:tr>
      <w:tr>
        <w:trPr>
          <w:trHeight w:val="243"/>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40"/>
        </w:trPr>
        <w:tc>
          <w:tcPr>
            <w:tcW w:w="6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63"/>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3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Derivative Liability (SNAP June 2020 Note)</w:t>
      </w:r>
    </w:p>
    <w:p>
      <w:pPr>
        <w:spacing w:after="0" w:line="162"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To determine the fair value of the embedded derivative associated with the SNAP June 2020 Note, the Company utilized the income approach model using the With and Without method. Using the With and Without method, the Company modeled expected cash flows to the noteholder under Next Equity Financing, Change in Control, SPAC/Private Investment in Public Equity, and IPO scenarios. The value of the Embedded Derivatives was determined as the differential value from the perspective of the With and Without Method. The Company utilized the following assumptions at the valuation date:</w:t>
      </w:r>
    </w:p>
    <w:p>
      <w:pPr>
        <w:spacing w:after="0" w:line="149"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80" w:type="dxa"/>
            <w:vAlign w:val="bottom"/>
            <w:gridSpan w:val="2"/>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160" w:type="dxa"/>
            <w:vAlign w:val="bottom"/>
          </w:tcPr>
          <w:p>
            <w:pPr>
              <w:spacing w:after="0"/>
              <w:rPr>
                <w:sz w:val="18"/>
                <w:szCs w:val="18"/>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18"/>
                <w:szCs w:val="18"/>
                <w:color w:val="auto"/>
              </w:rPr>
            </w:pPr>
          </w:p>
        </w:tc>
      </w:tr>
      <w:tr>
        <w:trPr>
          <w:trHeight w:val="47"/>
        </w:trPr>
        <w:tc>
          <w:tcPr>
            <w:tcW w:w="51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Next Equity Financing</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SPAC/PIPE</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9"/>
        </w:trPr>
        <w:tc>
          <w:tcPr>
            <w:tcW w:w="5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84"/>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IPO</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8"/>
        </w:trPr>
        <w:tc>
          <w:tcPr>
            <w:tcW w:w="516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36"/>
        </w:trPr>
        <w:tc>
          <w:tcPr>
            <w:tcW w:w="5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term (years)</w:t>
            </w:r>
          </w:p>
        </w:tc>
        <w:tc>
          <w:tcPr>
            <w:tcW w:w="11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0.26</w:t>
            </w: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8.63%</w:t>
            </w:r>
          </w:p>
        </w:tc>
      </w:tr>
    </w:tbl>
    <w:p>
      <w:pPr>
        <w:spacing w:after="0" w:line="220"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The significant unobservable inputs used in the fair value measurement of the derivative liability are the remaining expected term, the discount rate, and the probability of financing for each scenario. Significant increases (decreases) in the term would result in significantly lower (higher) fair value measurements. Significant increases (decreases) in the discount rate would result in significantly lower (higher) fair value measurements.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0" w:name="page181"/>
    <w:bookmarkEnd w:id="1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860" w:hanging="406"/>
        <w:spacing w:after="0"/>
        <w:tabs>
          <w:tab w:leader="none" w:pos="86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880" w:right="4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changes in fair value of the Company’s derivative liability and warrant liability for which fair value was determined by Level 3 inputs:</w:t>
      </w:r>
    </w:p>
    <w:p>
      <w:pPr>
        <w:spacing w:after="0" w:line="124" w:lineRule="exact"/>
        <w:rPr>
          <w:sz w:val="20"/>
          <w:szCs w:val="20"/>
          <w:color w:val="auto"/>
        </w:rPr>
      </w:pPr>
    </w:p>
    <w:tbl>
      <w:tblPr>
        <w:tblLayout w:type="fixed"/>
        <w:tblInd w:w="88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Warrant</w:t>
            </w:r>
          </w:p>
        </w:tc>
      </w:tr>
      <w:tr>
        <w:trPr>
          <w:trHeight w:val="212"/>
        </w:trPr>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46"/>
        </w:trPr>
        <w:tc>
          <w:tcPr>
            <w:tcW w:w="52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4"/>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3,348</w:t>
            </w:r>
          </w:p>
        </w:tc>
      </w:tr>
      <w:tr>
        <w:trPr>
          <w:trHeight w:val="24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Initial fair value of derivative liability</w:t>
            </w: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6,481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5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Extinguishment of derivative liability</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(5,360)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(1,931)</w:t>
            </w:r>
          </w:p>
        </w:tc>
      </w:tr>
      <w:tr>
        <w:trPr>
          <w:trHeight w:val="40"/>
        </w:trPr>
        <w:tc>
          <w:tcPr>
            <w:tcW w:w="5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1,259</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587</w:t>
            </w:r>
          </w:p>
        </w:tc>
      </w:tr>
      <w:tr>
        <w:trPr>
          <w:trHeight w:val="22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40" w:type="dxa"/>
            <w:vAlign w:val="bottom"/>
          </w:tcPr>
          <w:p>
            <w:pPr>
              <w:spacing w:after="0"/>
              <w:rPr>
                <w:sz w:val="19"/>
                <w:szCs w:val="19"/>
                <w:color w:val="auto"/>
              </w:rPr>
            </w:pPr>
          </w:p>
        </w:tc>
      </w:tr>
      <w:tr>
        <w:trPr>
          <w:trHeight w:val="36"/>
        </w:trPr>
        <w:tc>
          <w:tcPr>
            <w:tcW w:w="5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1,108</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3,812</w:t>
            </w:r>
          </w:p>
        </w:tc>
      </w:tr>
      <w:tr>
        <w:trPr>
          <w:trHeight w:val="257"/>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4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(5,816)</w:t>
            </w:r>
          </w:p>
        </w:tc>
      </w:tr>
      <w:tr>
        <w:trPr>
          <w:trHeight w:val="27"/>
        </w:trPr>
        <w:tc>
          <w:tcPr>
            <w:tcW w:w="5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3,488</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There were no transfers of financial instruments between the three levels of the fair value hierarchy for the years ended December 31, 2021 and 2020. The Company had no other financial assets or liabilities that were required to be measured at fair value on a recurring basis.</w:t>
      </w:r>
    </w:p>
    <w:p>
      <w:pPr>
        <w:spacing w:after="0" w:line="172"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10.</w:t>
        <w:tab/>
        <w:t>PREFERRED STOCK</w:t>
      </w:r>
    </w:p>
    <w:p>
      <w:pPr>
        <w:spacing w:after="0" w:line="148"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A summary of the Preferred Stock authorized, issued and outstanding as of December 31, 2021 is as follows</w:t>
      </w:r>
      <w:r>
        <w:rPr>
          <w:rFonts w:ascii="Times New Roman" w:cs="Times New Roman" w:eastAsia="Times New Roman" w:hAnsi="Times New Roman"/>
          <w:sz w:val="18"/>
          <w:szCs w:val="18"/>
          <w:i w:val="1"/>
          <w:iCs w:val="1"/>
          <w:color w:val="auto"/>
        </w:rPr>
        <w:t>:</w:t>
      </w:r>
    </w:p>
    <w:p>
      <w:pPr>
        <w:spacing w:after="0" w:line="137"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2720" w:type="dxa"/>
            <w:vAlign w:val="bottom"/>
          </w:tcPr>
          <w:p>
            <w:pPr>
              <w:spacing w:after="0"/>
              <w:rPr>
                <w:sz w:val="17"/>
                <w:szCs w:val="17"/>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Liquidation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12"/>
        </w:trPr>
        <w:tc>
          <w:tcPr>
            <w:tcW w:w="27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Issued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47"/>
        </w:trPr>
        <w:tc>
          <w:tcPr>
            <w:tcW w:w="272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3"/>
        </w:trPr>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3,438,670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3,438,670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w:t>
            </w:r>
          </w:p>
        </w:tc>
      </w:tr>
      <w:tr>
        <w:trPr>
          <w:trHeight w:val="24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Series B</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6,065,646</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6,065,646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11,943</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11,038</w:t>
            </w:r>
          </w:p>
        </w:tc>
      </w:tr>
      <w:tr>
        <w:trPr>
          <w:trHeight w:val="40"/>
        </w:trPr>
        <w:tc>
          <w:tcPr>
            <w:tcW w:w="2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4"/>
        </w:trPr>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1,041,607</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1,023,631</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6,869</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w:t>
            </w:r>
          </w:p>
        </w:tc>
      </w:tr>
      <w:tr>
        <w:trPr>
          <w:trHeight w:val="24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Series C-1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798,399</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798,399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16,072</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16,061</w:t>
            </w:r>
          </w:p>
        </w:tc>
      </w:tr>
      <w:tr>
        <w:trPr>
          <w:trHeight w:val="40"/>
        </w:trPr>
        <w:tc>
          <w:tcPr>
            <w:tcW w:w="2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3,646,050</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3,646,050</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95,027</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85,648</w:t>
            </w:r>
          </w:p>
        </w:tc>
      </w:tr>
      <w:tr>
        <w:trPr>
          <w:trHeight w:val="24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Series D-1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1,515,152</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1,515,152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49,957</w:t>
            </w:r>
          </w:p>
        </w:tc>
      </w:tr>
      <w:tr>
        <w:trPr>
          <w:trHeight w:val="40"/>
        </w:trPr>
        <w:tc>
          <w:tcPr>
            <w:tcW w:w="2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D-2</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1,515,151</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1,515,151</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49,949</w:t>
            </w:r>
          </w:p>
        </w:tc>
      </w:tr>
      <w:tr>
        <w:trPr>
          <w:trHeight w:val="24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Series D-3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3,750,000</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1,245,838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49,834</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50,046</w:t>
            </w:r>
          </w:p>
        </w:tc>
      </w:tr>
      <w:tr>
        <w:trPr>
          <w:trHeight w:val="40"/>
        </w:trPr>
        <w:tc>
          <w:tcPr>
            <w:tcW w:w="2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4"/>
        </w:trPr>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D-3A</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4,545,454</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7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243"/>
        </w:trPr>
        <w:tc>
          <w:tcPr>
            <w:tcW w:w="27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26,316,129</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19,248,537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284,826</w:t>
            </w: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279,503</w:t>
            </w:r>
          </w:p>
        </w:tc>
      </w:tr>
      <w:tr>
        <w:trPr>
          <w:trHeight w:val="20"/>
        </w:trPr>
        <w:tc>
          <w:tcPr>
            <w:tcW w:w="27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In August 2020, the Company issued 454,545 shares of Series D-3A Preferred Stock at $33.00 per share for net cash proceeds of $15,000. Collectively, with the conversion of the May Note, the Company received total proceeds of approximately $40,300. This issuance met the condition of the May Note Qualified Financing. As a result, the May Note converted into 766,293 shares of Series D-3A Preferred Stock (Note 8).</w:t>
      </w:r>
    </w:p>
    <w:p>
      <w:pPr>
        <w:spacing w:after="0" w:line="116" w:lineRule="exact"/>
        <w:rPr>
          <w:sz w:val="20"/>
          <w:szCs w:val="20"/>
          <w:color w:val="auto"/>
        </w:rPr>
      </w:pPr>
    </w:p>
    <w:p>
      <w:pPr>
        <w:jc w:val="both"/>
        <w:ind w:left="880" w:right="479"/>
        <w:spacing w:after="0" w:line="256" w:lineRule="auto"/>
        <w:rPr>
          <w:sz w:val="20"/>
          <w:szCs w:val="20"/>
          <w:color w:val="auto"/>
        </w:rPr>
      </w:pPr>
      <w:r>
        <w:rPr>
          <w:rFonts w:ascii="Times New Roman" w:cs="Times New Roman" w:eastAsia="Times New Roman" w:hAnsi="Times New Roman"/>
          <w:sz w:val="18"/>
          <w:szCs w:val="18"/>
          <w:color w:val="auto"/>
        </w:rPr>
        <w:t>In September 2020, the Company entered into a stock exchange agreement (“Exchange Agreement”) with the holders of Series D-3A Preferred Stock (the “D-3A Investors”) pursuant to which the D-3A investors exchanged all 1,220,838 shares of Series D-3A Preferred Stock for an equivalent number of shares of Series D-3 Preferred Stock. In connection with the Exchange Agreement, due to the difference in the fair value of Series D-3A and Series D-3 Preferred Stock, the Company recognized a deemed dividend of $3,182 during the year ended December 31, 2020.</w:t>
      </w:r>
    </w:p>
    <w:p>
      <w:pPr>
        <w:spacing w:after="0" w:line="106"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In November 2020, the Company issued 25,000 shares of Series D-3 Preferred Stock for net cash proceeds of approximately $1,000.</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1" w:name="page182"/>
    <w:bookmarkEnd w:id="1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 xml:space="preserve">PREFERRED STOCK </w:t>
      </w:r>
      <w:r>
        <w:rPr>
          <w:rFonts w:ascii="Times New Roman" w:cs="Times New Roman" w:eastAsia="Times New Roman" w:hAnsi="Times New Roman"/>
          <w:sz w:val="17"/>
          <w:szCs w:val="17"/>
          <w:color w:val="auto"/>
        </w:rPr>
        <w:t>(cont.)</w:t>
      </w:r>
    </w:p>
    <w:p>
      <w:pPr>
        <w:spacing w:after="0" w:line="189"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In November 2020, the Series B Warrants were exercised in full resulting in the issuance of 101,574 shares of Series B Preferred Stock at $1.97 per share for net cash proceeds of approximately $200.</w:t>
      </w:r>
    </w:p>
    <w:p>
      <w:pPr>
        <w:spacing w:after="0" w:line="94" w:lineRule="exact"/>
        <w:rPr>
          <w:sz w:val="20"/>
          <w:szCs w:val="20"/>
          <w:color w:val="auto"/>
        </w:rPr>
      </w:pPr>
    </w:p>
    <w:p>
      <w:pPr>
        <w:jc w:val="both"/>
        <w:ind w:left="880" w:right="479"/>
        <w:spacing w:after="0" w:line="261" w:lineRule="auto"/>
        <w:rPr>
          <w:sz w:val="20"/>
          <w:szCs w:val="20"/>
          <w:color w:val="auto"/>
        </w:rPr>
      </w:pPr>
      <w:r>
        <w:rPr>
          <w:rFonts w:ascii="Times New Roman" w:cs="Times New Roman" w:eastAsia="Times New Roman" w:hAnsi="Times New Roman"/>
          <w:sz w:val="18"/>
          <w:szCs w:val="18"/>
          <w:color w:val="auto"/>
        </w:rPr>
        <w:t>In December 2021, all outstanding 134,126 shares of Series C Warrants issued with April 2013 Note and November 2013 Note were net share settled, resulting in the issuance of 116,150 Series C Preferred Stock. Refer to Note 7 — Warrants for additional detail. As a result of the exercise, $5,816 was recorded in Preferred Stock.</w:t>
      </w:r>
    </w:p>
    <w:p>
      <w:pPr>
        <w:spacing w:after="0" w:line="99"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The holders of the Company’s Series A, Series B, Series C, Series C-1, Series D, Series D-1, Series D-2, Series D-3 and Series D-3A Preferred Stock (collectively, “Preferred Stock”) have the following rights, preferences and privileges: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158"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The holders of shares of Series A, Series B, Series C, Series C-1, Series D, Series D-1, Series D-3 and Series D-3A Preferred Stock are entitled to receive dividends (“Senior Preferred Dividends”), on a pari passu basis, prior and in preference to any declaration or payment of any dividend on the common stock of the Company, at the rate of $0.11824, $0.15752, $0.5368, $1.6104, $2.08504, $2.64, $3.20 and $2.64 per share, respectively, per annum, on each outstanding share, adjusted for certain events, such as stock splits, stock dividends, reclassification and the like, payable quarterly when, as and if declared by the Board of Directors (“Board”) of the Company.</w:t>
      </w:r>
    </w:p>
    <w:p>
      <w:pPr>
        <w:spacing w:after="0" w:line="121"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After the payment or setting aside of payment of the Senior Preferred Dividends, the holders of shares of Series D-2 Preferred Stock are entitled to receive dividends (“Junior Preferred Dividends”), prior and in preference to any declaration or payment of any dividend (other than dividends on common stock payable in common stock) on the common stock of the Company, at the rate of $2.64 per share, per annum, on each outstanding share, adjusted for certain events, such as stock splits, stock dividends, reclassification and the like, payable quarterly when, as and if declared by the Board. Such dividends shall not be cumulative.</w:t>
      </w:r>
    </w:p>
    <w:p>
      <w:pPr>
        <w:spacing w:after="0" w:line="108"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After the payment or setting aside for payment of the Senior Preferred Dividends and the Junior Preferred Dividends, any additional dividends declared or paid in any fiscal year shall be distributed among the holders of Preferred Stock and common stock then outstanding pro rata based on the number of shares of common stock then held by each holder (assuming conversion of all such Preferred Stock into common stock at the then-effective conversion price as defined in the amended and restated certificate of incorporation). No dividends have been declared during the years ended December 31, 2021, and December 31, 2020.</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Conversion</w:t>
      </w:r>
    </w:p>
    <w:p>
      <w:pPr>
        <w:spacing w:after="0" w:line="158"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Each share of outstanding Preferred Stock is convertible, at the option of the holder thereof, at any time after the date of issuance of such share, into such number of fully-paid, non-assessable shares of common stock at a 1:1 ratio, subject to adjustment for certain dilutive issuance, splits and combinations as defined in the amended and restated certificate of incorporation.</w:t>
      </w:r>
    </w:p>
    <w:p>
      <w:pPr>
        <w:spacing w:after="0" w:line="112"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Each share of outstanding Preferred Stock will automatically be converted into fully-paid, non-assessable shares of common stock upon the earlier of: (i) the Company’s sale of its common stock in a firm commitment underwritten public offering pursuant to a registration statement under the Securities Act of 1933, as amended, with a price per share of at least $40.00 (as adjusted for stock splits, stock dividends, reclassification and the like), which results in aggregate cash proceeds of at least $50,000, or</w:t>
      </w:r>
    </w:p>
    <w:p>
      <w:pPr>
        <w:spacing w:after="0" w:line="3" w:lineRule="exact"/>
        <w:rPr>
          <w:sz w:val="20"/>
          <w:szCs w:val="20"/>
          <w:color w:val="auto"/>
        </w:rPr>
      </w:pPr>
    </w:p>
    <w:p>
      <w:pPr>
        <w:ind w:left="880" w:right="479" w:firstLine="6"/>
        <w:spacing w:after="0" w:line="260" w:lineRule="auto"/>
        <w:tabs>
          <w:tab w:leader="none" w:pos="114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specified by written consent or agreement of the holders of a majority of the then outstanding shares of Preferred Stock, voting together as a single class on an as-converted to common stock basis.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2" w:name="page183"/>
    <w:bookmarkEnd w:id="1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 xml:space="preserve">PREFERRED STOCK </w:t>
      </w:r>
      <w:r>
        <w:rPr>
          <w:rFonts w:ascii="Times New Roman" w:cs="Times New Roman" w:eastAsia="Times New Roman" w:hAnsi="Times New Roman"/>
          <w:sz w:val="17"/>
          <w:szCs w:val="17"/>
          <w:color w:val="auto"/>
        </w:rPr>
        <w:t>(cont.)</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Liquidation Preference</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Company:</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Series D, D-1, D-3 and D-3A Preference</w:t>
      </w:r>
    </w:p>
    <w:p>
      <w:pPr>
        <w:spacing w:after="0" w:line="158" w:lineRule="exact"/>
        <w:rPr>
          <w:sz w:val="20"/>
          <w:szCs w:val="20"/>
          <w:color w:val="auto"/>
        </w:rPr>
      </w:pPr>
    </w:p>
    <w:p>
      <w:pPr>
        <w:jc w:val="both"/>
        <w:ind w:left="880" w:right="459"/>
        <w:spacing w:after="0" w:line="252" w:lineRule="auto"/>
        <w:rPr>
          <w:sz w:val="20"/>
          <w:szCs w:val="20"/>
          <w:color w:val="auto"/>
        </w:rPr>
      </w:pPr>
      <w:r>
        <w:rPr>
          <w:rFonts w:ascii="Times New Roman" w:cs="Times New Roman" w:eastAsia="Times New Roman" w:hAnsi="Times New Roman"/>
          <w:sz w:val="18"/>
          <w:szCs w:val="18"/>
          <w:color w:val="auto"/>
        </w:rPr>
        <w:t>The holders of the Series D, Series D-1, Series D-3 and Series D-3A Preferred Stock will be entitled, on a pari passu basis, to receive, prior and in preference to any distribution of any of the assets of the Company to the holders of Series D-2, Series C-1, Series C, Series B, Series A Preferred Stock or common stock by reason of their ownership thereof, an amount per share equal to the greater of (i) $26.063, $33.00, $40.00 and $33.00 per share, respectively, adjustable for certain events, such as stock splits, stock dividends, reclassification and the like, for each share Preferred Stock then held by them, plus all declared but unpaid dividends, or (ii) such amount per share as would have been payable had all shares of Series D, Series D-1, Series D-3 and Series D-3A Preferred Stock, as applicable, been converted into common stock immediately prior to such liquidation, dissolution or winding up. If, in the event the assets and funds thus distributed among the holders of the Series D, Series D-1, Series D-3 and Series D-3A Preferred Stock are insufficient to permit the payment to such holders of the full aforesaid preferential amounts, the entire assets and funds of the Company legally available for distribution will be distributed ratably among the holders of the Series D, Series D-1, Series D-3 and Series D-3A Preferred Stock in proportion to the preferential amount each such holder is otherwise entitled to receive.</w:t>
      </w:r>
    </w:p>
    <w:p>
      <w:pPr>
        <w:spacing w:after="0" w:line="1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Series D-2 Preference</w:t>
      </w:r>
    </w:p>
    <w:p>
      <w:pPr>
        <w:spacing w:after="0" w:line="158"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The holders of the Series D-2 Preferred Stock will be entitled to receive, prior and in preference to any distribution of any of the assets of the Company to the holders of Series C-1, Series C, Series B, Series A Preferred Stock or common stock by reason of their ownership thereof, an amount per share equal to the greater of (i) $33.00 per share, adjustable for certain events, such as stock splits, stock dividends, reclassification and the like, for each share of Series D-2 Preferred Stock then held by them, plus all declared but unpaid dividends, or (ii) such amount per share as would have been payable had all shares of Series D-2 Preferred Stock been converted into common stock immediately prior to such liquidation, dissolution or winding up. If, in the event the assets and funds thus distributed among the holders of the Series D-2 Preferred Stock are insufficient to permit the payment to such holders of the full aforesaid preferential amounts, the entire assets and funds of the Company legally available for distribution shall be distributed ratably among the holders of the Series D-2 Preferred Stock in proportion to the preferential amount each such holder is otherwise entitled to receive.</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Series C-1 Preference</w:t>
      </w:r>
    </w:p>
    <w:p>
      <w:pPr>
        <w:spacing w:after="0" w:line="144" w:lineRule="exact"/>
        <w:rPr>
          <w:sz w:val="20"/>
          <w:szCs w:val="20"/>
          <w:color w:val="auto"/>
        </w:rPr>
      </w:pPr>
    </w:p>
    <w:p>
      <w:pPr>
        <w:jc w:val="both"/>
        <w:ind w:left="880" w:right="459"/>
        <w:spacing w:after="0" w:line="257" w:lineRule="auto"/>
        <w:rPr>
          <w:sz w:val="20"/>
          <w:szCs w:val="20"/>
          <w:color w:val="auto"/>
        </w:rPr>
      </w:pPr>
      <w:r>
        <w:rPr>
          <w:rFonts w:ascii="Times New Roman" w:cs="Times New Roman" w:eastAsia="Times New Roman" w:hAnsi="Times New Roman"/>
          <w:sz w:val="18"/>
          <w:szCs w:val="18"/>
          <w:color w:val="auto"/>
        </w:rPr>
        <w:t>The holders of the Series C-1 Preferred Stock are entitled to receive, prior and in preference to any distribution of any of the assets of the Company to the holders of Series C, Series B, Series A Preferred Stock or common stock by reason of their ownership thereof, an amount per share equal to the greater of</w:t>
      </w:r>
    </w:p>
    <w:p>
      <w:pPr>
        <w:spacing w:after="0" w:line="1" w:lineRule="exact"/>
        <w:rPr>
          <w:sz w:val="20"/>
          <w:szCs w:val="20"/>
          <w:color w:val="auto"/>
        </w:rPr>
      </w:pPr>
    </w:p>
    <w:p>
      <w:pPr>
        <w:jc w:val="both"/>
        <w:ind w:left="880" w:right="459" w:firstLine="6"/>
        <w:spacing w:after="0" w:line="251" w:lineRule="auto"/>
        <w:tabs>
          <w:tab w:leader="none" w:pos="111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$20.13 per share, adjustable for certain events, such as stock splits, stock dividends, reclassification and the like, for each share of Series C-1 Preferred Stock then held by them, plus all declared but unpaid dividends, or (ii) such amount per share as would have been payable had all shares of Series C-1 Preferred Stock been converted into common stock immediately prior to such liquidation, dissolution or winding up. If, in the event the assets and funds thus distributed among the holders of the Series C-1 Preferred Stock are insufficient to permit the payment to such holders of the full aforesaid preferential amounts, the entire assets and funds of the Company legally available for distribution shall be distributed ratably among the holders of the Series C-1 Preferred Stock in proportion to the preferential amount each such holder is otherwise entitled to receive.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3" w:name="page184"/>
    <w:bookmarkEnd w:id="1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 xml:space="preserve">PREFERRED STOCK </w:t>
      </w:r>
      <w:r>
        <w:rPr>
          <w:rFonts w:ascii="Times New Roman" w:cs="Times New Roman" w:eastAsia="Times New Roman" w:hAnsi="Times New Roman"/>
          <w:sz w:val="17"/>
          <w:szCs w:val="17"/>
          <w:color w:val="auto"/>
        </w:rPr>
        <w:t>(cont.)</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Series C Preference</w:t>
      </w:r>
    </w:p>
    <w:p>
      <w:pPr>
        <w:spacing w:after="0" w:line="144"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The holders of the Series C Preferred Stock are entitled to receive, prior and in preference to any distribution of any of the assets of the Company to the holders of Series B, Series A Preferred Stock or common stock by reason of their ownership thereof, an amount per share equal to the greater of (i) $6.71 per share, adjustable for certain events, such as stock splits, stock dividends, reclassification and the like, for each share of Series C Preferred Stock then held by them, plus all declared but unpaid dividends, or</w:t>
      </w:r>
    </w:p>
    <w:p>
      <w:pPr>
        <w:spacing w:after="0" w:line="3" w:lineRule="exact"/>
        <w:rPr>
          <w:sz w:val="20"/>
          <w:szCs w:val="20"/>
          <w:color w:val="auto"/>
        </w:rPr>
      </w:pPr>
    </w:p>
    <w:p>
      <w:pPr>
        <w:jc w:val="both"/>
        <w:ind w:left="880" w:right="459" w:firstLine="6"/>
        <w:spacing w:after="0" w:line="252" w:lineRule="auto"/>
        <w:tabs>
          <w:tab w:leader="none" w:pos="116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per share as would have been payable had all shares of Series C Preferred Stock been converted into common stock immediately prior to such liquidation, dissolution or winding up. If, in the event the assets and funds thus distributed among the holders of the Series C Preferred Stock are insufficient to permit the payment to such holders of the full aforesaid preferential amounts, the entire assets and funds of the Company legally available for distribution shall be distributed ratably among the holders of the Series C Preferred Stock in proportion to the preferential amount each such holder is otherwise entitled to receive.</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Series B Preference</w:t>
      </w:r>
    </w:p>
    <w:p>
      <w:pPr>
        <w:spacing w:after="0" w:line="158"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The holders of the Series B Preferred Stock are entitled to receive, prior and in preference to any distribution of any of the assets of the Company to the holders of Series A Preferred Stock or common stock by reason of their ownership thereof, an amount per share equal to the greater of (i) $1.969 per share, adjustable for certain events, such as stock splits, stock dividends, reclassification and the like, for each share of Series B Preferred Stock then held by them, plus all declared but unpaid dividends, or</w:t>
      </w:r>
    </w:p>
    <w:p>
      <w:pPr>
        <w:spacing w:after="0" w:line="3" w:lineRule="exact"/>
        <w:rPr>
          <w:sz w:val="20"/>
          <w:szCs w:val="20"/>
          <w:color w:val="auto"/>
        </w:rPr>
      </w:pPr>
    </w:p>
    <w:p>
      <w:pPr>
        <w:jc w:val="both"/>
        <w:ind w:left="880" w:right="459" w:firstLine="6"/>
        <w:spacing w:after="0" w:line="252" w:lineRule="auto"/>
        <w:tabs>
          <w:tab w:leader="none" w:pos="116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per share as would have been payable had all shares of Series B Preferred Stock been converted into common stock immediately prior to such liquidation, dissolution or winding up. If, in the event the assets and funds thus distributed among the holders of the Series B Preferred Stock are insufficient to permit the payment to such holders of the full aforesaid preferential amounts, the entire assets and funds of the Company legally available for distribution shall be distributed ratably among the holders of the Series B Preferred Stock in proportion to the preferential amount each such holder is otherwise entitled to receive.</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Series A Preference</w:t>
      </w:r>
    </w:p>
    <w:p>
      <w:pPr>
        <w:spacing w:after="0" w:line="158"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The holders of the Series A Preferred Stock are entitled to receive, prior and in preference to any distribution of any of the assets of the Company to the holders of common stock by reason of their ownership thereof, an amount per share equal to the greater of (i) $1.478 per share, adjustable for certain events, such as stock splits, stock dividends, reclassification and the like, for each share of Series A Preferred Stock then held by them, plus all declared but unpaid dividends, or (ii) such amount per share as would have been payable had all shares of Series A Preferred Stock been converted into common stock immediately prior to such liquidation, dissolution or winding up. If, in the event the assets and funds thus distributed among the holders of the Series A Preferred Stock are insufficient to permit the payment to such holders of the full aforesaid preferential amounts, the entire assets and funds of the Company legally available for distribution shall be distributed ratably among the holders of the Series A Preferred Stock in proportion to the preferential amount each such holder is otherwise entitled to receive.</w:t>
      </w:r>
    </w:p>
    <w:p>
      <w:pPr>
        <w:spacing w:after="0" w:line="1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Remaining Assets for Distribution</w:t>
      </w:r>
    </w:p>
    <w:p>
      <w:pPr>
        <w:spacing w:after="0" w:line="144"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Upon the completion of the liquidation preferences above, the remaining assets of the Company available for distribution to stockholders will be distributed among the holders of the Preferred Stock and the common stock pro rata based on the number of shares of common stock held by each (assuming conversion of all such Preferred Stock into common stock) until the holders of Series D-3, Series D-1, Series D-2, Series D-3A, Series D, Series C-1, Series C, Series B and Series A Preferred Stock have received an aggregate of $40.00, $33.00, $33.00, $33.00, $26.063, $20.13, $6.71, $4.922 and $3.695 per share, respectively, adjustable for certain events, such as stock splits, stock dividends, reclassification and the like, for each share of respective Series of Preferred</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4" w:name="page185"/>
    <w:bookmarkEnd w:id="1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 xml:space="preserve">PREFERRED STOCK </w:t>
      </w:r>
      <w:r>
        <w:rPr>
          <w:rFonts w:ascii="Times New Roman" w:cs="Times New Roman" w:eastAsia="Times New Roman" w:hAnsi="Times New Roman"/>
          <w:sz w:val="17"/>
          <w:szCs w:val="17"/>
          <w:color w:val="auto"/>
        </w:rPr>
        <w:t>(cont.)</w:t>
      </w:r>
    </w:p>
    <w:p>
      <w:pPr>
        <w:spacing w:after="0" w:line="189"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Stock then held by them (including amounts paid pursuant to the liquidation preferences above). Thereafter, the holders of the common stock will receive all of the remaining assets of the Company pro rata based on the number of shares of common stock held by each.</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Redemption</w:t>
      </w:r>
    </w:p>
    <w:p>
      <w:pPr>
        <w:spacing w:after="0" w:line="158"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The Preferred Stock is not mandatorily redeemable. In the event that the Company agrees to redeem or repurchase any portion or all of the shares of Series A, Series B, Series C, Series C-1 and Series D Preferred Stock, or any shares of common stock issued on conversion of shares of such Preferred Stocks, (collectively, “Triggering Securities”) from any holder (“Triggering Redemption”), then, the Company will offer to redeem, on a pro-rata basis based on the number of shares of Series D-1, Series D-3 and Series D-3A Preferred Stock held by each holder, up to the same number of shares of such Series (or shares of common stock issued on conversion thereof) as the aggregate number of Triggering Securities that are subject to such Trigger Redemption, at a price per share of $33.00, $40.00 and $33.00, respectively, adjustable for certain events, such as stock splits, stock dividends and reclassifications.</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Voting Rights</w:t>
      </w:r>
    </w:p>
    <w:p>
      <w:pPr>
        <w:spacing w:after="0" w:line="144"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The holders of Preferred Stock have the same voting rights equivalent to the number of shares of common stock into which their shares of Preferred Stock convert. Holders of Preferred Stock shall vote together with holders of common stock as a single class and on an as-converted to common stock basis, on all matters.</w:t>
      </w:r>
    </w:p>
    <w:p>
      <w:pPr>
        <w:spacing w:after="0" w:line="112"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The holders of Series A Preferred Stock, as a separate class, are entitled to elect one director of the Company. The holders of Series B Preferred Stock, as a separate class, are entitled to elect two directors of the Company. The holders of common stock, as separate class, are entitled to elect three directors of the Company. The holders of Preferred Stock and common stock , as a single class on an as-converted basis, are entitled to elect one director of the Company.</w:t>
      </w:r>
    </w:p>
    <w:p>
      <w:pPr>
        <w:spacing w:after="0" w:line="179" w:lineRule="exact"/>
        <w:rPr>
          <w:sz w:val="20"/>
          <w:szCs w:val="20"/>
          <w:color w:val="auto"/>
        </w:rPr>
      </w:pPr>
    </w:p>
    <w:p>
      <w:pPr>
        <w:ind w:left="840" w:hanging="386"/>
        <w:spacing w:after="0"/>
        <w:tabs>
          <w:tab w:leader="none" w:pos="8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jc w:val="both"/>
        <w:ind w:left="880" w:right="459"/>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has authorized the issuance of 45,000,000 shares of common stock.</w:t>
      </w:r>
    </w:p>
    <w:p>
      <w:pPr>
        <w:spacing w:after="0" w:line="81"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The Company has reserved shares of common stock for future issuance on an as-if converted basis related to the following outstanding Preferred Stock, warrants, stock options and future grants as of December 31, 2021:</w:t>
      </w:r>
    </w:p>
    <w:p>
      <w:pPr>
        <w:spacing w:after="0" w:line="390" w:lineRule="exact"/>
        <w:rPr>
          <w:sz w:val="20"/>
          <w:szCs w:val="20"/>
          <w:color w:val="auto"/>
        </w:rPr>
      </w:pPr>
    </w:p>
    <w:tbl>
      <w:tblPr>
        <w:tblLayout w:type="fixed"/>
        <w:tblInd w:w="460" w:type="dxa"/>
        <w:tblCellMar>
          <w:top w:w="0" w:type="dxa"/>
          <w:left w:w="0" w:type="dxa"/>
          <w:bottom w:w="0" w:type="dxa"/>
          <w:right w:w="0" w:type="dxa"/>
        </w:tblCellMar>
      </w:tblPr>
      <w:tr>
        <w:trPr>
          <w:trHeight w:val="331"/>
        </w:trPr>
        <w:tc>
          <w:tcPr>
            <w:tcW w:w="65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3,438,670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6,065,646</w:t>
            </w:r>
          </w:p>
        </w:tc>
        <w:tc>
          <w:tcPr>
            <w:tcW w:w="0" w:type="dxa"/>
            <w:vAlign w:val="bottom"/>
          </w:tcPr>
          <w:p>
            <w:pPr>
              <w:spacing w:after="0"/>
              <w:rPr>
                <w:sz w:val="1"/>
                <w:szCs w:val="1"/>
                <w:color w:val="auto"/>
              </w:rPr>
            </w:pPr>
          </w:p>
        </w:tc>
      </w:tr>
      <w:tr>
        <w:trPr>
          <w:trHeight w:val="54"/>
        </w:trPr>
        <w:tc>
          <w:tcPr>
            <w:tcW w:w="6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6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Preferred Stock</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1,023,631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C-1 Preferred Stock</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798,399</w:t>
            </w:r>
          </w:p>
        </w:tc>
        <w:tc>
          <w:tcPr>
            <w:tcW w:w="0" w:type="dxa"/>
            <w:vAlign w:val="bottom"/>
          </w:tcPr>
          <w:p>
            <w:pPr>
              <w:spacing w:after="0"/>
              <w:rPr>
                <w:sz w:val="1"/>
                <w:szCs w:val="1"/>
                <w:color w:val="auto"/>
              </w:rPr>
            </w:pPr>
          </w:p>
        </w:tc>
      </w:tr>
      <w:tr>
        <w:trPr>
          <w:trHeight w:val="54"/>
        </w:trPr>
        <w:tc>
          <w:tcPr>
            <w:tcW w:w="6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6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Preferred Stock</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3,646,050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D-1 Preferred Stock</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1,515,152</w:t>
            </w:r>
          </w:p>
        </w:tc>
        <w:tc>
          <w:tcPr>
            <w:tcW w:w="0" w:type="dxa"/>
            <w:vAlign w:val="bottom"/>
          </w:tcPr>
          <w:p>
            <w:pPr>
              <w:spacing w:after="0"/>
              <w:rPr>
                <w:sz w:val="1"/>
                <w:szCs w:val="1"/>
                <w:color w:val="auto"/>
              </w:rPr>
            </w:pPr>
          </w:p>
        </w:tc>
      </w:tr>
      <w:tr>
        <w:trPr>
          <w:trHeight w:val="54"/>
        </w:trPr>
        <w:tc>
          <w:tcPr>
            <w:tcW w:w="6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6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D-2 Preferred Stock</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1,515,151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D-3 Preferred Stock</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1,245,838</w:t>
            </w:r>
          </w:p>
        </w:tc>
        <w:tc>
          <w:tcPr>
            <w:tcW w:w="0" w:type="dxa"/>
            <w:vAlign w:val="bottom"/>
          </w:tcPr>
          <w:p>
            <w:pPr>
              <w:spacing w:after="0"/>
              <w:rPr>
                <w:sz w:val="1"/>
                <w:szCs w:val="1"/>
                <w:color w:val="auto"/>
              </w:rPr>
            </w:pPr>
          </w:p>
        </w:tc>
      </w:tr>
      <w:tr>
        <w:trPr>
          <w:trHeight w:val="54"/>
        </w:trPr>
        <w:tc>
          <w:tcPr>
            <w:tcW w:w="6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6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191,355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5,475,283</w:t>
            </w:r>
          </w:p>
        </w:tc>
        <w:tc>
          <w:tcPr>
            <w:tcW w:w="0" w:type="dxa"/>
            <w:vAlign w:val="bottom"/>
          </w:tcPr>
          <w:p>
            <w:pPr>
              <w:spacing w:after="0"/>
              <w:rPr>
                <w:sz w:val="1"/>
                <w:szCs w:val="1"/>
                <w:color w:val="auto"/>
              </w:rPr>
            </w:pPr>
          </w:p>
        </w:tc>
      </w:tr>
      <w:tr>
        <w:trPr>
          <w:trHeight w:val="54"/>
        </w:trPr>
        <w:tc>
          <w:tcPr>
            <w:tcW w:w="6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6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incentive plan shares reserved for future issuance</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499,328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25,414,503</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6600" w:type="dxa"/>
            <w:vAlign w:val="bottom"/>
            <w:gridSpan w:val="2"/>
            <w:vMerge w:val="restart"/>
          </w:tcPr>
          <w:p>
            <w:pPr>
              <w:ind w:left="3880"/>
              <w:spacing w:after="0"/>
              <w:rPr>
                <w:sz w:val="20"/>
                <w:szCs w:val="20"/>
                <w:color w:val="auto"/>
              </w:rPr>
            </w:pPr>
            <w:r>
              <w:rPr>
                <w:rFonts w:ascii="Times New Roman" w:cs="Times New Roman" w:eastAsia="Times New Roman" w:hAnsi="Times New Roman"/>
                <w:sz w:val="18"/>
                <w:szCs w:val="18"/>
                <w:color w:val="auto"/>
              </w:rPr>
              <w:t>F-59</w:t>
            </w:r>
          </w:p>
        </w:tc>
        <w:tc>
          <w:tcPr>
            <w:tcW w:w="12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continue"/>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600" w:type="dxa"/>
            <w:vAlign w:val="bottom"/>
            <w:tcBorders>
              <w:bottom w:val="single" w:sz="8" w:color="auto"/>
            </w:tcBorders>
            <w:gridSpan w:val="2"/>
            <w:vMerge w:val="continue"/>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85" w:name="page186"/>
    <w:bookmarkEnd w:id="1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STOCK INCENTIVE PLAN</w:t>
      </w:r>
    </w:p>
    <w:p>
      <w:pPr>
        <w:spacing w:after="0" w:line="148"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The Board of Directors has authorized and in April 2016 adopted the 2016 Equity Incentive Plan (the “2016 Plan”) as a successor and continuation of the 2006 Plan (collectively, the “Plans”). Under the Plans, the Board of Directors may grant awards of options and restricted stock, as well as stock appreciation rights and other stock awards. During the year ended December 31, 2021, the Company amended the 2016 Plan to increase the number of shares of common stock reserved for issuance under the Plans by 1,200,000 to an aggregate of 8,701,460.</w:t>
      </w:r>
    </w:p>
    <w:p>
      <w:pPr>
        <w:spacing w:after="0" w:line="120"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The 2016 Plan provides for incentive stock options to be granted to employees at an exercise price not less than 100% of the fair value at the grant date as determined by the Board of Directors, unless the optionee is a 10% stockholder, in which case the option price will not be less than 110% of such fair market value. 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Option Activity</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Stock option activity under the Plans is as follows for the years ended December 31, 2021 and 2020:</w:t>
      </w:r>
    </w:p>
    <w:p>
      <w:pPr>
        <w:spacing w:after="0" w:line="187"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2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Pr>
          <w:p>
            <w:pPr>
              <w:spacing w:after="0"/>
              <w:rPr>
                <w:sz w:val="17"/>
                <w:szCs w:val="17"/>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202"/>
        </w:trPr>
        <w:tc>
          <w:tcPr>
            <w:tcW w:w="2560" w:type="dxa"/>
            <w:vAlign w:val="bottom"/>
          </w:tcPr>
          <w:p>
            <w:pPr>
              <w:spacing w:after="0"/>
              <w:rPr>
                <w:sz w:val="17"/>
                <w:szCs w:val="17"/>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Available</w:t>
            </w: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8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2"/>
        </w:trPr>
        <w:tc>
          <w:tcPr>
            <w:tcW w:w="2560" w:type="dxa"/>
            <w:vAlign w:val="bottom"/>
          </w:tcPr>
          <w:p>
            <w:pPr>
              <w:spacing w:after="0"/>
              <w:rPr>
                <w:sz w:val="18"/>
                <w:szCs w:val="18"/>
                <w:color w:val="auto"/>
              </w:rPr>
            </w:pP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for Grant</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8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Term (Years)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47"/>
        </w:trPr>
        <w:tc>
          <w:tcPr>
            <w:tcW w:w="256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2020</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378,010</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4,276,480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33,785</w:t>
            </w:r>
          </w:p>
        </w:tc>
        <w:tc>
          <w:tcPr>
            <w:tcW w:w="0" w:type="dxa"/>
            <w:vAlign w:val="bottom"/>
          </w:tcPr>
          <w:p>
            <w:pPr>
              <w:spacing w:after="0"/>
              <w:rPr>
                <w:sz w:val="1"/>
                <w:szCs w:val="1"/>
                <w:color w:val="auto"/>
              </w:rPr>
            </w:pPr>
          </w:p>
        </w:tc>
      </w:tr>
      <w:tr>
        <w:trPr>
          <w:trHeight w:val="243"/>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Authorized</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650,000</w:t>
            </w:r>
          </w:p>
        </w:tc>
        <w:tc>
          <w:tcPr>
            <w:tcW w:w="8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(1,446,350)</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1,446,350</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19.98</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(68,679)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40"/>
        </w:trPr>
        <w:tc>
          <w:tcPr>
            <w:tcW w:w="2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forfeited or cancelled</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475,875</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(475,875)</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13.76</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December 31, 2020</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5,178,276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13.23</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36,987</w:t>
            </w:r>
          </w:p>
        </w:tc>
        <w:tc>
          <w:tcPr>
            <w:tcW w:w="0" w:type="dxa"/>
            <w:vAlign w:val="bottom"/>
          </w:tcPr>
          <w:p>
            <w:pPr>
              <w:spacing w:after="0"/>
              <w:rPr>
                <w:sz w:val="1"/>
                <w:szCs w:val="1"/>
                <w:color w:val="auto"/>
              </w:rPr>
            </w:pPr>
          </w:p>
        </w:tc>
      </w:tr>
      <w:tr>
        <w:trPr>
          <w:trHeight w:val="36"/>
        </w:trPr>
        <w:tc>
          <w:tcPr>
            <w:tcW w:w="2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1,200,000</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(1,134,542)</w:t>
            </w:r>
          </w:p>
        </w:tc>
        <w:tc>
          <w:tcPr>
            <w:tcW w:w="8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1,134,542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40.10</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0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(461,290)</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w:t>
            </w:r>
          </w:p>
        </w:tc>
        <w:tc>
          <w:tcPr>
            <w:tcW w:w="0" w:type="dxa"/>
            <w:vAlign w:val="bottom"/>
          </w:tcPr>
          <w:p>
            <w:pPr>
              <w:spacing w:after="0"/>
              <w:rPr>
                <w:sz w:val="1"/>
                <w:szCs w:val="1"/>
                <w:color w:val="auto"/>
              </w:rPr>
            </w:pPr>
          </w:p>
        </w:tc>
      </w:tr>
      <w:tr>
        <w:trPr>
          <w:trHeight w:val="257"/>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Awards forfeited or cancelled</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376,245</w:t>
            </w:r>
          </w:p>
        </w:tc>
        <w:tc>
          <w:tcPr>
            <w:tcW w:w="8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(376,245)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17.35</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499,238</w:t>
            </w: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5,475,283</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19.19</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168,923</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bottom w:val="single" w:sz="8" w:color="CCEEFF"/>
            </w:tcBorders>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Options exercisable as of</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56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2021</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3,322,160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12.23</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5.32</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125,517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880" w:right="479"/>
        <w:spacing w:after="0" w:line="261" w:lineRule="auto"/>
        <w:rPr>
          <w:sz w:val="20"/>
          <w:szCs w:val="20"/>
          <w:color w:val="auto"/>
        </w:rPr>
      </w:pPr>
      <w:r>
        <w:rPr>
          <w:rFonts w:ascii="Times New Roman" w:cs="Times New Roman" w:eastAsia="Times New Roman" w:hAnsi="Times New Roman"/>
          <w:sz w:val="18"/>
          <w:szCs w:val="18"/>
          <w:color w:val="auto"/>
        </w:rPr>
        <w:t>Options exercised early are subject to the vesting provisions mentioned above, and any unvested shares are subject to repurchase at the original price upon termination of employment, death, or disability. There were no option exercises during the year ended December 31, 2021 and 2020 that were subject to repurchase.</w:t>
      </w:r>
    </w:p>
    <w:p>
      <w:pPr>
        <w:spacing w:after="0" w:line="112" w:lineRule="exact"/>
        <w:rPr>
          <w:sz w:val="20"/>
          <w:szCs w:val="20"/>
          <w:color w:val="auto"/>
        </w:rPr>
      </w:pPr>
    </w:p>
    <w:p>
      <w:pPr>
        <w:jc w:val="both"/>
        <w:ind w:left="880" w:right="459"/>
        <w:spacing w:after="0" w:line="282" w:lineRule="auto"/>
        <w:rPr>
          <w:sz w:val="20"/>
          <w:szCs w:val="20"/>
          <w:color w:val="auto"/>
        </w:rPr>
      </w:pPr>
      <w:r>
        <w:rPr>
          <w:rFonts w:ascii="Times New Roman" w:cs="Times New Roman" w:eastAsia="Times New Roman" w:hAnsi="Times New Roman"/>
          <w:sz w:val="18"/>
          <w:szCs w:val="18"/>
          <w:color w:val="auto"/>
        </w:rPr>
        <w:t>The total fair value of options vested was approximately $5,358 and $5,400, during the years ended December 31, 2021 and 2020, respectively.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6" w:name="page187"/>
    <w:bookmarkEnd w:id="1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 xml:space="preserve">STOCK INCENTIVE PLAN </w:t>
      </w:r>
      <w:r>
        <w:rPr>
          <w:rFonts w:ascii="Times New Roman" w:cs="Times New Roman" w:eastAsia="Times New Roman" w:hAnsi="Times New Roman"/>
          <w:sz w:val="17"/>
          <w:szCs w:val="17"/>
          <w:color w:val="auto"/>
        </w:rPr>
        <w:t>(cont.)</w:t>
      </w:r>
    </w:p>
    <w:p>
      <w:pPr>
        <w:spacing w:after="0" w:line="189"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with respect to stock options outstanding and exercisable as of December 31, 2021:</w:t>
      </w:r>
    </w:p>
    <w:p>
      <w:pPr>
        <w:spacing w:after="0" w:line="164" w:lineRule="exact"/>
        <w:rPr>
          <w:sz w:val="20"/>
          <w:szCs w:val="20"/>
          <w:color w:val="auto"/>
        </w:rPr>
      </w:pPr>
    </w:p>
    <w:tbl>
      <w:tblPr>
        <w:tblLayout w:type="fixed"/>
        <w:tblInd w:w="88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4"/>
          </w:tcPr>
          <w:p>
            <w:pPr>
              <w:ind w:left="36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230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Options Exercisable</w:t>
            </w:r>
          </w:p>
        </w:tc>
        <w:tc>
          <w:tcPr>
            <w:tcW w:w="0" w:type="dxa"/>
            <w:vAlign w:val="bottom"/>
          </w:tcPr>
          <w:p>
            <w:pPr>
              <w:spacing w:after="0"/>
              <w:rPr>
                <w:sz w:val="1"/>
                <w:szCs w:val="1"/>
                <w:color w:val="auto"/>
              </w:rPr>
            </w:pPr>
          </w:p>
        </w:tc>
      </w:tr>
      <w:tr>
        <w:trPr>
          <w:trHeight w:val="46"/>
        </w:trPr>
        <w:tc>
          <w:tcPr>
            <w:tcW w:w="3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3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7"/>
                <w:szCs w:val="17"/>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0" w:type="dxa"/>
            <w:vAlign w:val="bottom"/>
          </w:tcPr>
          <w:p>
            <w:pPr>
              <w:spacing w:after="0"/>
              <w:rPr>
                <w:sz w:val="1"/>
                <w:szCs w:val="1"/>
                <w:color w:val="auto"/>
              </w:rPr>
            </w:pPr>
          </w:p>
        </w:tc>
      </w:tr>
      <w:tr>
        <w:trPr>
          <w:trHeight w:val="212"/>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Range of Exercise Prices Per Share</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Life (Years)</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Life (Years)</w:t>
            </w:r>
          </w:p>
        </w:tc>
        <w:tc>
          <w:tcPr>
            <w:tcW w:w="0" w:type="dxa"/>
            <w:vAlign w:val="bottom"/>
          </w:tcPr>
          <w:p>
            <w:pPr>
              <w:spacing w:after="0"/>
              <w:rPr>
                <w:sz w:val="1"/>
                <w:szCs w:val="1"/>
                <w:color w:val="auto"/>
              </w:rPr>
            </w:pPr>
          </w:p>
        </w:tc>
      </w:tr>
      <w:tr>
        <w:trPr>
          <w:trHeight w:val="46"/>
        </w:trPr>
        <w:tc>
          <w:tcPr>
            <w:tcW w:w="3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0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$2.43 – $12.06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1,223,100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$12.07 – $15.34</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1,223,673</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1,154,889</w:t>
            </w: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40"/>
        </w:trPr>
        <w:tc>
          <w:tcPr>
            <w:tcW w:w="3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$15.35 – $19.31</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876,147</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7.67</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531,085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$19.32 – $24.17</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1,156,561</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8.84</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404,605</w:t>
            </w: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41"/>
        </w:trPr>
        <w:tc>
          <w:tcPr>
            <w:tcW w:w="3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$24.18 – $50.07</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995,802</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9.77</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8,481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5,475,283</w:t>
            </w:r>
          </w:p>
        </w:tc>
        <w:tc>
          <w:tcPr>
            <w:tcW w:w="10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3,322,160</w:t>
            </w:r>
          </w:p>
        </w:tc>
        <w:tc>
          <w:tcPr>
            <w:tcW w:w="20" w:type="dxa"/>
            <w:vAlign w:val="bottom"/>
            <w:tcBorders>
              <w:bottom w:val="single" w:sz="8" w:color="auto"/>
            </w:tcBorders>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2021 and 2020, the Company’s stock compensation expense was $6,322 and $5,897, respectively. As of December 31, 2021, the unamortized expense related to outstanding awards was $25,572. The weighted average remaining amortization period over which the balance as of December 31, 2021 is to be amortized is 3.12 years. No income tax benefit was recognized for this compensation expense in the Consolidated Statement of Operations and Comprehensive Loss, as the Company does not anticipate realizing any such benefit in the future.</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Employee Stock-Based Compensation</w:t>
      </w:r>
    </w:p>
    <w:p>
      <w:pPr>
        <w:spacing w:after="0" w:line="148"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For the purpose of determining the estimated fair value of share-based payment awards issued in the form of stock options, the Company uses the Black-Scholes option-pricing model as permitted under the provisions for share-based payment awards.</w:t>
      </w:r>
    </w:p>
    <w:p>
      <w:pPr>
        <w:spacing w:after="0" w:line="108"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The assumptions under the Black-Scholes option-pricing model and the weighted average calculated fair value of the options granted to employees as of December 31, 2021 and 2020 are as follows:</w:t>
      </w:r>
    </w:p>
    <w:p>
      <w:pPr>
        <w:spacing w:after="0" w:line="124"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7"/>
                <w:szCs w:val="17"/>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7"/>
        </w:trPr>
        <w:tc>
          <w:tcPr>
            <w:tcW w:w="51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40.83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20.37</w:t>
            </w: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40"/>
        </w:trPr>
        <w:tc>
          <w:tcPr>
            <w:tcW w:w="5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00" w:type="dxa"/>
            <w:vAlign w:val="bottom"/>
          </w:tcPr>
          <w:p>
            <w:pPr>
              <w:spacing w:after="0"/>
              <w:rPr>
                <w:sz w:val="21"/>
                <w:szCs w:val="21"/>
                <w:color w:val="auto"/>
              </w:rPr>
            </w:pP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5.92</w:t>
            </w:r>
          </w:p>
        </w:tc>
      </w:tr>
      <w:tr>
        <w:trPr>
          <w:trHeight w:val="40"/>
        </w:trPr>
        <w:tc>
          <w:tcPr>
            <w:tcW w:w="5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r>
      <w:tr>
        <w:trPr>
          <w:trHeight w:val="40"/>
        </w:trPr>
        <w:tc>
          <w:tcPr>
            <w:tcW w:w="5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ind w:left="880" w:right="459"/>
        <w:spacing w:after="0" w:line="282" w:lineRule="auto"/>
        <w:rPr>
          <w:sz w:val="20"/>
          <w:szCs w:val="20"/>
          <w:color w:val="auto"/>
        </w:rPr>
      </w:pPr>
      <w:r>
        <w:rPr>
          <w:rFonts w:ascii="Times New Roman" w:cs="Times New Roman" w:eastAsia="Times New Roman" w:hAnsi="Times New Roman"/>
          <w:sz w:val="18"/>
          <w:szCs w:val="18"/>
          <w:color w:val="auto"/>
        </w:rPr>
        <w:t>Stock-based compensation is classified in the following operating expense accounts on the consolidated statements of operations and comprehensive loss for the years ended December 31, 2021 and 2020:</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7"/>
        </w:trPr>
        <w:tc>
          <w:tcPr>
            <w:tcW w:w="420" w:type="dxa"/>
            <w:vAlign w:val="bottom"/>
          </w:tcPr>
          <w:p>
            <w:pPr>
              <w:spacing w:after="0"/>
              <w:rPr>
                <w:sz w:val="4"/>
                <w:szCs w:val="4"/>
                <w:color w:val="auto"/>
              </w:rPr>
            </w:pPr>
          </w:p>
        </w:tc>
        <w:tc>
          <w:tcPr>
            <w:tcW w:w="2700" w:type="dxa"/>
            <w:vAlign w:val="bottom"/>
            <w:tcBorders>
              <w:bottom w:val="single" w:sz="8" w:color="CCEEFF"/>
            </w:tcBorders>
          </w:tcPr>
          <w:p>
            <w:pPr>
              <w:spacing w:after="0"/>
              <w:rPr>
                <w:sz w:val="4"/>
                <w:szCs w:val="4"/>
                <w:color w:val="auto"/>
              </w:rPr>
            </w:pPr>
          </w:p>
        </w:tc>
        <w:tc>
          <w:tcPr>
            <w:tcW w:w="25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20" w:type="dxa"/>
            <w:vAlign w:val="bottom"/>
          </w:tcPr>
          <w:p>
            <w:pPr>
              <w:spacing w:after="0"/>
              <w:rPr>
                <w:sz w:val="21"/>
                <w:szCs w:val="21"/>
                <w:color w:val="auto"/>
              </w:rPr>
            </w:pPr>
          </w:p>
        </w:tc>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1,379</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7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20" w:type="dxa"/>
            <w:vAlign w:val="bottom"/>
          </w:tcPr>
          <w:p>
            <w:pPr>
              <w:spacing w:after="0"/>
              <w:rPr>
                <w:sz w:val="21"/>
                <w:szCs w:val="21"/>
                <w:color w:val="auto"/>
              </w:rPr>
            </w:pPr>
          </w:p>
        </w:tc>
        <w:tc>
          <w:tcPr>
            <w:tcW w:w="2700" w:type="dxa"/>
            <w:vAlign w:val="bottom"/>
            <w:vMerge w:val="continue"/>
          </w:tcPr>
          <w:p>
            <w:pPr>
              <w:spacing w:after="0"/>
              <w:rPr>
                <w:sz w:val="21"/>
                <w:szCs w:val="21"/>
                <w:color w:val="auto"/>
              </w:rPr>
            </w:pP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6,322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4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2"/>
          </w:tcPr>
          <w:p>
            <w:pPr>
              <w:jc w:val="right"/>
              <w:ind w:right="1436"/>
              <w:spacing w:after="0"/>
              <w:rPr>
                <w:sz w:val="20"/>
                <w:szCs w:val="20"/>
                <w:color w:val="auto"/>
              </w:rPr>
            </w:pPr>
            <w:r>
              <w:rPr>
                <w:rFonts w:ascii="Times New Roman" w:cs="Times New Roman" w:eastAsia="Times New Roman" w:hAnsi="Times New Roman"/>
                <w:sz w:val="18"/>
                <w:szCs w:val="18"/>
                <w:color w:val="auto"/>
              </w:rPr>
              <w:t>F-61</w:t>
            </w: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87" w:name="page188"/>
    <w:bookmarkEnd w:id="1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 xml:space="preserve">STOCK INCENTIVE PLAN </w:t>
      </w:r>
      <w:r>
        <w:rPr>
          <w:rFonts w:ascii="Times New Roman" w:cs="Times New Roman" w:eastAsia="Times New Roman" w:hAnsi="Times New Roman"/>
          <w:sz w:val="17"/>
          <w:szCs w:val="17"/>
          <w:color w:val="auto"/>
        </w:rPr>
        <w:t>(cont.)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Options</w:t>
      </w:r>
    </w:p>
    <w:p>
      <w:pPr>
        <w:spacing w:after="0" w:line="148"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The Company historically issued option awards to key personnel with contractual expirations of 5 to 10 years. Certain individuals had not exercised their options prior to expiration. As a result of the expiration of unexercised but fully vested options awards, the Company issued new options for the same quantity previously granted, but with an exercise price set to the then fair value of common stock determined in accordance with a board approved 409A.</w:t>
      </w:r>
    </w:p>
    <w:p>
      <w:pPr>
        <w:spacing w:after="0" w:line="116"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Furthermore, in an effort to make the holders whole, the Company entered into a change in control bonus Letter Agreement with each individual. Pursuant to the agreement, each individual is entitled to an additional lump sum payment capped at the difference between the original aggregate exercise price and the new aggregate exercise price upon a change in control transaction as defined in the Company’s 2016 Equity Incentive Plan, provided that such a transaction also constitutes a “Liquidation Transaction” as defined in the Company’s Certificate of Incorporation.</w:t>
      </w:r>
    </w:p>
    <w:p>
      <w:pPr>
        <w:spacing w:after="0" w:line="120"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The maximum change in control bonus for executive award holders is $5,837 and remains unamortized as of December 31, 2021.</w:t>
      </w:r>
    </w:p>
    <w:p>
      <w:pPr>
        <w:spacing w:after="0" w:line="158"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148"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The Company leases certain facilities under non-cancelable operating leases that expire at various dates through 2025. Some leases include renewal options, which would permit extensions of the expiration dates at rates approximating fair market rental values. The Company also enters into certain finance leases for computer equipment. The finance leases are collateralized by the financed assets.</w:t>
      </w:r>
    </w:p>
    <w:p>
      <w:pPr>
        <w:spacing w:after="0" w:line="112"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Aggregate noncancelable future minimum lease payments under operating and finance leases are as follows:</w:t>
      </w:r>
    </w:p>
    <w:p>
      <w:pPr>
        <w:spacing w:after="0" w:line="124"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4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180" w:type="dxa"/>
            <w:vAlign w:val="bottom"/>
          </w:tcPr>
          <w:p>
            <w:pPr>
              <w:spacing w:after="0"/>
              <w:rPr>
                <w:sz w:val="17"/>
                <w:szCs w:val="17"/>
                <w:color w:val="auto"/>
              </w:rPr>
            </w:pP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0" w:type="dxa"/>
            <w:vAlign w:val="bottom"/>
          </w:tcPr>
          <w:p>
            <w:pPr>
              <w:spacing w:after="0"/>
              <w:rPr>
                <w:sz w:val="1"/>
                <w:szCs w:val="1"/>
                <w:color w:val="auto"/>
              </w:rPr>
            </w:pPr>
          </w:p>
        </w:tc>
      </w:tr>
      <w:tr>
        <w:trPr>
          <w:trHeight w:val="212"/>
        </w:trPr>
        <w:tc>
          <w:tcPr>
            <w:tcW w:w="4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Lease</w:t>
            </w:r>
          </w:p>
        </w:tc>
        <w:tc>
          <w:tcPr>
            <w:tcW w:w="180" w:type="dxa"/>
            <w:vAlign w:val="bottom"/>
          </w:tcPr>
          <w:p>
            <w:pPr>
              <w:spacing w:after="0"/>
              <w:rPr>
                <w:sz w:val="18"/>
                <w:szCs w:val="18"/>
                <w:color w:val="auto"/>
              </w:rPr>
            </w:pPr>
          </w:p>
        </w:tc>
        <w:tc>
          <w:tcPr>
            <w:tcW w:w="110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Lease</w:t>
            </w:r>
          </w:p>
        </w:tc>
        <w:tc>
          <w:tcPr>
            <w:tcW w:w="0" w:type="dxa"/>
            <w:vAlign w:val="bottom"/>
          </w:tcPr>
          <w:p>
            <w:pPr>
              <w:spacing w:after="0"/>
              <w:rPr>
                <w:sz w:val="1"/>
                <w:szCs w:val="1"/>
                <w:color w:val="auto"/>
              </w:rPr>
            </w:pPr>
          </w:p>
        </w:tc>
      </w:tr>
      <w:tr>
        <w:trPr>
          <w:trHeight w:val="47"/>
        </w:trPr>
        <w:tc>
          <w:tcPr>
            <w:tcW w:w="4060" w:type="dxa"/>
            <w:vAlign w:val="bottom"/>
            <w:tcBorders>
              <w:bottom w:val="single" w:sz="8" w:color="CCEEFF"/>
            </w:tcBorders>
          </w:tcPr>
          <w:p>
            <w:pPr>
              <w:spacing w:after="0"/>
              <w:rPr>
                <w:sz w:val="4"/>
                <w:szCs w:val="4"/>
                <w:color w:val="auto"/>
              </w:rPr>
            </w:pPr>
          </w:p>
        </w:tc>
        <w:tc>
          <w:tcPr>
            <w:tcW w:w="11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1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3,544</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3,543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3,288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1,785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8"/>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(3,281)</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(1,301)</w:t>
            </w:r>
          </w:p>
        </w:tc>
        <w:tc>
          <w:tcPr>
            <w:tcW w:w="0" w:type="dxa"/>
            <w:vAlign w:val="bottom"/>
          </w:tcPr>
          <w:p>
            <w:pPr>
              <w:spacing w:after="0"/>
              <w:rPr>
                <w:sz w:val="1"/>
                <w:szCs w:val="1"/>
                <w:color w:val="auto"/>
              </w:rPr>
            </w:pPr>
          </w:p>
        </w:tc>
      </w:tr>
      <w:tr>
        <w:trPr>
          <w:trHeight w:val="20"/>
        </w:trPr>
        <w:tc>
          <w:tcPr>
            <w:tcW w:w="40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60" w:type="dxa"/>
            <w:vAlign w:val="bottom"/>
            <w:vMerge w:val="continue"/>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8,611</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Additional information related to the Company’s lease balances during the year ended and as of</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December 31, 2021 includes</w:t>
      </w:r>
      <w:r>
        <w:rPr>
          <w:rFonts w:ascii="Times New Roman" w:cs="Times New Roman" w:eastAsia="Times New Roman" w:hAnsi="Times New Roman"/>
          <w:sz w:val="18"/>
          <w:szCs w:val="18"/>
          <w:i w:val="1"/>
          <w:iCs w:val="1"/>
          <w:color w:val="auto"/>
        </w:rPr>
        <w:t>:</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4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6"/>
        </w:trPr>
        <w:tc>
          <w:tcPr>
            <w:tcW w:w="420" w:type="dxa"/>
            <w:vAlign w:val="bottom"/>
          </w:tcPr>
          <w:p>
            <w:pPr>
              <w:spacing w:after="0"/>
              <w:rPr>
                <w:sz w:val="4"/>
                <w:szCs w:val="4"/>
                <w:color w:val="auto"/>
              </w:rPr>
            </w:pPr>
          </w:p>
        </w:tc>
        <w:tc>
          <w:tcPr>
            <w:tcW w:w="3080" w:type="dxa"/>
            <w:vAlign w:val="bottom"/>
            <w:tcBorders>
              <w:bottom w:val="single" w:sz="8" w:color="CCEEFF"/>
            </w:tcBorders>
          </w:tcPr>
          <w:p>
            <w:pPr>
              <w:spacing w:after="0"/>
              <w:rPr>
                <w:sz w:val="4"/>
                <w:szCs w:val="4"/>
                <w:color w:val="auto"/>
              </w:rPr>
            </w:pPr>
          </w:p>
        </w:tc>
        <w:tc>
          <w:tcPr>
            <w:tcW w:w="33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42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w:t>
            </w:r>
          </w:p>
        </w:tc>
      </w:tr>
      <w:tr>
        <w:trPr>
          <w:trHeight w:val="243"/>
        </w:trPr>
        <w:tc>
          <w:tcPr>
            <w:tcW w:w="420" w:type="dxa"/>
            <w:vAlign w:val="bottom"/>
          </w:tcPr>
          <w:p>
            <w:pPr>
              <w:spacing w:after="0"/>
              <w:rPr>
                <w:sz w:val="21"/>
                <w:szCs w:val="21"/>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41"/>
        </w:trPr>
        <w:tc>
          <w:tcPr>
            <w:tcW w:w="4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3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4"/>
        </w:trPr>
        <w:tc>
          <w:tcPr>
            <w:tcW w:w="420" w:type="dxa"/>
            <w:vAlign w:val="bottom"/>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420" w:type="dxa"/>
            <w:vAlign w:val="bottom"/>
          </w:tcPr>
          <w:p>
            <w:pPr>
              <w:spacing w:after="0"/>
              <w:rPr>
                <w:sz w:val="21"/>
                <w:szCs w:val="21"/>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lease cost:</w:t>
            </w:r>
          </w:p>
        </w:tc>
        <w:tc>
          <w:tcPr>
            <w:tcW w:w="3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40"/>
        </w:trPr>
        <w:tc>
          <w:tcPr>
            <w:tcW w:w="4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3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4"/>
        </w:trPr>
        <w:tc>
          <w:tcPr>
            <w:tcW w:w="420" w:type="dxa"/>
            <w:vAlign w:val="bottom"/>
          </w:tcPr>
          <w:p>
            <w:pPr>
              <w:spacing w:after="0"/>
              <w:rPr>
                <w:sz w:val="22"/>
                <w:szCs w:val="22"/>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finance leased assets</w:t>
            </w:r>
          </w:p>
        </w:tc>
        <w:tc>
          <w:tcPr>
            <w:tcW w:w="3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r>
      <w:tr>
        <w:trPr>
          <w:trHeight w:val="243"/>
        </w:trPr>
        <w:tc>
          <w:tcPr>
            <w:tcW w:w="420" w:type="dxa"/>
            <w:vAlign w:val="bottom"/>
          </w:tcPr>
          <w:p>
            <w:pPr>
              <w:spacing w:after="0"/>
              <w:rPr>
                <w:sz w:val="21"/>
                <w:szCs w:val="21"/>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Interest of lease liabilities</w:t>
            </w: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432"/>
        </w:trPr>
        <w:tc>
          <w:tcPr>
            <w:tcW w:w="4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2"/>
          </w:tcPr>
          <w:p>
            <w:pPr>
              <w:jc w:val="right"/>
              <w:ind w:right="2676"/>
              <w:spacing w:after="0"/>
              <w:rPr>
                <w:sz w:val="20"/>
                <w:szCs w:val="20"/>
                <w:color w:val="auto"/>
              </w:rPr>
            </w:pPr>
            <w:r>
              <w:rPr>
                <w:rFonts w:ascii="Times New Roman" w:cs="Times New Roman" w:eastAsia="Times New Roman" w:hAnsi="Times New Roman"/>
                <w:sz w:val="18"/>
                <w:szCs w:val="18"/>
                <w:color w:val="auto"/>
              </w:rPr>
              <w:t>F-62</w:t>
            </w: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88" w:name="page189"/>
    <w:bookmarkEnd w:id="1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 xml:space="preserve">LEASES </w:t>
      </w:r>
      <w:r>
        <w:rPr>
          <w:rFonts w:ascii="Times New Roman" w:cs="Times New Roman" w:eastAsia="Times New Roman" w:hAnsi="Times New Roman"/>
          <w:sz w:val="17"/>
          <w:szCs w:val="17"/>
          <w:color w:val="auto"/>
        </w:rPr>
        <w:t>(cont.)</w:t>
      </w:r>
    </w:p>
    <w:p>
      <w:pPr>
        <w:spacing w:after="0" w:line="191"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128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Financing</w:t>
            </w:r>
          </w:p>
        </w:tc>
      </w:tr>
      <w:tr>
        <w:trPr>
          <w:trHeight w:val="212"/>
        </w:trPr>
        <w:tc>
          <w:tcPr>
            <w:tcW w:w="5160" w:type="dxa"/>
            <w:vAlign w:val="bottom"/>
          </w:tcPr>
          <w:p>
            <w:pPr>
              <w:spacing w:after="0"/>
              <w:rPr>
                <w:sz w:val="18"/>
                <w:szCs w:val="18"/>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Lease</w:t>
            </w:r>
          </w:p>
        </w:tc>
        <w:tc>
          <w:tcPr>
            <w:tcW w:w="128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Lease</w:t>
            </w:r>
          </w:p>
        </w:tc>
      </w:tr>
      <w:tr>
        <w:trPr>
          <w:trHeight w:val="47"/>
        </w:trPr>
        <w:tc>
          <w:tcPr>
            <w:tcW w:w="516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3"/>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1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1.22</w:t>
            </w: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5.94%</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r>
    </w:tbl>
    <w:p>
      <w:pPr>
        <w:spacing w:after="0" w:line="198" w:lineRule="exact"/>
        <w:rPr>
          <w:sz w:val="20"/>
          <w:szCs w:val="20"/>
          <w:color w:val="auto"/>
        </w:rPr>
      </w:pPr>
    </w:p>
    <w:p>
      <w:pPr>
        <w:jc w:val="both"/>
        <w:ind w:left="880" w:right="459"/>
        <w:spacing w:after="0" w:line="282" w:lineRule="auto"/>
        <w:rPr>
          <w:sz w:val="20"/>
          <w:szCs w:val="20"/>
          <w:color w:val="auto"/>
        </w:rPr>
      </w:pPr>
      <w:r>
        <w:rPr>
          <w:rFonts w:ascii="Times New Roman" w:cs="Times New Roman" w:eastAsia="Times New Roman" w:hAnsi="Times New Roman"/>
          <w:sz w:val="18"/>
          <w:szCs w:val="18"/>
          <w:color w:val="auto"/>
        </w:rPr>
        <w:t>The Company’s rent expense totaled approximately $4,178 and $3,514 during the years ended December 31, 2021 and 2020, respectively.</w:t>
      </w:r>
    </w:p>
    <w:p>
      <w:pPr>
        <w:spacing w:after="0" w:line="158"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OTHER EXPENSE, NET</w:t>
      </w:r>
    </w:p>
    <w:p>
      <w:pPr>
        <w:spacing w:after="0" w:line="162"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Other expense, net on the consolidated statements of operations and comprehensive loss is comprised of the following for the years ended December 31, 2021 and 2020, respectively:</w:t>
      </w:r>
    </w:p>
    <w:p>
      <w:pPr>
        <w:spacing w:after="0" w:line="164"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7"/>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7"/>
        </w:trPr>
        <w:tc>
          <w:tcPr>
            <w:tcW w:w="52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1"/>
        </w:trPr>
        <w:tc>
          <w:tcPr>
            <w:tcW w:w="5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6"/>
        </w:trPr>
        <w:tc>
          <w:tcPr>
            <w:tcW w:w="52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Pr>
          <w:p>
            <w:pPr>
              <w:spacing w:after="0"/>
              <w:rPr>
                <w:sz w:val="21"/>
                <w:szCs w:val="21"/>
                <w:color w:val="auto"/>
              </w:rPr>
            </w:pPr>
          </w:p>
        </w:tc>
      </w:tr>
      <w:tr>
        <w:trPr>
          <w:trHeight w:val="41"/>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and warrant liability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(4,920)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(1,806)</w:t>
            </w:r>
          </w:p>
        </w:tc>
      </w:tr>
      <w:tr>
        <w:trPr>
          <w:trHeight w:val="24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convertible note</w:t>
            </w:r>
          </w:p>
        </w:tc>
        <w:tc>
          <w:tcPr>
            <w:tcW w:w="260" w:type="dxa"/>
            <w:vAlign w:val="bottom"/>
          </w:tcPr>
          <w:p>
            <w:pPr>
              <w:spacing w:after="0"/>
              <w:rPr>
                <w:sz w:val="21"/>
                <w:szCs w:val="21"/>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(3,775)</w:t>
            </w:r>
          </w:p>
        </w:tc>
      </w:tr>
      <w:tr>
        <w:trPr>
          <w:trHeight w:val="40"/>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44"/>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NET LOSS PER SHARE</w:t>
      </w:r>
    </w:p>
    <w:p>
      <w:pPr>
        <w:spacing w:after="0" w:line="162" w:lineRule="exact"/>
        <w:rPr>
          <w:sz w:val="20"/>
          <w:szCs w:val="20"/>
          <w:color w:val="auto"/>
        </w:rPr>
      </w:pPr>
    </w:p>
    <w:p>
      <w:pPr>
        <w:jc w:val="both"/>
        <w:ind w:left="880" w:right="45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attributable to common stockholders for the years ended December 31, 2021 and 2020:</w:t>
      </w:r>
    </w:p>
    <w:p>
      <w:pPr>
        <w:spacing w:after="0" w:line="164"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6"/>
          </w:tcPr>
          <w:p>
            <w:pPr>
              <w:jc w:val="right"/>
              <w:ind w:right="70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7"/>
        </w:trPr>
        <w:tc>
          <w:tcPr>
            <w:tcW w:w="52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2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(79,540)</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(74,407)</w:t>
            </w:r>
          </w:p>
        </w:tc>
        <w:tc>
          <w:tcPr>
            <w:tcW w:w="0" w:type="dxa"/>
            <w:vAlign w:val="bottom"/>
          </w:tcPr>
          <w:p>
            <w:pPr>
              <w:spacing w:after="0"/>
              <w:rPr>
                <w:sz w:val="1"/>
                <w:szCs w:val="1"/>
                <w:color w:val="auto"/>
              </w:rPr>
            </w:pPr>
          </w:p>
        </w:tc>
      </w:tr>
      <w:tr>
        <w:trPr>
          <w:trHeight w:val="40"/>
        </w:trPr>
        <w:tc>
          <w:tcPr>
            <w:tcW w:w="5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deemed dividend related to the exchange of Preferred Stock</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Series D-3A for Preferred Stock Series D-3</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(3,182)</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83"/>
        </w:trPr>
        <w:tc>
          <w:tcPr>
            <w:tcW w:w="520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(79,540</w:t>
            </w:r>
          </w:p>
        </w:tc>
        <w:tc>
          <w:tcPr>
            <w:tcW w:w="140" w:type="dxa"/>
            <w:vAlign w:val="bottom"/>
            <w:vMerge w:val="continue"/>
          </w:tcPr>
          <w:p>
            <w:pPr>
              <w:spacing w:after="0"/>
              <w:rPr>
                <w:sz w:val="24"/>
                <w:szCs w:val="24"/>
                <w:color w:val="auto"/>
              </w:rPr>
            </w:pP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(77,589</w:t>
            </w:r>
          </w:p>
        </w:tc>
        <w:tc>
          <w:tcPr>
            <w:tcW w:w="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Dilutive</w:t>
            </w:r>
          </w:p>
        </w:tc>
        <w:tc>
          <w:tcPr>
            <w:tcW w:w="140" w:type="dxa"/>
            <w:vAlign w:val="bottom"/>
          </w:tcPr>
          <w:p>
            <w:pPr>
              <w:spacing w:after="0"/>
              <w:rPr>
                <w:sz w:val="24"/>
                <w:szCs w:val="24"/>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12,104,523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11,780,078</w:t>
            </w:r>
          </w:p>
        </w:tc>
        <w:tc>
          <w:tcPr>
            <w:tcW w:w="0" w:type="dxa"/>
            <w:vAlign w:val="bottom"/>
          </w:tcPr>
          <w:p>
            <w:pPr>
              <w:spacing w:after="0"/>
              <w:rPr>
                <w:sz w:val="1"/>
                <w:szCs w:val="1"/>
                <w:color w:val="auto"/>
              </w:rPr>
            </w:pPr>
          </w:p>
        </w:tc>
      </w:tr>
      <w:tr>
        <w:trPr>
          <w:trHeight w:val="226"/>
        </w:trPr>
        <w:tc>
          <w:tcPr>
            <w:tcW w:w="52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Basic and Diluted Net Loss Per Share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2021 and 2020, the diluted earnings per share is equal to the basic earnings per share as the effect of potentially dilutive securities would have been antidilutive.</w:t>
      </w:r>
    </w:p>
    <w:p>
      <w:pPr>
        <w:spacing w:after="0" w:line="81"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outstanding shares of potentially dilutive securities that were excluded from the calculation of diluted earnings per share because their inclusion would have been anti-dilutive for the years ended December 31, 2021 and 2020:</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80" w:type="dxa"/>
            <w:vAlign w:val="bottom"/>
            <w:gridSpan w:val="3"/>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7"/>
        </w:trPr>
        <w:tc>
          <w:tcPr>
            <w:tcW w:w="4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30"/>
        </w:trPr>
        <w:tc>
          <w:tcPr>
            <w:tcW w:w="4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740" w:type="dxa"/>
            <w:vAlign w:val="bottom"/>
            <w:gridSpan w:val="2"/>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c>
          <w:tcPr>
            <w:tcW w:w="124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7"/>
        </w:trPr>
        <w:tc>
          <w:tcPr>
            <w:tcW w:w="420" w:type="dxa"/>
            <w:vAlign w:val="bottom"/>
          </w:tcPr>
          <w:p>
            <w:pPr>
              <w:spacing w:after="0"/>
              <w:rPr>
                <w:sz w:val="4"/>
                <w:szCs w:val="4"/>
                <w:color w:val="auto"/>
              </w:rPr>
            </w:pPr>
          </w:p>
        </w:tc>
        <w:tc>
          <w:tcPr>
            <w:tcW w:w="2600" w:type="dxa"/>
            <w:vAlign w:val="bottom"/>
            <w:tcBorders>
              <w:bottom w:val="single" w:sz="8" w:color="CCEEFF"/>
            </w:tcBorders>
          </w:tcPr>
          <w:p>
            <w:pPr>
              <w:spacing w:after="0"/>
              <w:rPr>
                <w:sz w:val="4"/>
                <w:szCs w:val="4"/>
                <w:color w:val="auto"/>
              </w:rPr>
            </w:pPr>
          </w:p>
        </w:tc>
        <w:tc>
          <w:tcPr>
            <w:tcW w:w="2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44"/>
        </w:trPr>
        <w:tc>
          <w:tcPr>
            <w:tcW w:w="420" w:type="dxa"/>
            <w:vAlign w:val="bottom"/>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5,475,283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5,178,276</w:t>
            </w:r>
          </w:p>
        </w:tc>
      </w:tr>
      <w:tr>
        <w:trPr>
          <w:trHeight w:val="243"/>
        </w:trPr>
        <w:tc>
          <w:tcPr>
            <w:tcW w:w="420" w:type="dxa"/>
            <w:vAlign w:val="bottom"/>
          </w:tcPr>
          <w:p>
            <w:pPr>
              <w:spacing w:after="0"/>
              <w:rPr>
                <w:sz w:val="21"/>
                <w:szCs w:val="2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Series C Warrants</w:t>
            </w:r>
          </w:p>
        </w:tc>
        <w:tc>
          <w:tcPr>
            <w:tcW w:w="26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134,126</w:t>
            </w:r>
          </w:p>
        </w:tc>
      </w:tr>
      <w:tr>
        <w:trPr>
          <w:trHeight w:val="40"/>
        </w:trPr>
        <w:tc>
          <w:tcPr>
            <w:tcW w:w="4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4"/>
        </w:trPr>
        <w:tc>
          <w:tcPr>
            <w:tcW w:w="420" w:type="dxa"/>
            <w:vAlign w:val="bottom"/>
          </w:tcPr>
          <w:p>
            <w:pPr>
              <w:spacing w:after="0"/>
              <w:rPr>
                <w:sz w:val="22"/>
                <w:szCs w:val="22"/>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3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191,355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20" w:type="dxa"/>
            <w:vAlign w:val="bottom"/>
          </w:tcPr>
          <w:p>
            <w:pPr>
              <w:spacing w:after="0"/>
              <w:rPr>
                <w:sz w:val="22"/>
                <w:szCs w:val="22"/>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3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19,248,537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19,132,387</w:t>
            </w:r>
          </w:p>
        </w:tc>
      </w:tr>
      <w:tr>
        <w:trPr>
          <w:trHeight w:val="27"/>
        </w:trPr>
        <w:tc>
          <w:tcPr>
            <w:tcW w:w="420" w:type="dxa"/>
            <w:vAlign w:val="bottom"/>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420" w:type="dxa"/>
            <w:vAlign w:val="bottom"/>
          </w:tcPr>
          <w:p>
            <w:pPr>
              <w:spacing w:after="0"/>
              <w:rPr>
                <w:sz w:val="21"/>
                <w:szCs w:val="21"/>
                <w:color w:val="auto"/>
              </w:rPr>
            </w:pPr>
          </w:p>
        </w:tc>
        <w:tc>
          <w:tcPr>
            <w:tcW w:w="2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24,915,175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24,444,789</w:t>
            </w:r>
          </w:p>
        </w:tc>
      </w:tr>
      <w:tr>
        <w:trPr>
          <w:trHeight w:val="20"/>
        </w:trPr>
        <w:tc>
          <w:tcPr>
            <w:tcW w:w="4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378"/>
        </w:trPr>
        <w:tc>
          <w:tcPr>
            <w:tcW w:w="4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color w:val="auto"/>
              </w:rPr>
              <w:t>F-63</w:t>
            </w: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135" w:gutter="0" w:footer="0" w:header="0"/>
        </w:sectPr>
      </w:pPr>
    </w:p>
    <w:bookmarkStart w:id="189" w:name="page190"/>
    <w:bookmarkEnd w:id="1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62"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The Company’s income (loss) before provision for income taxes for the years ended December 31, 2021 and 2020 consist of the following:</w:t>
      </w:r>
    </w:p>
    <w:p>
      <w:pPr>
        <w:spacing w:after="0" w:line="164"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18"/>
                <w:szCs w:val="18"/>
                <w:color w:val="auto"/>
              </w:rPr>
            </w:pPr>
          </w:p>
        </w:tc>
      </w:tr>
      <w:tr>
        <w:trPr>
          <w:trHeight w:val="47"/>
        </w:trPr>
        <w:tc>
          <w:tcPr>
            <w:tcW w:w="52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(79,962)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(73,056)</w:t>
            </w:r>
          </w:p>
        </w:tc>
      </w:tr>
      <w:tr>
        <w:trPr>
          <w:trHeight w:val="257"/>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(613)</w:t>
            </w:r>
          </w:p>
        </w:tc>
      </w:tr>
      <w:tr>
        <w:trPr>
          <w:trHeight w:val="27"/>
        </w:trPr>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2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(79,084</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(73,669</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The components of the provision for income taxes for the years ended December 31, 2021 and 2020 consist of the following:</w:t>
      </w:r>
    </w:p>
    <w:p>
      <w:pPr>
        <w:spacing w:after="0" w:line="164" w:lineRule="exact"/>
        <w:rPr>
          <w:sz w:val="20"/>
          <w:szCs w:val="20"/>
          <w:color w:val="auto"/>
        </w:rPr>
      </w:pPr>
    </w:p>
    <w:tbl>
      <w:tblPr>
        <w:tblLayout w:type="fixed"/>
        <w:tblInd w:w="880" w:type="dxa"/>
        <w:tblCellMar>
          <w:top w:w="0" w:type="dxa"/>
          <w:left w:w="0" w:type="dxa"/>
          <w:bottom w:w="0" w:type="dxa"/>
          <w:right w:w="0" w:type="dxa"/>
        </w:tblCellMar>
      </w:tblPr>
      <w:tr>
        <w:trPr>
          <w:trHeight w:val="212"/>
        </w:trPr>
        <w:tc>
          <w:tcPr>
            <w:tcW w:w="5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18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820" w:type="dxa"/>
            <w:vAlign w:val="bottom"/>
            <w:gridSpan w:val="2"/>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1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w:t>
            </w:r>
          </w:p>
        </w:tc>
        <w:tc>
          <w:tcPr>
            <w:tcW w:w="2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18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51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820" w:type="dxa"/>
            <w:vAlign w:val="bottom"/>
            <w:gridSpan w:val="2"/>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6"/>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1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32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Total provision</w:t>
            </w: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1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The Company has incurred net pre-tax losses in the United States only for all periods presented. The Company recorded an income tax expense of $456 and $738 for the years ended December 31, 2021 and 2020, which reflects withholding tax paid on the U.S. books for sales in Korea and estimated 2021 income tax related to foreign subsidiaries.</w:t>
      </w:r>
    </w:p>
    <w:p>
      <w:pPr>
        <w:spacing w:after="0" w:line="99" w:lineRule="exact"/>
        <w:rPr>
          <w:sz w:val="20"/>
          <w:szCs w:val="20"/>
          <w:color w:val="auto"/>
        </w:rPr>
      </w:pPr>
    </w:p>
    <w:p>
      <w:pPr>
        <w:jc w:val="both"/>
        <w:ind w:left="880" w:right="459"/>
        <w:spacing w:after="0" w:line="282" w:lineRule="auto"/>
        <w:rPr>
          <w:sz w:val="20"/>
          <w:szCs w:val="20"/>
          <w:color w:val="auto"/>
        </w:rPr>
      </w:pPr>
      <w:r>
        <w:rPr>
          <w:rFonts w:ascii="Times New Roman" w:cs="Times New Roman" w:eastAsia="Times New Roman" w:hAnsi="Times New Roman"/>
          <w:sz w:val="18"/>
          <w:szCs w:val="18"/>
          <w:color w:val="auto"/>
        </w:rPr>
        <w:t>The benefit from income taxes differs from the amount expected by applying the federal statutory rate to the loss before taxes as follows: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760" w:type="dxa"/>
            <w:vAlign w:val="bottom"/>
            <w:gridSpan w:val="2"/>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Pr>
          <w:p>
            <w:pPr>
              <w:spacing w:after="0"/>
              <w:rPr>
                <w:sz w:val="18"/>
                <w:szCs w:val="18"/>
                <w:color w:val="auto"/>
              </w:rPr>
            </w:pPr>
          </w:p>
        </w:tc>
      </w:tr>
      <w:tr>
        <w:trPr>
          <w:trHeight w:val="46"/>
        </w:trPr>
        <w:tc>
          <w:tcPr>
            <w:tcW w:w="3680" w:type="dxa"/>
            <w:vAlign w:val="bottom"/>
            <w:gridSpan w:val="2"/>
          </w:tcPr>
          <w:p>
            <w:pPr>
              <w:spacing w:after="0"/>
              <w:rPr>
                <w:sz w:val="4"/>
                <w:szCs w:val="4"/>
                <w:color w:val="auto"/>
              </w:rPr>
            </w:pPr>
          </w:p>
        </w:tc>
        <w:tc>
          <w:tcPr>
            <w:tcW w:w="17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44"/>
        </w:trPr>
        <w:tc>
          <w:tcPr>
            <w:tcW w:w="380" w:type="dxa"/>
            <w:vAlign w:val="bottom"/>
          </w:tcPr>
          <w:p>
            <w:pPr>
              <w:spacing w:after="0"/>
              <w:rPr>
                <w:sz w:val="21"/>
                <w:szCs w:val="21"/>
                <w:color w:val="auto"/>
              </w:rPr>
            </w:pPr>
          </w:p>
        </w:tc>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21.00%</w:t>
            </w:r>
          </w:p>
        </w:tc>
      </w:tr>
      <w:tr>
        <w:trPr>
          <w:trHeight w:val="243"/>
        </w:trPr>
        <w:tc>
          <w:tcPr>
            <w:tcW w:w="3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State income tax rate, net of federal benefit</w:t>
            </w:r>
          </w:p>
        </w:tc>
        <w:tc>
          <w:tcPr>
            <w:tcW w:w="30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1"/>
                <w:szCs w:val="21"/>
                <w:color w:val="auto"/>
              </w:rPr>
            </w:pP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r>
      <w:tr>
        <w:trPr>
          <w:trHeight w:val="40"/>
        </w:trPr>
        <w:tc>
          <w:tcPr>
            <w:tcW w:w="3680" w:type="dxa"/>
            <w:vAlign w:val="bottom"/>
            <w:gridSpan w:val="2"/>
          </w:tcPr>
          <w:p>
            <w:pPr>
              <w:spacing w:after="0"/>
              <w:rPr>
                <w:sz w:val="3"/>
                <w:szCs w:val="3"/>
                <w:color w:val="auto"/>
              </w:rPr>
            </w:pPr>
          </w:p>
        </w:tc>
        <w:tc>
          <w:tcPr>
            <w:tcW w:w="1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64"/>
        </w:trPr>
        <w:tc>
          <w:tcPr>
            <w:tcW w:w="380" w:type="dxa"/>
            <w:vAlign w:val="bottom"/>
          </w:tcPr>
          <w:p>
            <w:pPr>
              <w:spacing w:after="0"/>
              <w:rPr>
                <w:sz w:val="22"/>
                <w:szCs w:val="22"/>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withholding and income tax</w:t>
            </w:r>
          </w:p>
        </w:tc>
        <w:tc>
          <w:tcPr>
            <w:tcW w:w="30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r>
      <w:tr>
        <w:trPr>
          <w:trHeight w:val="243"/>
        </w:trPr>
        <w:tc>
          <w:tcPr>
            <w:tcW w:w="3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0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1"/>
                <w:szCs w:val="21"/>
                <w:color w:val="auto"/>
              </w:rPr>
            </w:pP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r>
      <w:tr>
        <w:trPr>
          <w:trHeight w:val="40"/>
        </w:trPr>
        <w:tc>
          <w:tcPr>
            <w:tcW w:w="3680" w:type="dxa"/>
            <w:vAlign w:val="bottom"/>
            <w:gridSpan w:val="2"/>
          </w:tcPr>
          <w:p>
            <w:pPr>
              <w:spacing w:after="0"/>
              <w:rPr>
                <w:sz w:val="3"/>
                <w:szCs w:val="3"/>
                <w:color w:val="auto"/>
              </w:rPr>
            </w:pPr>
          </w:p>
        </w:tc>
        <w:tc>
          <w:tcPr>
            <w:tcW w:w="1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63"/>
        </w:trPr>
        <w:tc>
          <w:tcPr>
            <w:tcW w:w="380" w:type="dxa"/>
            <w:vAlign w:val="bottom"/>
          </w:tcPr>
          <w:p>
            <w:pPr>
              <w:spacing w:after="0"/>
              <w:rPr>
                <w:sz w:val="22"/>
                <w:szCs w:val="22"/>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0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r>
      <w:tr>
        <w:trPr>
          <w:trHeight w:val="243"/>
        </w:trPr>
        <w:tc>
          <w:tcPr>
            <w:tcW w:w="3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40"/>
        </w:trPr>
        <w:tc>
          <w:tcPr>
            <w:tcW w:w="3680" w:type="dxa"/>
            <w:vAlign w:val="bottom"/>
            <w:gridSpan w:val="2"/>
          </w:tcPr>
          <w:p>
            <w:pPr>
              <w:spacing w:after="0"/>
              <w:rPr>
                <w:sz w:val="3"/>
                <w:szCs w:val="3"/>
                <w:color w:val="auto"/>
              </w:rPr>
            </w:pPr>
          </w:p>
        </w:tc>
        <w:tc>
          <w:tcPr>
            <w:tcW w:w="1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64"/>
        </w:trPr>
        <w:tc>
          <w:tcPr>
            <w:tcW w:w="380" w:type="dxa"/>
            <w:vAlign w:val="bottom"/>
          </w:tcPr>
          <w:p>
            <w:pPr>
              <w:spacing w:after="0"/>
              <w:rPr>
                <w:sz w:val="22"/>
                <w:szCs w:val="22"/>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permanent expenses</w:t>
            </w:r>
          </w:p>
        </w:tc>
        <w:tc>
          <w:tcPr>
            <w:tcW w:w="30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56"/>
        </w:trPr>
        <w:tc>
          <w:tcPr>
            <w:tcW w:w="3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7"/>
        </w:trPr>
        <w:tc>
          <w:tcPr>
            <w:tcW w:w="380" w:type="dxa"/>
            <w:vAlign w:val="bottom"/>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r>
      <w:tr>
        <w:trPr>
          <w:trHeight w:val="243"/>
        </w:trPr>
        <w:tc>
          <w:tcPr>
            <w:tcW w:w="38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w:t>
            </w:r>
          </w:p>
        </w:tc>
      </w:tr>
      <w:tr>
        <w:trPr>
          <w:trHeight w:val="20"/>
        </w:trPr>
        <w:tc>
          <w:tcPr>
            <w:tcW w:w="3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79"/>
        </w:trPr>
        <w:tc>
          <w:tcPr>
            <w:tcW w:w="3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color w:val="auto"/>
              </w:rPr>
              <w:t>F-64</w:t>
            </w: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90" w:name="page191"/>
    <w:bookmarkEnd w:id="1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 xml:space="preserve">INCOME TAXES </w:t>
      </w:r>
      <w:r>
        <w:rPr>
          <w:rFonts w:ascii="Times New Roman" w:cs="Times New Roman" w:eastAsia="Times New Roman" w:hAnsi="Times New Roman"/>
          <w:sz w:val="17"/>
          <w:szCs w:val="17"/>
          <w:color w:val="auto"/>
        </w:rPr>
        <w:t>(cont.)</w:t>
      </w:r>
    </w:p>
    <w:p>
      <w:pPr>
        <w:spacing w:after="0" w:line="189"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Deferred income tax reflects the tax effects of temporary differences between the carrying amounts of assets and liabilities for financial reporting purposes and the amounts used for income tax purposes. The categories that give rise to significant components of the deferred tax assets are as follows:</w:t>
      </w:r>
    </w:p>
    <w:p>
      <w:pPr>
        <w:spacing w:after="0" w:line="178"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2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70,808</w:t>
            </w:r>
          </w:p>
        </w:tc>
        <w:tc>
          <w:tcPr>
            <w:tcW w:w="100" w:type="dxa"/>
            <w:vAlign w:val="bottom"/>
          </w:tcPr>
          <w:p>
            <w:pPr>
              <w:spacing w:after="0"/>
              <w:rPr>
                <w:sz w:val="21"/>
                <w:szCs w:val="21"/>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54,527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10,650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and intangible assets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3,662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liability</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rent</w:t>
            </w:r>
          </w:p>
        </w:tc>
        <w:tc>
          <w:tcPr>
            <w:tcW w:w="260" w:type="dxa"/>
            <w:vAlign w:val="bottom"/>
          </w:tcPr>
          <w:p>
            <w:pPr>
              <w:spacing w:after="0"/>
              <w:rPr>
                <w:sz w:val="21"/>
                <w:szCs w:val="21"/>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issuance cost</w:t>
            </w:r>
          </w:p>
        </w:tc>
        <w:tc>
          <w:tcPr>
            <w:tcW w:w="260" w:type="dxa"/>
            <w:vAlign w:val="bottom"/>
          </w:tcPr>
          <w:p>
            <w:pPr>
              <w:spacing w:after="0"/>
              <w:rPr>
                <w:sz w:val="21"/>
                <w:szCs w:val="21"/>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Accruals and reserves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deferred tax assets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91,324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71,120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(86,695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(68,760</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and intangible assets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57"/>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deferred tax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2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tcPr>
          <w:p>
            <w:pPr>
              <w:spacing w:after="0"/>
              <w:rPr>
                <w:sz w:val="21"/>
                <w:szCs w:val="21"/>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Based on available objective evidence, management believes it is more-likely-than-not that the federal and state deferred tax assets will not be fully realized due to the Company’s cumulative losses. Accordingly, the Company has provided a valuation allowance on deferred tax assets in excess of deferred tax liabilities against its federal and state deferred tax assets as of December 31, 2021 and 2020. The valuation allowance increased by $17,934 and by $15,265 for the year ended December 31, 2021 and 2020, respectively.</w:t>
      </w:r>
    </w:p>
    <w:p>
      <w:pPr>
        <w:spacing w:after="0" w:line="106"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The Company is not asserting permanent reinvestment of its unrepatriated foreign earnings under APB23. Management has analyzed the unrepatriated foreign earnings balances and determined that the following balances exist according to U.S. GAAP as of December 31, 2021: $972 in Canada, $0 in China, $5,681 in Germany, $159 in Japan and $0 in Korea. Based on the U.S. income tax treaties with Japan and Germany, the Company is entitled to a reduced 0% withholding rate on dividends from the Japanese and German subsidiaries (respectively). Under the U.S. income tax treaty with Canada, the withholding tax rate on dividends is reduced to 5%. Based on the unrepatriated earnings balance of $972, the effective tax liability is approximately $49. Management deems this amount to be immaterial to the financials.</w:t>
      </w:r>
    </w:p>
    <w:p>
      <w:pPr>
        <w:spacing w:after="0" w:line="124"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As of December 31, 2021, the Company had net operating loss carry forwards of approximately $301,503 and $102,925 available to reduce future taxable income, if any, for both federal and state income tax purposes, respectively. Additionally, as of December 31, 2021, the Company had Germany net operating loss carryforwards of $3,383. The federal and state net operating loss carry forwards will start to expire in 2025 and 2028, respectively, with the exception of $212,867 in federal net operating loss carryforwards, which can be carried forward indefinitely. The Germany net operating losses can be carried forward indefinitely.</w:t>
      </w:r>
    </w:p>
    <w:p>
      <w:pPr>
        <w:spacing w:after="0" w:line="121"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The Company also had federal and state research and development credit carry forwards of approximately $8,900 and $7,993, respectively, at December 31, 2021. The federal credits will expire starting in 2029 if not utilized. State research and development tax credits will carry forward indefinitely.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1" w:name="page192"/>
    <w:bookmarkEnd w:id="1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 xml:space="preserve">INCOME TAXES </w:t>
      </w:r>
      <w:r>
        <w:rPr>
          <w:rFonts w:ascii="Times New Roman" w:cs="Times New Roman" w:eastAsia="Times New Roman" w:hAnsi="Times New Roman"/>
          <w:sz w:val="17"/>
          <w:szCs w:val="17"/>
          <w:color w:val="auto"/>
        </w:rPr>
        <w:t>(cont.)</w:t>
      </w:r>
    </w:p>
    <w:p>
      <w:pPr>
        <w:spacing w:after="0" w:line="189"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and similar state tax laws, if a corporation undergoes an ownership change, the utilization of net operating loss carryforwards and other tax attributes could be subject to an annual limitation. The annual limitation may result in the expiration of the net operating loss carryforwards and credits carryforwards before utilization. The Company has not undertaken a study to determine if ownership change has occurred as defined under IRC Section 382. In the event the Company previously experienced an ownership change, or should experience an ownership change in the future, the amount of net operating losses and research and development credit carryovers, which are reserved by a full deferred tax asset valuation allowance, could be limited and may expire unutilized.</w:t>
      </w:r>
    </w:p>
    <w:p>
      <w:pPr>
        <w:spacing w:after="0" w:line="121" w:lineRule="exact"/>
        <w:rPr>
          <w:sz w:val="20"/>
          <w:szCs w:val="20"/>
          <w:color w:val="auto"/>
        </w:rPr>
      </w:pPr>
    </w:p>
    <w:p>
      <w:pPr>
        <w:jc w:val="both"/>
        <w:ind w:left="880" w:right="479"/>
        <w:spacing w:after="0" w:line="261" w:lineRule="auto"/>
        <w:rPr>
          <w:sz w:val="20"/>
          <w:szCs w:val="20"/>
          <w:color w:val="auto"/>
        </w:rPr>
      </w:pPr>
      <w:r>
        <w:rPr>
          <w:rFonts w:ascii="Times New Roman" w:cs="Times New Roman" w:eastAsia="Times New Roman" w:hAnsi="Times New Roman"/>
          <w:sz w:val="18"/>
          <w:szCs w:val="18"/>
          <w:color w:val="auto"/>
        </w:rPr>
        <w:t>As of December 31, 2021, the Company has not filed its 2019 Germany income tax return. Accordingly, the Company has recognized $474 of interest and penalties expected to be owed with the late filing of the 2019 Germany income tax return, which have been included as other expense in the Company’s statement of operations with its consolidated financial statements.</w:t>
      </w:r>
    </w:p>
    <w:p>
      <w:pPr>
        <w:spacing w:after="0" w:line="99"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The Company’s tax years 2006 to 2021 will remain open for examination by the federal and state authorities for three and four years, respectively, from the date of utilization of any net operating loss credits.</w:t>
      </w:r>
    </w:p>
    <w:p>
      <w:pPr>
        <w:spacing w:after="0" w:line="108"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On March 27, 2020 and December 27, 2020, the United States enacted the Coronavirus Aid, Relief, and Economic Security (CARES) Act and the Consolidated Appropriation Act (CAA), respectively, as a result of the Coronavirus pandemic, which contain among other things, numerous income tax provisions. Some of these tax provisions are expected to be effective retroactively for years ending before the date of enactment. The company has evaluated the current legislation and at this time, does not anticipate the CARES Act or the CCA to have a material impact on its financial statements.</w:t>
      </w:r>
    </w:p>
    <w:p>
      <w:pPr>
        <w:spacing w:after="0" w:line="183"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162"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The Company entered into revenue contracts to perform professional services for certain companies who are also investors in the Company. These companies are holders of either the Company’s common stock or Preferred Stock. The following is financial information on related party transactions as of and for the years ended December 31, 2021:</w:t>
      </w:r>
    </w:p>
    <w:p>
      <w:pPr>
        <w:spacing w:after="0" w:line="14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41275</wp:posOffset>
            </wp:positionV>
            <wp:extent cx="158623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83"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3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320" w:type="dxa"/>
            <w:vAlign w:val="bottom"/>
            <w:tcBorders>
              <w:bottom w:val="single" w:sz="8" w:color="CCEEFF"/>
            </w:tcBorders>
          </w:tcPr>
          <w:p>
            <w:pPr>
              <w:spacing w:after="0"/>
              <w:rPr>
                <w:sz w:val="4"/>
                <w:szCs w:val="4"/>
                <w:color w:val="auto"/>
              </w:rPr>
            </w:pPr>
          </w:p>
        </w:tc>
        <w:tc>
          <w:tcPr>
            <w:tcW w:w="18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0" w:type="dxa"/>
            <w:vAlign w:val="bottom"/>
          </w:tcPr>
          <w:p>
            <w:pPr>
              <w:spacing w:after="0"/>
              <w:rPr>
                <w:sz w:val="24"/>
                <w:szCs w:val="24"/>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3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320" w:type="dxa"/>
            <w:vAlign w:val="bottom"/>
            <w:tcBorders>
              <w:bottom w:val="single" w:sz="8" w:color="CCEEFF"/>
            </w:tcBorders>
          </w:tcPr>
          <w:p>
            <w:pPr>
              <w:spacing w:after="0"/>
              <w:rPr>
                <w:sz w:val="4"/>
                <w:szCs w:val="4"/>
                <w:color w:val="auto"/>
              </w:rPr>
            </w:pPr>
          </w:p>
        </w:tc>
        <w:tc>
          <w:tcPr>
            <w:tcW w:w="18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320" w:type="dxa"/>
            <w:vAlign w:val="bottom"/>
            <w:vMerge w:val="continue"/>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18.</w:t>
        <w:tab/>
        <w:t>SUBSEQUENT EVENTS</w:t>
      </w:r>
    </w:p>
    <w:p>
      <w:pPr>
        <w:spacing w:after="0" w:line="162" w:lineRule="exact"/>
        <w:rPr>
          <w:sz w:val="20"/>
          <w:szCs w:val="20"/>
          <w:color w:val="auto"/>
        </w:rPr>
      </w:pPr>
    </w:p>
    <w:p>
      <w:pPr>
        <w:ind w:left="880" w:right="479"/>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March 9, 2022, the date the consolidated financial statements were issued.</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January 2022, the Company entered into a new office lease agreement for office space in Tokyo, Japan.</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lease commenced on January 1, 2022 and will expire on December 31, 2023.</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2" w:name="page193"/>
    <w:bookmarkEnd w:id="1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48"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is an estimate of the expenses (all of which are to be paid by the registrant) that we may incur in connection with the securities being registered hereby.</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46"/>
        </w:trPr>
        <w:tc>
          <w:tcPr>
            <w:tcW w:w="68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62,383</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8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880" w:right="459" w:hanging="426"/>
        <w:spacing w:after="0" w:line="298" w:lineRule="auto"/>
        <w:tabs>
          <w:tab w:leader="none" w:pos="993"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fees are calculated based on the securities offered and the number of issuances and accordingly cannot be defined at this time.</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As permitted by Section 102 of the Delaware General Corporation Law, we have adopted provisions in our Amended and Restated Certificate of Incorporation and our Amended and Restated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121" w:lineRule="exact"/>
        <w:rPr>
          <w:sz w:val="20"/>
          <w:szCs w:val="20"/>
          <w:color w:val="auto"/>
        </w:rPr>
      </w:pPr>
    </w:p>
    <w:p>
      <w:pPr>
        <w:ind w:left="1300" w:hanging="41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2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5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related to unlawful stock repurchases, redemptions or other distributions or payment of dividends; or</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4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These limitations of liability do not affect the availability of equitable remedies such as injunctive relief or rescission. Our Amended and Restated Certificate of Incorporation also authorizes us to indemnify our officers, directors and other agents to the fullest extent permitted under Delaware law.</w:t>
      </w:r>
    </w:p>
    <w:p>
      <w:pPr>
        <w:spacing w:after="0" w:line="10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As permitted by Section 145 of the Delaware General Corporation Law, our Amended and Restated Bylaws provide that:</w:t>
      </w:r>
    </w:p>
    <w:p>
      <w:pPr>
        <w:spacing w:after="0" w:line="94" w:lineRule="exact"/>
        <w:rPr>
          <w:sz w:val="20"/>
          <w:szCs w:val="20"/>
          <w:color w:val="auto"/>
        </w:rPr>
      </w:pPr>
    </w:p>
    <w:p>
      <w:pPr>
        <w:ind w:left="1320" w:right="459" w:hanging="434"/>
        <w:spacing w:after="0" w:line="282" w:lineRule="auto"/>
        <w:tabs>
          <w:tab w:leader="none" w:pos="15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indemnify our directors, officers and employees to the fullest extent permitted by the Delaware General Corporation Law, subject to limited exceptions;</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advance expenses to our directors, officers and employees in connection with a legal proceeding to the fullest extent permitted by the Delaware General Corporation Law, subject to limited exceptions; and</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provided in our Amended Bylaws are not exclusive.</w:t>
      </w:r>
    </w:p>
    <w:p>
      <w:pPr>
        <w:spacing w:after="0" w:line="15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provide for the indemnification provisions described above and elsewhere herein. We have entered or will enter into, and intend to continue to enter into, separate indemnification agreements with our directors and certain of our officers that may be broader than the specific indemnification provisions contained in the Delaware General Corporation Law. These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3" w:name="page194"/>
    <w:bookmarkEnd w:id="1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indemnification agreements generally require us, among other things, to indemnify our officers and directors against certain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These indemnification provisions and the indemnification agreements may be sufficiently broad to permit indemnification of our officers and directors for liabilities, including reimbursement of expenses incurred, arising under the Securities Act of 1933, as amended, or the Securities Act.</w:t>
      </w:r>
    </w:p>
    <w:p>
      <w:pPr>
        <w:spacing w:after="0" w:line="12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Registrant has purchased and currently intends to maintain insurance on behalf of each and every person who is or was a director or officer of the Registrant against any loss arising from any claim asserted against him or her and incurred by him or her in any such capacity, subject to certain exclusions.</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form of underwriting agreement for this initial public offering provides for indemnification by the underwriters of us and our officers and directors who sign this registration statement for specified liabilities, including matters arising under the Securities Act.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During the past three years, we sold the following shares of common stock without registration under the Securities Act: On January 4, 2021, we issued 2,875,000 shares of common stock to Archimedes Tech SPAC Sponsors LLC, for $25,000 in cash, at a purchase price of approximately $0.009 per share, in connection with our organization, that include up to 375,000 shares subject to forfeiture to the extent that the underwriters’ over-allotment option is not exercised in full or in part, so that the initial stockholders will own 20% (not including the private placement shares and the 350,000 shares held by EarlyBirdCapital described below) of our issued and outstanding shares after this offering. Such shares were issued in connection with our organization pursuant to the exemption from registration contained in Section 4(a)(2) of the Securities Act as the shares were sold to an accredited investor. The shares issued were sold for an aggregate offering price of $25,000 at an average purchase price of approximately $0.009 per share.</w:t>
      </w:r>
    </w:p>
    <w:p>
      <w:pPr>
        <w:spacing w:after="0" w:line="12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January 13, 2021, we also issued an aggregate of 350,000 shares at $0.0001 per share to EarlyBirdCapital and its designees pursuant to the exemption from registration contained in Section 4(a)(2) of the Securities Act as the shares were issued to accredited investors.</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March 15, 2021, simultaneously with the consummation of the IPO, we completed the Private Placement of an aggregate of 390,000 Private Units to the Sponsor and EarlyBirdCapital at a purchase price of $10.00 per Private Unit, generating gross proceeds to the Company of $3,900,000. On March 19, 2021, the underwriters partially exercised the over-allotment option to purchase 1,300,000 Public Units. Simultaneously with the exercise of the over-allotment option, we completed the sale of an aggregate of 26,000 Private Units to the Sponsor and EarlyBirdCapital, at a purchase price of $10.00 per Private Unit, generating gross proceeds to the Company of $260,000. These issuances were made pursuant to the exemption from registration contained in Section 4(a)(2) of the Securities Act.</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April 26, 2022, we consummated the sale of an aggregate of 11,300,000 shares of Class A Common Stock (“PIPE Shares”), for a purchase price of $10.00 per share and an aggregate purchase price of $113,000,000 (the “PIPE Investment”). The PIPE Shares are identical to the shares of Class A Common Stock that were held by the Company’s public stockholders at the time of the closing of our Business Combination, except that the PIPE Shares were not entitled to any redemption rights and were not yet registered with the SEC. The PIPE Shares were not registered under the Securities Act in reliance on the exemption from registration provided by Section 4(a)(2) of the Securities Act and/or Regulation D promulgated thereunder as a transaction by an issuer not involving a public offering without any form of general solicitation or general advertising.</w:t>
      </w:r>
    </w:p>
    <w:p>
      <w:pPr>
        <w:spacing w:after="0" w:line="3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 underwriting discounts or commissions were paid with respect to such sales.</w:t>
      </w:r>
    </w:p>
    <w:p>
      <w:pPr>
        <w:spacing w:after="0" w:line="18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4" w:name="page195"/>
    <w:bookmarkEnd w:id="1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gridSpan w:val="5"/>
          </w:tcPr>
          <w:p>
            <w:pPr>
              <w:ind w:left="92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0" w:type="dxa"/>
            <w:vAlign w:val="bottom"/>
          </w:tcPr>
          <w:p>
            <w:pPr>
              <w:spacing w:after="0"/>
              <w:rPr>
                <w:sz w:val="1"/>
                <w:szCs w:val="1"/>
                <w:color w:val="auto"/>
              </w:rPr>
            </w:pPr>
          </w:p>
        </w:tc>
      </w:tr>
      <w:tr>
        <w:trPr>
          <w:trHeight w:val="46"/>
        </w:trPr>
        <w:tc>
          <w:tcPr>
            <w:tcW w:w="78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17"/>
          </w:tcPr>
          <w:p>
            <w:pPr>
              <w:ind w:left="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c>
          <w:tcPr>
            <w:tcW w:w="0" w:type="dxa"/>
            <w:vAlign w:val="bottom"/>
          </w:tcPr>
          <w:p>
            <w:pPr>
              <w:spacing w:after="0"/>
              <w:rPr>
                <w:sz w:val="1"/>
                <w:szCs w:val="1"/>
                <w:color w:val="auto"/>
              </w:rPr>
            </w:pPr>
          </w:p>
        </w:tc>
      </w:tr>
      <w:tr>
        <w:trPr>
          <w:trHeight w:val="47"/>
        </w:trPr>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68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14"/>
                <w:szCs w:val="14"/>
                <w:color w:val="auto"/>
              </w:rPr>
            </w:pPr>
          </w:p>
        </w:tc>
        <w:tc>
          <w:tcPr>
            <w:tcW w:w="3520" w:type="dxa"/>
            <w:vAlign w:val="bottom"/>
            <w:tcBorders>
              <w:bottom w:val="single" w:sz="8" w:color="0000EE"/>
            </w:tcBorders>
            <w:gridSpan w:val="20"/>
            <w:shd w:val="clear" w:color="auto" w:fill="CCEEFF"/>
          </w:tcPr>
          <w:p>
            <w:pPr>
              <w:spacing w:after="0" w:line="169"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Merger Agreement dated as of November 15,</w:t>
              </w:r>
            </w:hyperlink>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November 16, 2021</w:t>
            </w:r>
          </w:p>
        </w:tc>
        <w:tc>
          <w:tcPr>
            <w:tcW w:w="0" w:type="dxa"/>
            <w:vAlign w:val="bottom"/>
          </w:tcPr>
          <w:p>
            <w:pPr>
              <w:spacing w:after="0"/>
              <w:rPr>
                <w:sz w:val="1"/>
                <w:szCs w:val="1"/>
                <w:color w:val="auto"/>
              </w:rPr>
            </w:pPr>
          </w:p>
        </w:tc>
      </w:tr>
      <w:tr>
        <w:trPr>
          <w:trHeight w:val="196"/>
        </w:trPr>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520" w:type="dxa"/>
            <w:vAlign w:val="bottom"/>
            <w:tcBorders>
              <w:bottom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2021 by and among Archimedes Tech SPAC</w:t>
              </w:r>
            </w:hyperlink>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520" w:type="dxa"/>
            <w:vAlign w:val="bottom"/>
            <w:tcBorders>
              <w:bottom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Partners Co., ATSPC Merger Sub, Inc. and</w:t>
              </w:r>
            </w:hyperlink>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2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SoundHound, Inc.</w:t>
              </w:r>
            </w:hyperlink>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6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5"/>
                <w:szCs w:val="15"/>
                <w:color w:val="auto"/>
              </w:rPr>
            </w:pPr>
          </w:p>
        </w:tc>
        <w:tc>
          <w:tcPr>
            <w:tcW w:w="3520" w:type="dxa"/>
            <w:vAlign w:val="bottom"/>
            <w:tcBorders>
              <w:bottom w:val="single" w:sz="8" w:color="0000EE"/>
            </w:tcBorders>
            <w:gridSpan w:val="20"/>
          </w:tcPr>
          <w:p>
            <w:pPr>
              <w:spacing w:after="0" w:line="17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Second Amended and Restated Certificate of</w:t>
              </w:r>
            </w:hyperlink>
          </w:p>
        </w:tc>
        <w:tc>
          <w:tcPr>
            <w:tcW w:w="100" w:type="dxa"/>
            <w:vAlign w:val="bottom"/>
            <w:gridSpan w:val="2"/>
          </w:tcPr>
          <w:p>
            <w:pPr>
              <w:spacing w:after="0"/>
              <w:rPr>
                <w:sz w:val="15"/>
                <w:szCs w:val="15"/>
                <w:color w:val="auto"/>
              </w:rPr>
            </w:pPr>
          </w:p>
        </w:tc>
        <w:tc>
          <w:tcPr>
            <w:tcW w:w="13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2, 2022</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20" w:type="dxa"/>
            <w:vAlign w:val="bottom"/>
            <w:gridSpan w:val="22"/>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Incorporation of SoundHound AI, Inc.</w:t>
              </w:r>
            </w:hyperlink>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6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15"/>
                <w:szCs w:val="15"/>
                <w:color w:val="auto"/>
              </w:rPr>
            </w:pPr>
          </w:p>
        </w:tc>
        <w:tc>
          <w:tcPr>
            <w:tcW w:w="352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Amended and Restated Bylaws of SoundHound</w:t>
              </w:r>
            </w:hyperlink>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2, 2022</w:t>
            </w:r>
          </w:p>
        </w:tc>
        <w:tc>
          <w:tcPr>
            <w:tcW w:w="0" w:type="dxa"/>
            <w:vAlign w:val="bottom"/>
          </w:tcPr>
          <w:p>
            <w:pPr>
              <w:spacing w:after="0"/>
              <w:rPr>
                <w:sz w:val="1"/>
                <w:szCs w:val="1"/>
                <w:color w:val="auto"/>
              </w:rPr>
            </w:pPr>
          </w:p>
        </w:tc>
      </w:tr>
      <w:tr>
        <w:trPr>
          <w:trHeight w:val="196"/>
        </w:trPr>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2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AI, Inc.</w:t>
              </w:r>
            </w:hyperlink>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6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5"/>
                <w:szCs w:val="15"/>
                <w:color w:val="auto"/>
              </w:rPr>
            </w:pPr>
          </w:p>
        </w:tc>
        <w:tc>
          <w:tcPr>
            <w:tcW w:w="3620" w:type="dxa"/>
            <w:vAlign w:val="bottom"/>
            <w:gridSpan w:val="22"/>
          </w:tcPr>
          <w:p>
            <w:pPr>
              <w:spacing w:after="0" w:line="17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Amended and Restated Warrant Agreement.</w:t>
              </w:r>
            </w:hyperlink>
          </w:p>
        </w:tc>
        <w:tc>
          <w:tcPr>
            <w:tcW w:w="13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2, 2022</w:t>
            </w:r>
          </w:p>
        </w:tc>
        <w:tc>
          <w:tcPr>
            <w:tcW w:w="0" w:type="dxa"/>
            <w:vAlign w:val="bottom"/>
          </w:tcPr>
          <w:p>
            <w:pPr>
              <w:spacing w:after="0"/>
              <w:rPr>
                <w:sz w:val="1"/>
                <w:szCs w:val="1"/>
                <w:color w:val="auto"/>
              </w:rPr>
            </w:pPr>
          </w:p>
        </w:tc>
      </w:tr>
      <w:tr>
        <w:trPr>
          <w:trHeight w:val="88"/>
        </w:trPr>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80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6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15"/>
                <w:szCs w:val="15"/>
                <w:color w:val="auto"/>
              </w:rPr>
            </w:pPr>
          </w:p>
        </w:tc>
        <w:tc>
          <w:tcPr>
            <w:tcW w:w="352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Specimen Class A Common Stock</w:t>
            </w:r>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20" w:type="dxa"/>
            <w:vAlign w:val="bottom"/>
            <w:gridSpan w:val="2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Certificate</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6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5"/>
                <w:szCs w:val="15"/>
                <w:color w:val="auto"/>
              </w:rPr>
            </w:pPr>
          </w:p>
        </w:tc>
        <w:tc>
          <w:tcPr>
            <w:tcW w:w="36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Form of Specimen Warrant Certificate</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80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5"/>
                <w:szCs w:val="15"/>
                <w:color w:val="auto"/>
              </w:rPr>
            </w:pPr>
          </w:p>
        </w:tc>
        <w:tc>
          <w:tcPr>
            <w:tcW w:w="362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Amended and Restated Warrant Agreement</w:t>
              </w:r>
            </w:hyperlink>
          </w:p>
        </w:tc>
        <w:tc>
          <w:tcPr>
            <w:tcW w:w="136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2, 2022</w:t>
            </w:r>
          </w:p>
        </w:tc>
        <w:tc>
          <w:tcPr>
            <w:tcW w:w="0" w:type="dxa"/>
            <w:vAlign w:val="bottom"/>
          </w:tcPr>
          <w:p>
            <w:pPr>
              <w:spacing w:after="0"/>
              <w:rPr>
                <w:sz w:val="1"/>
                <w:szCs w:val="1"/>
                <w:color w:val="auto"/>
              </w:rPr>
            </w:pPr>
          </w:p>
        </w:tc>
      </w:tr>
      <w:tr>
        <w:trPr>
          <w:trHeight w:val="88"/>
        </w:trPr>
        <w:tc>
          <w:tcPr>
            <w:tcW w:w="6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30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0000EE"/>
            </w:tcBorders>
            <w:shd w:val="clear" w:color="auto" w:fill="CCEEFF"/>
          </w:tcPr>
          <w:p>
            <w:pPr>
              <w:spacing w:after="0"/>
              <w:rPr>
                <w:sz w:val="7"/>
                <w:szCs w:val="7"/>
                <w:color w:val="auto"/>
              </w:rPr>
            </w:pPr>
          </w:p>
        </w:tc>
        <w:tc>
          <w:tcPr>
            <w:tcW w:w="80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14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5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36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Opinion of Ellenoff Grossman &amp; Schole LLP</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5"/>
                <w:szCs w:val="15"/>
                <w:color w:val="auto"/>
              </w:rPr>
            </w:pPr>
          </w:p>
        </w:tc>
        <w:tc>
          <w:tcPr>
            <w:tcW w:w="362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Form of PIPE Subscription Agreement.</w:t>
              </w:r>
            </w:hyperlink>
          </w:p>
        </w:tc>
        <w:tc>
          <w:tcPr>
            <w:tcW w:w="136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November 16, 2021</w:t>
            </w:r>
          </w:p>
        </w:tc>
        <w:tc>
          <w:tcPr>
            <w:tcW w:w="0" w:type="dxa"/>
            <w:vAlign w:val="bottom"/>
          </w:tcPr>
          <w:p>
            <w:pPr>
              <w:spacing w:after="0"/>
              <w:rPr>
                <w:sz w:val="1"/>
                <w:szCs w:val="1"/>
                <w:color w:val="auto"/>
              </w:rPr>
            </w:pPr>
          </w:p>
        </w:tc>
      </w:tr>
      <w:tr>
        <w:trPr>
          <w:trHeight w:val="88"/>
        </w:trPr>
        <w:tc>
          <w:tcPr>
            <w:tcW w:w="6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30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0000EE"/>
            </w:tcBorders>
            <w:shd w:val="clear" w:color="auto" w:fill="CCEEFF"/>
          </w:tcPr>
          <w:p>
            <w:pPr>
              <w:spacing w:after="0"/>
              <w:rPr>
                <w:sz w:val="7"/>
                <w:szCs w:val="7"/>
                <w:color w:val="auto"/>
              </w:rPr>
            </w:pPr>
          </w:p>
        </w:tc>
        <w:tc>
          <w:tcPr>
            <w:tcW w:w="80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5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5"/>
                <w:szCs w:val="15"/>
                <w:color w:val="auto"/>
              </w:rPr>
            </w:pPr>
          </w:p>
        </w:tc>
        <w:tc>
          <w:tcPr>
            <w:tcW w:w="3620" w:type="dxa"/>
            <w:vAlign w:val="bottom"/>
            <w:gridSpan w:val="22"/>
          </w:tcPr>
          <w:p>
            <w:pPr>
              <w:spacing w:after="0" w:line="17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Form of Lock-Up Agreement.</w:t>
              </w:r>
            </w:hyperlink>
          </w:p>
        </w:tc>
        <w:tc>
          <w:tcPr>
            <w:tcW w:w="13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10.4</w:t>
            </w:r>
          </w:p>
        </w:tc>
        <w:tc>
          <w:tcPr>
            <w:tcW w:w="10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November 16, 2021</w:t>
            </w:r>
          </w:p>
        </w:tc>
        <w:tc>
          <w:tcPr>
            <w:tcW w:w="0" w:type="dxa"/>
            <w:vAlign w:val="bottom"/>
          </w:tcPr>
          <w:p>
            <w:pPr>
              <w:spacing w:after="0"/>
              <w:rPr>
                <w:sz w:val="1"/>
                <w:szCs w:val="1"/>
                <w:color w:val="auto"/>
              </w:rPr>
            </w:pPr>
          </w:p>
        </w:tc>
      </w:tr>
      <w:tr>
        <w:trPr>
          <w:trHeight w:val="88"/>
        </w:trPr>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80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6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15"/>
                <w:szCs w:val="15"/>
                <w:color w:val="auto"/>
              </w:rPr>
            </w:pPr>
          </w:p>
        </w:tc>
        <w:tc>
          <w:tcPr>
            <w:tcW w:w="352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Amended  and  Restated  Registration  Rights</w:t>
            </w:r>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520" w:type="dxa"/>
            <w:vAlign w:val="bottom"/>
            <w:tcBorders>
              <w:bottom w:val="single" w:sz="8" w:color="0000EE"/>
            </w:tcBorders>
            <w:gridSpan w:val="2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Agreement,  dated  April  26,  2022,  by  and</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520" w:type="dxa"/>
            <w:vAlign w:val="bottom"/>
            <w:tcBorders>
              <w:bottom w:val="single" w:sz="8" w:color="0000EE"/>
            </w:tcBorders>
            <w:gridSpan w:val="2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between  SoundHound  AI,  Inc.  and  certain</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20" w:type="dxa"/>
            <w:vAlign w:val="bottom"/>
            <w:gridSpan w:val="2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stockholders of SoundHound AI, Inc.</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6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5"/>
                <w:szCs w:val="15"/>
                <w:color w:val="auto"/>
              </w:rPr>
            </w:pPr>
          </w:p>
        </w:tc>
        <w:tc>
          <w:tcPr>
            <w:tcW w:w="3620" w:type="dxa"/>
            <w:vAlign w:val="bottom"/>
            <w:gridSpan w:val="22"/>
          </w:tcPr>
          <w:p>
            <w:pPr>
              <w:spacing w:after="0" w:line="17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SoundHound AI, Inc. 2022 Incentive Award</w:t>
              </w:r>
            </w:hyperlink>
          </w:p>
        </w:tc>
        <w:tc>
          <w:tcPr>
            <w:tcW w:w="13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Proxy Statement</w:t>
            </w:r>
          </w:p>
        </w:tc>
        <w:tc>
          <w:tcPr>
            <w:tcW w:w="8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Annex D</w:t>
            </w:r>
          </w:p>
        </w:tc>
        <w:tc>
          <w:tcPr>
            <w:tcW w:w="1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April 8, 2022</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0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Plan.</w:t>
              </w:r>
            </w:hyperlink>
          </w:p>
        </w:tc>
        <w:tc>
          <w:tcPr>
            <w:tcW w:w="120" w:type="dxa"/>
            <w:vAlign w:val="bottom"/>
            <w:gridSpan w:val="3"/>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6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15"/>
                <w:szCs w:val="15"/>
                <w:color w:val="auto"/>
              </w:rPr>
            </w:pPr>
          </w:p>
        </w:tc>
        <w:tc>
          <w:tcPr>
            <w:tcW w:w="352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SoundHound AI, Inc. 2022 Employee Stock</w:t>
              </w:r>
            </w:hyperlink>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Proxy Statement</w:t>
            </w:r>
          </w:p>
        </w:tc>
        <w:tc>
          <w:tcPr>
            <w:tcW w:w="84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7"/>
              </w:rPr>
              <w:t>Annex E</w:t>
            </w:r>
          </w:p>
        </w:tc>
        <w:tc>
          <w:tcPr>
            <w:tcW w:w="15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April 8, 2022</w:t>
            </w:r>
          </w:p>
        </w:tc>
        <w:tc>
          <w:tcPr>
            <w:tcW w:w="0" w:type="dxa"/>
            <w:vAlign w:val="bottom"/>
          </w:tcPr>
          <w:p>
            <w:pPr>
              <w:spacing w:after="0"/>
              <w:rPr>
                <w:sz w:val="1"/>
                <w:szCs w:val="1"/>
                <w:color w:val="auto"/>
              </w:rPr>
            </w:pPr>
          </w:p>
        </w:tc>
      </w:tr>
      <w:tr>
        <w:trPr>
          <w:trHeight w:val="196"/>
        </w:trPr>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2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Purchase Plan.</w:t>
              </w:r>
            </w:hyperlink>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6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5"/>
                <w:szCs w:val="15"/>
                <w:color w:val="auto"/>
              </w:rPr>
            </w:pPr>
          </w:p>
        </w:tc>
        <w:tc>
          <w:tcPr>
            <w:tcW w:w="3620" w:type="dxa"/>
            <w:vAlign w:val="bottom"/>
            <w:gridSpan w:val="22"/>
          </w:tcPr>
          <w:p>
            <w:pPr>
              <w:spacing w:after="0" w:line="17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Form of Restricted Stock Unit Agreement.</w:t>
              </w:r>
            </w:hyperlink>
          </w:p>
        </w:tc>
        <w:tc>
          <w:tcPr>
            <w:tcW w:w="13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10.8</w:t>
            </w:r>
          </w:p>
        </w:tc>
        <w:tc>
          <w:tcPr>
            <w:tcW w:w="10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2, 2022</w:t>
            </w:r>
          </w:p>
        </w:tc>
        <w:tc>
          <w:tcPr>
            <w:tcW w:w="0" w:type="dxa"/>
            <w:vAlign w:val="bottom"/>
          </w:tcPr>
          <w:p>
            <w:pPr>
              <w:spacing w:after="0"/>
              <w:rPr>
                <w:sz w:val="1"/>
                <w:szCs w:val="1"/>
                <w:color w:val="auto"/>
              </w:rPr>
            </w:pPr>
          </w:p>
        </w:tc>
      </w:tr>
      <w:tr>
        <w:trPr>
          <w:trHeight w:val="88"/>
        </w:trPr>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80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5"/>
                <w:szCs w:val="15"/>
                <w:color w:val="auto"/>
              </w:rPr>
            </w:pPr>
          </w:p>
        </w:tc>
        <w:tc>
          <w:tcPr>
            <w:tcW w:w="362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Form of Stock Option Award Agreement.</w:t>
              </w:r>
            </w:hyperlink>
          </w:p>
        </w:tc>
        <w:tc>
          <w:tcPr>
            <w:tcW w:w="136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10.9</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2, 2022</w:t>
            </w:r>
          </w:p>
        </w:tc>
        <w:tc>
          <w:tcPr>
            <w:tcW w:w="0" w:type="dxa"/>
            <w:vAlign w:val="bottom"/>
          </w:tcPr>
          <w:p>
            <w:pPr>
              <w:spacing w:after="0"/>
              <w:rPr>
                <w:sz w:val="1"/>
                <w:szCs w:val="1"/>
                <w:color w:val="auto"/>
              </w:rPr>
            </w:pPr>
          </w:p>
        </w:tc>
      </w:tr>
      <w:tr>
        <w:trPr>
          <w:trHeight w:val="88"/>
        </w:trPr>
        <w:tc>
          <w:tcPr>
            <w:tcW w:w="6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30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0000EE"/>
            </w:tcBorders>
            <w:shd w:val="clear" w:color="auto" w:fill="CCEEFF"/>
          </w:tcPr>
          <w:p>
            <w:pPr>
              <w:spacing w:after="0"/>
              <w:rPr>
                <w:sz w:val="7"/>
                <w:szCs w:val="7"/>
                <w:color w:val="auto"/>
              </w:rPr>
            </w:pPr>
          </w:p>
        </w:tc>
        <w:tc>
          <w:tcPr>
            <w:tcW w:w="80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14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5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5"/>
                <w:szCs w:val="15"/>
                <w:color w:val="auto"/>
              </w:rPr>
            </w:pPr>
          </w:p>
        </w:tc>
        <w:tc>
          <w:tcPr>
            <w:tcW w:w="3620" w:type="dxa"/>
            <w:vAlign w:val="bottom"/>
            <w:gridSpan w:val="22"/>
          </w:tcPr>
          <w:p>
            <w:pPr>
              <w:spacing w:after="0" w:line="17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Form of Indemnity Agreement.</w:t>
              </w:r>
            </w:hyperlink>
          </w:p>
        </w:tc>
        <w:tc>
          <w:tcPr>
            <w:tcW w:w="13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2, 2022</w:t>
            </w:r>
          </w:p>
        </w:tc>
        <w:tc>
          <w:tcPr>
            <w:tcW w:w="0" w:type="dxa"/>
            <w:vAlign w:val="bottom"/>
          </w:tcPr>
          <w:p>
            <w:pPr>
              <w:spacing w:after="0"/>
              <w:rPr>
                <w:sz w:val="1"/>
                <w:szCs w:val="1"/>
                <w:color w:val="auto"/>
              </w:rPr>
            </w:pPr>
          </w:p>
        </w:tc>
      </w:tr>
      <w:tr>
        <w:trPr>
          <w:trHeight w:val="88"/>
        </w:trPr>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80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5"/>
                <w:szCs w:val="15"/>
                <w:color w:val="auto"/>
              </w:rPr>
            </w:pPr>
          </w:p>
        </w:tc>
        <w:tc>
          <w:tcPr>
            <w:tcW w:w="362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Subsidiaries of the Company.</w:t>
              </w:r>
            </w:hyperlink>
          </w:p>
        </w:tc>
        <w:tc>
          <w:tcPr>
            <w:tcW w:w="136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21.1</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2, 2022</w:t>
            </w:r>
          </w:p>
        </w:tc>
        <w:tc>
          <w:tcPr>
            <w:tcW w:w="0" w:type="dxa"/>
            <w:vAlign w:val="bottom"/>
          </w:tcPr>
          <w:p>
            <w:pPr>
              <w:spacing w:after="0"/>
              <w:rPr>
                <w:sz w:val="1"/>
                <w:szCs w:val="1"/>
                <w:color w:val="auto"/>
              </w:rPr>
            </w:pPr>
          </w:p>
        </w:tc>
      </w:tr>
      <w:tr>
        <w:trPr>
          <w:trHeight w:val="88"/>
        </w:trPr>
        <w:tc>
          <w:tcPr>
            <w:tcW w:w="6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30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0000EE"/>
            </w:tcBorders>
            <w:shd w:val="clear" w:color="auto" w:fill="CCEEFF"/>
          </w:tcPr>
          <w:p>
            <w:pPr>
              <w:spacing w:after="0"/>
              <w:rPr>
                <w:sz w:val="7"/>
                <w:szCs w:val="7"/>
                <w:color w:val="auto"/>
              </w:rPr>
            </w:pPr>
          </w:p>
        </w:tc>
        <w:tc>
          <w:tcPr>
            <w:tcW w:w="80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5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5"/>
                <w:szCs w:val="15"/>
                <w:color w:val="auto"/>
              </w:rPr>
            </w:pPr>
          </w:p>
        </w:tc>
        <w:tc>
          <w:tcPr>
            <w:tcW w:w="36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Consent of UHY LLP dated May 16, 2022.</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80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5"/>
                <w:szCs w:val="15"/>
                <w:color w:val="auto"/>
              </w:rPr>
            </w:pPr>
          </w:p>
        </w:tc>
        <w:tc>
          <w:tcPr>
            <w:tcW w:w="36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Armanino LLP dated May 16, 2022.</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6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30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0000EE"/>
            </w:tcBorders>
            <w:shd w:val="clear" w:color="auto" w:fill="CCEEFF"/>
          </w:tcPr>
          <w:p>
            <w:pPr>
              <w:spacing w:after="0"/>
              <w:rPr>
                <w:sz w:val="7"/>
                <w:szCs w:val="7"/>
                <w:color w:val="auto"/>
              </w:rPr>
            </w:pPr>
          </w:p>
        </w:tc>
        <w:tc>
          <w:tcPr>
            <w:tcW w:w="80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14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28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5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5"/>
                <w:szCs w:val="15"/>
                <w:color w:val="auto"/>
              </w:rPr>
            </w:pPr>
          </w:p>
        </w:tc>
        <w:tc>
          <w:tcPr>
            <w:tcW w:w="3620" w:type="dxa"/>
            <w:vAlign w:val="bottom"/>
            <w:gridSpan w:val="22"/>
          </w:tcPr>
          <w:p>
            <w:pPr>
              <w:spacing w:after="0" w:line="17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Press Release, dated April 27, 2022.</w:t>
              </w:r>
            </w:hyperlink>
          </w:p>
        </w:tc>
        <w:tc>
          <w:tcPr>
            <w:tcW w:w="13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99.1</w:t>
            </w:r>
          </w:p>
        </w:tc>
        <w:tc>
          <w:tcPr>
            <w:tcW w:w="10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2, 2022</w:t>
            </w:r>
          </w:p>
        </w:tc>
        <w:tc>
          <w:tcPr>
            <w:tcW w:w="0" w:type="dxa"/>
            <w:vAlign w:val="bottom"/>
          </w:tcPr>
          <w:p>
            <w:pPr>
              <w:spacing w:after="0"/>
              <w:rPr>
                <w:sz w:val="1"/>
                <w:szCs w:val="1"/>
                <w:color w:val="auto"/>
              </w:rPr>
            </w:pPr>
          </w:p>
        </w:tc>
      </w:tr>
      <w:tr>
        <w:trPr>
          <w:trHeight w:val="88"/>
        </w:trPr>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80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6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00" w:type="dxa"/>
            <w:vAlign w:val="bottom"/>
            <w:tcBorders>
              <w:bottom w:val="single" w:sz="8" w:color="CCEEFF"/>
            </w:tcBorders>
            <w:shd w:val="clear" w:color="auto" w:fill="CCEEFF"/>
          </w:tcPr>
          <w:p>
            <w:pPr>
              <w:spacing w:after="0"/>
              <w:rPr>
                <w:sz w:val="15"/>
                <w:szCs w:val="15"/>
                <w:color w:val="auto"/>
              </w:rPr>
            </w:pPr>
          </w:p>
        </w:tc>
        <w:tc>
          <w:tcPr>
            <w:tcW w:w="352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Unaudited  Pro  Forma  Condensed  Combined</w:t>
              </w:r>
            </w:hyperlink>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99.2</w:t>
            </w: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2, 2022</w:t>
            </w:r>
          </w:p>
        </w:tc>
        <w:tc>
          <w:tcPr>
            <w:tcW w:w="0" w:type="dxa"/>
            <w:vAlign w:val="bottom"/>
          </w:tcPr>
          <w:p>
            <w:pPr>
              <w:spacing w:after="0"/>
              <w:rPr>
                <w:sz w:val="1"/>
                <w:szCs w:val="1"/>
                <w:color w:val="auto"/>
              </w:rPr>
            </w:pPr>
          </w:p>
        </w:tc>
      </w:tr>
      <w:tr>
        <w:trPr>
          <w:trHeight w:val="196"/>
        </w:trPr>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2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Financial Statements of the Company.</w:t>
              </w:r>
            </w:hyperlink>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6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36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7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101.SCH</w:t>
            </w:r>
          </w:p>
        </w:tc>
        <w:tc>
          <w:tcPr>
            <w:tcW w:w="3620" w:type="dxa"/>
            <w:vAlign w:val="bottom"/>
            <w:gridSpan w:val="2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  Extension  Schema</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7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101.CAL</w:t>
            </w:r>
          </w:p>
        </w:tc>
        <w:tc>
          <w:tcPr>
            <w:tcW w:w="3620" w:type="dxa"/>
            <w:vAlign w:val="bottom"/>
            <w:gridSpan w:val="22"/>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 Extension Calculation</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7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101.DEF</w:t>
            </w:r>
          </w:p>
        </w:tc>
        <w:tc>
          <w:tcPr>
            <w:tcW w:w="3620" w:type="dxa"/>
            <w:vAlign w:val="bottom"/>
            <w:gridSpan w:val="2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 Extension Definition</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7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101.LAB</w:t>
            </w:r>
          </w:p>
        </w:tc>
        <w:tc>
          <w:tcPr>
            <w:tcW w:w="3620" w:type="dxa"/>
            <w:vAlign w:val="bottom"/>
            <w:gridSpan w:val="22"/>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  Extension  Label</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7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101.PRE</w:t>
            </w:r>
          </w:p>
        </w:tc>
        <w:tc>
          <w:tcPr>
            <w:tcW w:w="3620" w:type="dxa"/>
            <w:vAlign w:val="bottom"/>
            <w:gridSpan w:val="2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ind w:left="1240" w:right="4259" w:hanging="786"/>
        <w:spacing w:after="0" w:line="260" w:lineRule="auto"/>
        <w:tabs>
          <w:tab w:leader="none" w:pos="12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6" w:lineRule="exact"/>
        <w:rPr>
          <w:sz w:val="20"/>
          <w:szCs w:val="20"/>
          <w:color w:val="auto"/>
        </w:rPr>
      </w:pPr>
    </w:p>
    <w:p>
      <w:pPr>
        <w:ind w:left="460"/>
        <w:spacing w:after="0"/>
        <w:tabs>
          <w:tab w:leader="none" w:pos="122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Calculation of Filing Fees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43500" cy="1803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or furnished herewith.</w:t>
      </w:r>
    </w:p>
    <w:p>
      <w:pPr>
        <w:spacing w:after="0" w:line="26" w:lineRule="exact"/>
        <w:rPr>
          <w:sz w:val="20"/>
          <w:szCs w:val="20"/>
          <w:color w:val="auto"/>
        </w:rPr>
      </w:pPr>
    </w:p>
    <w:p>
      <w:pPr>
        <w:ind w:left="880" w:right="479" w:hanging="426"/>
        <w:spacing w:after="0" w:line="264" w:lineRule="auto"/>
        <w:tabs>
          <w:tab w:leader="none" w:pos="868"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agrees to furnish supplementally to the SEC a copy of any omitted schedule or exhibit upon the request of the SEC in accordance with Item 601(b)(2) of Regulation S-K.</w:t>
      </w:r>
    </w:p>
    <w:p>
      <w:pPr>
        <w:ind w:left="460" w:right="4239" w:hanging="6"/>
        <w:spacing w:after="0" w:line="288" w:lineRule="auto"/>
        <w:tabs>
          <w:tab w:leader="none" w:pos="865"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or compensatory plan or arrangement. ** To be filed by amendment.</w:t>
      </w:r>
    </w:p>
    <w:p>
      <w:pPr>
        <w:sectPr>
          <w:pgSz w:w="11900" w:h="16838" w:orient="portrait"/>
          <w:cols w:equalWidth="0" w:num="1">
            <w:col w:w="9019"/>
          </w:cols>
          <w:pgMar w:left="1440" w:top="270" w:right="1440" w:bottom="1149"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149" w:gutter="0" w:footer="0" w:header="0"/>
          <w:type w:val="continuous"/>
        </w:sectPr>
      </w:pPr>
    </w:p>
    <w:bookmarkStart w:id="195" w:name="page196"/>
    <w:bookmarkEnd w:id="1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58" w:lineRule="exact"/>
        <w:rPr>
          <w:sz w:val="20"/>
          <w:szCs w:val="20"/>
          <w:color w:val="auto"/>
        </w:rPr>
      </w:pPr>
    </w:p>
    <w:p>
      <w:pPr>
        <w:ind w:left="1320" w:right="479" w:hanging="434"/>
        <w:spacing w:after="0" w:line="282" w:lineRule="auto"/>
        <w:tabs>
          <w:tab w:leader="none" w:pos="136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94" w:lineRule="exact"/>
        <w:rPr>
          <w:rFonts w:ascii="Times New Roman" w:cs="Times New Roman" w:eastAsia="Times New Roman" w:hAnsi="Times New Roman"/>
          <w:sz w:val="18"/>
          <w:szCs w:val="18"/>
          <w:color w:val="auto"/>
        </w:rPr>
      </w:pPr>
    </w:p>
    <w:p>
      <w:pPr>
        <w:ind w:left="1700" w:hanging="382"/>
        <w:spacing w:after="0"/>
        <w:tabs>
          <w:tab w:leader="none" w:pos="17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44" w:lineRule="exact"/>
        <w:rPr>
          <w:rFonts w:ascii="Times New Roman" w:cs="Times New Roman" w:eastAsia="Times New Roman" w:hAnsi="Times New Roman"/>
          <w:sz w:val="18"/>
          <w:szCs w:val="18"/>
          <w:color w:val="auto"/>
        </w:rPr>
      </w:pPr>
    </w:p>
    <w:p>
      <w:pPr>
        <w:jc w:val="both"/>
        <w:ind w:left="1760" w:right="459" w:hanging="442"/>
        <w:spacing w:after="0" w:line="253" w:lineRule="auto"/>
        <w:tabs>
          <w:tab w:leader="none" w:pos="1901"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26"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798"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5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9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8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liability under the Securities Act of 1933 to any purchaser:</w:t>
      </w:r>
    </w:p>
    <w:p>
      <w:pPr>
        <w:spacing w:after="0" w:line="157" w:lineRule="exact"/>
        <w:rPr>
          <w:rFonts w:ascii="Times New Roman" w:cs="Times New Roman" w:eastAsia="Times New Roman" w:hAnsi="Times New Roman"/>
          <w:sz w:val="18"/>
          <w:szCs w:val="18"/>
          <w:color w:val="auto"/>
        </w:rPr>
      </w:pPr>
    </w:p>
    <w:p>
      <w:pPr>
        <w:ind w:left="1720" w:hanging="402"/>
        <w:spacing w:after="0"/>
        <w:tabs>
          <w:tab w:leader="none" w:pos="172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relying on Rule 430B:</w:t>
      </w:r>
    </w:p>
    <w:p>
      <w:pPr>
        <w:spacing w:after="0" w:line="144" w:lineRule="exact"/>
        <w:rPr>
          <w:rFonts w:ascii="Times New Roman" w:cs="Times New Roman" w:eastAsia="Times New Roman" w:hAnsi="Times New Roman"/>
          <w:sz w:val="18"/>
          <w:szCs w:val="18"/>
          <w:color w:val="auto"/>
        </w:rPr>
      </w:pPr>
    </w:p>
    <w:p>
      <w:pPr>
        <w:jc w:val="both"/>
        <w:ind w:left="2180" w:right="459" w:hanging="430"/>
        <w:spacing w:after="0" w:line="266" w:lineRule="auto"/>
        <w:tabs>
          <w:tab w:leader="none" w:pos="2183"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8" w:lineRule="exact"/>
        <w:rPr>
          <w:rFonts w:ascii="Times New Roman" w:cs="Times New Roman" w:eastAsia="Times New Roman" w:hAnsi="Times New Roman"/>
          <w:sz w:val="18"/>
          <w:szCs w:val="18"/>
          <w:color w:val="auto"/>
        </w:rPr>
      </w:pPr>
    </w:p>
    <w:p>
      <w:pPr>
        <w:jc w:val="both"/>
        <w:ind w:left="2180" w:right="459" w:hanging="430"/>
        <w:spacing w:after="0" w:line="252" w:lineRule="auto"/>
        <w:tabs>
          <w:tab w:leader="none" w:pos="2162"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6" w:name="page197"/>
    <w:bookmarkEnd w:id="1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760" w:right="459" w:hanging="442"/>
        <w:spacing w:after="0" w:line="253" w:lineRule="auto"/>
        <w:tabs>
          <w:tab w:leader="none" w:pos="1749"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7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determining liability under the Securities Act of 1933 to any purchaser in the initial distributions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19"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29"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80" w:lineRule="exact"/>
        <w:rPr>
          <w:rFonts w:ascii="Times New Roman" w:cs="Times New Roman" w:eastAsia="Times New Roman" w:hAnsi="Times New Roman"/>
          <w:sz w:val="18"/>
          <w:szCs w:val="18"/>
          <w:color w:val="auto"/>
        </w:rPr>
      </w:pPr>
    </w:p>
    <w:p>
      <w:pPr>
        <w:ind w:left="1760" w:right="459" w:hanging="442"/>
        <w:spacing w:after="0" w:line="282" w:lineRule="auto"/>
        <w:tabs>
          <w:tab w:leader="none" w:pos="1916"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778"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8"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2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4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08"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57" w:lineRule="exact"/>
        <w:rPr>
          <w:rFonts w:ascii="Times New Roman" w:cs="Times New Roman" w:eastAsia="Times New Roman" w:hAnsi="Times New Roman"/>
          <w:sz w:val="18"/>
          <w:szCs w:val="18"/>
          <w:color w:val="auto"/>
        </w:rPr>
      </w:pPr>
    </w:p>
    <w:p>
      <w:pPr>
        <w:jc w:val="both"/>
        <w:ind w:left="1760" w:right="479" w:hanging="442"/>
        <w:spacing w:after="0" w:line="258" w:lineRule="auto"/>
        <w:tabs>
          <w:tab w:leader="none" w:pos="1805"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02" w:lineRule="exact"/>
        <w:rPr>
          <w:rFonts w:ascii="Times New Roman" w:cs="Times New Roman" w:eastAsia="Times New Roman" w:hAnsi="Times New Roman"/>
          <w:sz w:val="18"/>
          <w:szCs w:val="18"/>
          <w:color w:val="auto"/>
        </w:rPr>
      </w:pPr>
    </w:p>
    <w:p>
      <w:pPr>
        <w:jc w:val="both"/>
        <w:ind w:left="1760" w:right="459" w:hanging="442"/>
        <w:spacing w:after="0" w:line="261" w:lineRule="auto"/>
        <w:tabs>
          <w:tab w:leader="none" w:pos="1833"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provisions above,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one of our directors, officers, or controlling persons in the successful defense of any action, suit or proceeding, is asserted by one of our directors, officers, or controlling persons in connection with the securities being registered, we will, unless in the opinion of our counsel the matter has been settled by controlling precedent, submit to a court of appropriate jurisdiction the question of whether such indemnification is against public policy as expressed in the Securities Act, and we will be governed by the final adjudication of such issue.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7" w:name="page198"/>
    <w:bookmarkEnd w:id="1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jc w:val="both"/>
        <w:ind w:left="460" w:right="459" w:firstLine="432"/>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Santa Clara, State of California, on the 16</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of May, 2022.</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18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 Dr. Keyvan Mohajer</w:t>
      </w:r>
    </w:p>
    <w:p>
      <w:pPr>
        <w:spacing w:after="0" w:line="7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Name: 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-127635</wp:posOffset>
            </wp:positionV>
            <wp:extent cx="196278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8">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3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KNOW ALL MEN BY THESE PRESENTS</w:t>
      </w:r>
      <w:r>
        <w:rPr>
          <w:rFonts w:ascii="Times New Roman" w:cs="Times New Roman" w:eastAsia="Times New Roman" w:hAnsi="Times New Roman"/>
          <w:sz w:val="18"/>
          <w:szCs w:val="18"/>
          <w:color w:val="auto"/>
        </w:rPr>
        <w:t>, that we, the undersigned officers and directors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SoundHound AI, Inc., a Delaware corporation, do hereby constitute and appoint Dr. Keyvan Mohajer, as his or her true and lawful attorney-in-fact and agent, with full power of substitution and re-substitution, for him and in his name, place, and stead, in any and all capacities, to sign any and all amendments (including post-effective amendments, exhibits thereto and other documents in connection therewith) to this Registration Statement and any subsequent registration statement filed by the registrant pursuant to Rule 462(b) of the Securities Act of 1933, as amended, which relates to this Registration Statement,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 or substitutes, may lawfully do or cause to be done by virtue hereof.</w:t>
      </w:r>
    </w:p>
    <w:p>
      <w:pPr>
        <w:spacing w:after="0" w:line="12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8"/>
                <w:szCs w:val="18"/>
                <w:color w:val="auto"/>
              </w:rPr>
            </w:pPr>
          </w:p>
        </w:tc>
        <w:tc>
          <w:tcPr>
            <w:tcW w:w="3540" w:type="dxa"/>
            <w:vAlign w:val="bottom"/>
            <w:gridSpan w:val="2"/>
          </w:tcPr>
          <w:p>
            <w:pPr>
              <w:ind w:left="144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 Dr. Keyvan Mohajer</w:t>
            </w: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16, 2022</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3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Dr. Keyvan Mohajer</w:t>
            </w:r>
          </w:p>
        </w:tc>
        <w:tc>
          <w:tcPr>
            <w:tcW w:w="3640" w:type="dxa"/>
            <w:vAlign w:val="bottom"/>
            <w:gridSpan w:val="3"/>
            <w:vMerge w:val="continue"/>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 Nitesh Sharan</w:t>
            </w: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16, 2022</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3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Nitesh Sharan</w:t>
            </w:r>
          </w:p>
        </w:tc>
        <w:tc>
          <w:tcPr>
            <w:tcW w:w="3640" w:type="dxa"/>
            <w:vAlign w:val="bottom"/>
            <w:gridSpan w:val="3"/>
            <w:vMerge w:val="continue"/>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 James Hom</w:t>
            </w: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16, 2022</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James Hom</w:t>
            </w:r>
          </w:p>
        </w:tc>
        <w:tc>
          <w:tcPr>
            <w:tcW w:w="1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 Dr. Eric Ball</w:t>
            </w: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16, 2022</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Dr. Eric Ball</w:t>
            </w:r>
          </w:p>
        </w:tc>
        <w:tc>
          <w:tcPr>
            <w:tcW w:w="1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 Larry Marcus</w:t>
            </w: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16, 2022</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Larry Marcus</w:t>
            </w:r>
          </w:p>
        </w:tc>
        <w:tc>
          <w:tcPr>
            <w:tcW w:w="1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 Diana Sroka</w:t>
            </w: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16, 2022</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Diana Sroka</w:t>
            </w:r>
          </w:p>
        </w:tc>
        <w:tc>
          <w:tcPr>
            <w:tcW w:w="1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8" w:name="page199"/>
    <w:bookmarkEnd w:id="198"/>
    <w:p>
      <w:pPr>
        <w:ind w:left="10400"/>
        <w:spacing w:after="0"/>
        <w:rPr>
          <w:sz w:val="20"/>
          <w:szCs w:val="20"/>
          <w:color w:val="auto"/>
        </w:rPr>
      </w:pPr>
      <w:r>
        <w:rPr>
          <w:rFonts w:ascii="Times New Roman" w:cs="Times New Roman" w:eastAsia="Times New Roman" w:hAnsi="Times New Roman"/>
          <w:sz w:val="17"/>
          <w:szCs w:val="17"/>
          <w:b w:val="1"/>
          <w:bCs w:val="1"/>
          <w:color w:val="auto"/>
        </w:rPr>
        <w:t>Exhibit 4.2</w:t>
      </w:r>
    </w:p>
    <w:p>
      <w:pPr>
        <w:sectPr>
          <w:pgSz w:w="11900" w:h="16838" w:orient="portrait"/>
          <w:cols w:equalWidth="0" w:num="1">
            <w:col w:w="11240"/>
          </w:cols>
          <w:pgMar w:left="320" w:top="117" w:right="339" w:bottom="1440" w:gutter="0" w:footer="0" w:header="0"/>
        </w:sect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NUMBER</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CUSIP 836100 107</w:t>
      </w:r>
    </w:p>
    <w:p>
      <w:pPr>
        <w:spacing w:after="0" w:line="434" w:lineRule="exact"/>
        <w:rPr>
          <w:sz w:val="20"/>
          <w:szCs w:val="20"/>
          <w:color w:val="auto"/>
        </w:rPr>
      </w:pPr>
    </w:p>
    <w:p>
      <w:pPr>
        <w:sectPr>
          <w:pgSz w:w="11900" w:h="16838" w:orient="portrait"/>
          <w:cols w:equalWidth="0" w:num="2">
            <w:col w:w="7720" w:space="720"/>
            <w:col w:w="2800"/>
          </w:cols>
          <w:pgMar w:left="320" w:top="117" w:right="339" w:bottom="1440" w:gutter="0" w:footer="0" w:header="0"/>
          <w:type w:val="continuous"/>
        </w:sectPr>
      </w:pPr>
    </w:p>
    <w:p>
      <w:pPr>
        <w:spacing w:after="0" w:line="1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SEE REVERSE FOR CERTAIN DEFINITIONS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INCORPORATED UNDER THE LAWS OF DELAWARE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CERTIFIES THAT is the owner of FULLY PAID AND NON-ASSESSABLE SHARES OF CLASS A COMMON STOCK OF THE PAR VALUE OF $0.0001 EACH OF SOUNDHOUND AI, INC., transferable on the books of the Company in person or by duly authorized attorney upon surrender of this certificate properly endorsed.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certificate is not valid unless countersigned by the Transfer Agent and registered by the Registrar.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Witness the facsimile seal of the Company and the facsimile signatures of its duly authorized officers.</w:t>
      </w: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26035</wp:posOffset>
            </wp:positionV>
            <wp:extent cx="709803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0">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70" w:lineRule="exact"/>
        <w:rPr>
          <w:sz w:val="20"/>
          <w:szCs w:val="20"/>
          <w:color w:val="auto"/>
        </w:rPr>
      </w:pPr>
    </w:p>
    <w:p>
      <w:pPr>
        <w:ind w:left="40"/>
        <w:spacing w:after="0"/>
        <w:tabs>
          <w:tab w:leader="none" w:pos="6760" w:val="left"/>
        </w:tabs>
        <w:rPr>
          <w:sz w:val="20"/>
          <w:szCs w:val="20"/>
          <w:color w:val="auto"/>
        </w:rPr>
      </w:pPr>
      <w:r>
        <w:rPr>
          <w:rFonts w:ascii="Times New Roman" w:cs="Times New Roman" w:eastAsia="Times New Roman" w:hAnsi="Times New Roman"/>
          <w:sz w:val="18"/>
          <w:szCs w:val="18"/>
          <w:color w:val="auto"/>
        </w:rPr>
        <w:t>CEO</w:t>
      </w:r>
      <w:r>
        <w:rPr>
          <w:sz w:val="20"/>
          <w:szCs w:val="20"/>
          <w:color w:val="auto"/>
        </w:rPr>
        <w:tab/>
      </w:r>
      <w:r>
        <w:rPr>
          <w:rFonts w:ascii="Times New Roman" w:cs="Times New Roman" w:eastAsia="Times New Roman" w:hAnsi="Times New Roman"/>
          <w:sz w:val="18"/>
          <w:szCs w:val="18"/>
          <w:color w:val="auto"/>
        </w:rPr>
        <w:t>Secretary</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furnish without charge to each stockholder who so requests, a statement of the powers, designations, preferences and relative, participating, optional or other special rights of each class of equity or series thereof of the Company and the qualifications, limitations, or restrictions of such preferences and/or rights. This certificate and the shares represented thereby are issued and shall be held subject to all the provisions of the Company's Second Amended and Restated Certificate of Incorporation and all amendments thereto and resolutions of the Board of Directors providing for the issue of securities (copies of which may be obtained from the secretary of the Company), to all of which the holder of this certificate by acceptance hereof assents.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on the face of this certificate, shall be construed as though they were written out in full according to applicable laws or regulations:</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TEN COM</w:t>
            </w: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as tenants in common</w:t>
            </w:r>
          </w:p>
        </w:tc>
        <w:tc>
          <w:tcPr>
            <w:tcW w:w="2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UNIF GIFT MIN ACT</w:t>
            </w:r>
          </w:p>
        </w:tc>
        <w:tc>
          <w:tcPr>
            <w:tcW w:w="8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________ Custodian ________</w:t>
            </w:r>
          </w:p>
        </w:tc>
      </w:tr>
      <w:tr>
        <w:trPr>
          <w:trHeight w:val="54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TEN ENT</w:t>
            </w: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as tenants by the entireties</w:t>
            </w: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(Cust) (Minor)</w:t>
            </w:r>
          </w:p>
        </w:tc>
      </w:tr>
      <w:tr>
        <w:trPr>
          <w:trHeight w:val="52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JT TEN</w:t>
            </w: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as joint tenants with right of survivorship</w:t>
            </w: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under Uniform Gifts to Minors Act</w:t>
            </w:r>
          </w:p>
        </w:tc>
      </w:tr>
      <w:tr>
        <w:trPr>
          <w:trHeight w:val="216"/>
        </w:trPr>
        <w:tc>
          <w:tcPr>
            <w:tcW w:w="980" w:type="dxa"/>
            <w:vAlign w:val="bottom"/>
          </w:tcPr>
          <w:p>
            <w:pPr>
              <w:spacing w:after="0"/>
              <w:rPr>
                <w:sz w:val="18"/>
                <w:szCs w:val="18"/>
                <w:color w:val="auto"/>
              </w:rPr>
            </w:pPr>
          </w:p>
        </w:tc>
        <w:tc>
          <w:tcPr>
            <w:tcW w:w="3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not as tenants in common</w:t>
            </w:r>
          </w:p>
        </w:tc>
        <w:tc>
          <w:tcPr>
            <w:tcW w:w="2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_____________________________</w:t>
            </w:r>
          </w:p>
        </w:tc>
      </w:tr>
      <w:tr>
        <w:trPr>
          <w:trHeight w:val="234"/>
        </w:trPr>
        <w:tc>
          <w:tcPr>
            <w:tcW w:w="9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(State)</w:t>
            </w:r>
          </w:p>
        </w:tc>
      </w:tr>
    </w:tbl>
    <w:p>
      <w:pPr>
        <w:spacing w:after="0" w:line="238"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Additional abbreviations may also be used though not in the above list.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value received, hereby sells, assigns and transfers unto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NUMBER(S) OF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188595</wp:posOffset>
            </wp:positionV>
            <wp:extent cx="709803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1">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PRINT OR TYPEWRITE NAME(S) AND ADDRESS(ES), INCLUDING ZIP CODE(S), OF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188595</wp:posOffset>
            </wp:positionV>
            <wp:extent cx="709803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2">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shares of Class A Common Stock represented by the within Certificate, and hereby irrevocably constitutes and appoints</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Attorney to transfer the said shares of Class A Common Stock on the books of the within named Company with full power of substitution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premises.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189865</wp:posOffset>
            </wp:positionV>
            <wp:extent cx="45948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3">
                      <a:extLst>
                        <a:ext uri="{28A0092B-C50C-407E-A947-70E740481C1C}"/>
                      </a:extLst>
                    </a:blip>
                    <a:srcRect/>
                    <a:stretch>
                      <a:fillRect/>
                    </a:stretch>
                  </pic:blipFill>
                  <pic:spPr bwMode="auto">
                    <a:xfrm>
                      <a:off x="0" y="0"/>
                      <a:ext cx="4594860" cy="17145"/>
                    </a:xfrm>
                    <a:prstGeom prst="rect">
                      <a:avLst/>
                    </a:prstGeom>
                    <a:noFill/>
                  </pic:spPr>
                </pic:pic>
              </a:graphicData>
            </a:graphic>
          </wp:anchor>
        </w:drawing>
      </w:r>
    </w:p>
    <w:p>
      <w:pPr>
        <w:spacing w:after="0" w:line="325" w:lineRule="exact"/>
        <w:rPr>
          <w:sz w:val="20"/>
          <w:szCs w:val="20"/>
          <w:color w:val="auto"/>
        </w:rPr>
      </w:pPr>
    </w:p>
    <w:p>
      <w:pPr>
        <w:ind w:left="4000"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Notice: </w:t>
      </w:r>
      <w:r>
        <w:rPr>
          <w:rFonts w:ascii="Times New Roman" w:cs="Times New Roman" w:eastAsia="Times New Roman" w:hAnsi="Times New Roman"/>
          <w:sz w:val="18"/>
          <w:szCs w:val="18"/>
          <w:color w:val="auto"/>
        </w:rPr>
        <w:t>The signature(s) to this assignment must correspond with the name as written upon the face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certificate in every particular, without alteration or enlargement or any change whatever.</w:t>
      </w: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Signature(s)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538353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4">
                      <a:extLst>
                        <a:ext uri="{28A0092B-C50C-407E-A947-70E740481C1C}"/>
                      </a:extLst>
                    </a:blip>
                    <a:srcRect/>
                    <a:stretch>
                      <a:fillRect/>
                    </a:stretch>
                  </pic:blipFill>
                  <pic:spPr bwMode="auto">
                    <a:xfrm>
                      <a:off x="0" y="0"/>
                      <a:ext cx="538353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99" w:name="page200"/>
    <w:bookmarkEnd w:id="199"/>
    <w:tbl>
      <w:tblPr>
        <w:tblLayout w:type="fixed"/>
        <w:tblInd w:w="0" w:type="dxa"/>
        <w:tblCellMar>
          <w:top w:w="0" w:type="dxa"/>
          <w:left w:w="0" w:type="dxa"/>
          <w:bottom w:w="0" w:type="dxa"/>
          <w:right w:w="0" w:type="dxa"/>
        </w:tblCellMar>
      </w:tblPr>
      <w:tr>
        <w:trPr>
          <w:trHeight w:val="238"/>
        </w:trPr>
        <w:tc>
          <w:tcPr>
            <w:tcW w:w="14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Exhibit 4.3</w:t>
            </w:r>
          </w:p>
        </w:tc>
      </w:tr>
      <w:tr>
        <w:trPr>
          <w:trHeight w:val="410"/>
        </w:trPr>
        <w:tc>
          <w:tcPr>
            <w:tcW w:w="1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740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(SEE REVERSE SIDE FOR LEGEND)</w:t>
            </w:r>
          </w:p>
        </w:tc>
        <w:tc>
          <w:tcPr>
            <w:tcW w:w="7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WARRANTS</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________-</w:t>
            </w:r>
          </w:p>
        </w:tc>
        <w:tc>
          <w:tcPr>
            <w:tcW w:w="740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THIS WARRANT WILL BE VOID IF NOT EXERCISED PRIOR TO THE</w:t>
            </w:r>
          </w:p>
        </w:tc>
        <w:tc>
          <w:tcPr>
            <w:tcW w:w="7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8"/>
        </w:trPr>
        <w:tc>
          <w:tcPr>
            <w:tcW w:w="1440" w:type="dxa"/>
            <w:vAlign w:val="bottom"/>
          </w:tcPr>
          <w:p>
            <w:pPr>
              <w:spacing w:after="0"/>
              <w:rPr>
                <w:sz w:val="20"/>
                <w:szCs w:val="20"/>
                <w:color w:val="auto"/>
              </w:rPr>
            </w:pPr>
          </w:p>
        </w:tc>
        <w:tc>
          <w:tcPr>
            <w:tcW w:w="740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EXPIRATION DATE (DEFINED BELOW)</w:t>
            </w:r>
          </w:p>
        </w:tc>
        <w:tc>
          <w:tcPr>
            <w:tcW w:w="7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32"/>
        </w:trPr>
        <w:tc>
          <w:tcPr>
            <w:tcW w:w="14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760" w:type="dxa"/>
            <w:vAlign w:val="bottom"/>
            <w:gridSpan w:val="2"/>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SOUNDHOUND AI, INC.</w:t>
            </w:r>
          </w:p>
        </w:tc>
        <w:tc>
          <w:tcPr>
            <w:tcW w:w="7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32"/>
        </w:trPr>
        <w:tc>
          <w:tcPr>
            <w:tcW w:w="14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CUSIP 039562 111</w:t>
            </w:r>
          </w:p>
        </w:tc>
      </w:tr>
      <w:tr>
        <w:trPr>
          <w:trHeight w:val="432"/>
        </w:trPr>
        <w:tc>
          <w:tcPr>
            <w:tcW w:w="14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80" w:type="dxa"/>
            <w:vAlign w:val="bottom"/>
          </w:tcPr>
          <w:p>
            <w:pPr>
              <w:jc w:val="center"/>
              <w:ind w:right="2270"/>
              <w:spacing w:after="0"/>
              <w:rPr>
                <w:sz w:val="20"/>
                <w:szCs w:val="20"/>
                <w:color w:val="auto"/>
              </w:rPr>
            </w:pPr>
            <w:r>
              <w:rPr>
                <w:rFonts w:ascii="Times New Roman" w:cs="Times New Roman" w:eastAsia="Times New Roman" w:hAnsi="Times New Roman"/>
                <w:sz w:val="18"/>
                <w:szCs w:val="18"/>
                <w:b w:val="1"/>
                <w:bCs w:val="1"/>
                <w:color w:val="auto"/>
                <w:w w:val="96"/>
              </w:rPr>
              <w:t>WARRANT</w:t>
            </w:r>
          </w:p>
        </w:tc>
        <w:tc>
          <w:tcPr>
            <w:tcW w:w="7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91"/>
        </w:trPr>
        <w:tc>
          <w:tcPr>
            <w:tcW w:w="408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THIS CERTIFIES THAT, for value received</w:t>
            </w:r>
          </w:p>
        </w:tc>
        <w:tc>
          <w:tcPr>
            <w:tcW w:w="680" w:type="dxa"/>
            <w:vAlign w:val="bottom"/>
          </w:tcPr>
          <w:p>
            <w:pPr>
              <w:spacing w:after="0"/>
              <w:rPr>
                <w:sz w:val="24"/>
                <w:szCs w:val="24"/>
                <w:color w:val="auto"/>
              </w:rPr>
            </w:pPr>
          </w:p>
        </w:tc>
        <w:tc>
          <w:tcPr>
            <w:tcW w:w="6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is the registered holder of a warrant or warrants (the “Warrant(s)”) of SoundHound AI,</w:t>
            </w:r>
          </w:p>
        </w:tc>
      </w:tr>
      <w:tr>
        <w:trPr>
          <w:trHeight w:val="20"/>
        </w:trPr>
        <w:tc>
          <w:tcPr>
            <w:tcW w:w="14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Inc., a Delaware corporation (the “Company”), exp</w:t>
      </w:r>
      <w:r>
        <w:rPr>
          <w:rFonts w:ascii="Times New Roman" w:cs="Times New Roman" w:eastAsia="Times New Roman" w:hAnsi="Times New Roman"/>
          <w:sz w:val="17"/>
          <w:szCs w:val="17"/>
          <w:u w:val="single" w:color="auto"/>
          <w:color w:val="auto"/>
        </w:rPr>
        <w:t>iring at</w:t>
      </w:r>
      <w:r>
        <w:rPr>
          <w:rFonts w:ascii="Times New Roman" w:cs="Times New Roman" w:eastAsia="Times New Roman" w:hAnsi="Times New Roman"/>
          <w:sz w:val="17"/>
          <w:szCs w:val="17"/>
          <w:color w:val="auto"/>
        </w:rPr>
        <w:t xml:space="preserve"> 5:00 p.m., New York City time, on the five year anniversary of the Company’s completion of an initial merger, share exchange, asset acquisition, stock purchase, recapitalization, reorganization or other similar business combination with one or more businesses or entities (a “</w:t>
      </w:r>
      <w:r>
        <w:rPr>
          <w:rFonts w:ascii="Times New Roman" w:cs="Times New Roman" w:eastAsia="Times New Roman" w:hAnsi="Times New Roman"/>
          <w:sz w:val="17"/>
          <w:szCs w:val="17"/>
          <w:u w:val="single" w:color="auto"/>
          <w:color w:val="auto"/>
        </w:rPr>
        <w:t>Business Combination</w:t>
      </w:r>
      <w:r>
        <w:rPr>
          <w:rFonts w:ascii="Times New Roman" w:cs="Times New Roman" w:eastAsia="Times New Roman" w:hAnsi="Times New Roman"/>
          <w:sz w:val="17"/>
          <w:szCs w:val="17"/>
          <w:color w:val="auto"/>
        </w:rPr>
        <w:t>”), to purchase one fully paid and non-assessable share of common stock, par value $0.0001 per share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of the Company for each Warrant evidenced by this Warrant Certificate. The Warrant entitles the holder thereof to purchase from the Company, commencing thirty days after the Company’s completion of an initial Business Combination, such number of Shares of the Company at the Warrant Price (as defined below), upon surrender of this Warrant Certificate and payment of the Warrant Price at the office or agency of Continental Stock Transfer &amp; Trust Company (the “</w:t>
      </w:r>
      <w:r>
        <w:rPr>
          <w:rFonts w:ascii="Times New Roman" w:cs="Times New Roman" w:eastAsia="Times New Roman" w:hAnsi="Times New Roman"/>
          <w:sz w:val="17"/>
          <w:szCs w:val="17"/>
          <w:u w:val="single" w:color="auto"/>
          <w:color w:val="auto"/>
        </w:rPr>
        <w:t>Warrant A</w:t>
      </w:r>
      <w:r>
        <w:rPr>
          <w:rFonts w:ascii="Times New Roman" w:cs="Times New Roman" w:eastAsia="Times New Roman" w:hAnsi="Times New Roman"/>
          <w:sz w:val="17"/>
          <w:szCs w:val="17"/>
          <w:color w:val="auto"/>
        </w:rPr>
        <w:t>g</w:t>
      </w:r>
      <w:r>
        <w:rPr>
          <w:rFonts w:ascii="Times New Roman" w:cs="Times New Roman" w:eastAsia="Times New Roman" w:hAnsi="Times New Roman"/>
          <w:sz w:val="17"/>
          <w:szCs w:val="17"/>
          <w:u w:val="single" w:color="auto"/>
          <w:color w:val="auto"/>
        </w:rPr>
        <w:t>ent</w:t>
      </w:r>
      <w:r>
        <w:rPr>
          <w:rFonts w:ascii="Times New Roman" w:cs="Times New Roman" w:eastAsia="Times New Roman" w:hAnsi="Times New Roman"/>
          <w:sz w:val="17"/>
          <w:szCs w:val="17"/>
          <w:color w:val="auto"/>
        </w:rPr>
        <w:t>”), but only subject to the conditions set forth herein and in the Warrant Agreement between the Company and Continental Stock Transfer &amp; Trust Company. In no event will the Company be required to net cash settle any warrant exercise. The term “</w:t>
      </w:r>
      <w:r>
        <w:rPr>
          <w:rFonts w:ascii="Times New Roman" w:cs="Times New Roman" w:eastAsia="Times New Roman" w:hAnsi="Times New Roman"/>
          <w:sz w:val="17"/>
          <w:szCs w:val="17"/>
          <w:u w:val="single" w:color="auto"/>
          <w:color w:val="auto"/>
        </w:rPr>
        <w:t>Warrant Price</w:t>
      </w:r>
      <w:r>
        <w:rPr>
          <w:rFonts w:ascii="Times New Roman" w:cs="Times New Roman" w:eastAsia="Times New Roman" w:hAnsi="Times New Roman"/>
          <w:sz w:val="17"/>
          <w:szCs w:val="17"/>
          <w:color w:val="auto"/>
        </w:rPr>
        <w:t>” as used in this Warrant Certificate refers to the price per Share at which Shares may be purchased at the time the Warrant is exercised. The initial Warrant Price per Share is equal to $11.50 per share. The Warrant Agreement provides that upon the occurrence of certain events the Warrant Price, the Redemption Trigger Price (defined below) and the number of Shares purchasable hereunder, set forth on the face hereof, may, subject to certain conditions, be adjusted.</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fraction of a Share will be issued upon any exercise of a Warrant. If the holder of a Warrant would be entitled to receive a fraction of a Share upon any exercise of a Warrant, the Company shall, upon such exercise, round up to the nearest whole number the number of Shares to be issued to such holder.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any exercise of the Warrant for less than the total number of full Shares provided for herein, there shall be issued to the registered holder hereof or the registered holder’s assignee a new Warrant Certificate covering the number of Shares for which the Warrant has not been exercised.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Warrant Certificates, when surrendered at the office or agency of the Warrant Agent by the registered holder in person or by attorney duly authorized in writing, may be exchanged in the manner and subject to the limitations provided in the Warrant Agreement, but without payment of any service charge, for another Warrant Certificate or Warrant Certificates of like tenor and evidencing in the aggregate a like number of Warrants.</w:t>
      </w:r>
    </w:p>
    <w:p>
      <w:pPr>
        <w:spacing w:after="0" w:line="176"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Upon due presentment for registration of transfer of the Warrant Certificate at the office or agency of the Warrant Agent, a new Warrant Certificate or Warrant Certificates of like tenor and evidencing in the aggregate a like number of Warrants shall be issued to the transferee in exchange for this Warrant Certificate, subject to the limitations provided in the Warrant Agreement, without charge except for any applicable tax or other governmental charge.</w:t>
      </w:r>
    </w:p>
    <w:p>
      <w:pPr>
        <w:spacing w:after="0" w:line="15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and the Warrant Agent may deem and treat the registered holder as the absolute owner of this Warrant Certificate (notwithstanding any notation of ownership or other writing hereon made by anyone), for the purpose of any exercise hereof, of any distribution to the registered holder, and for all other purposes, and neither the Company nor the Warrant Agent shall be affected by any notice to the contrary.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Warrant does not entitle the registered holder to any of the rights of a stockholder of the Company.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reserves the right to call the Warrant at any time prior to its exercise with a notice of call in writing to the holders of record of the Warrant, giving at least 30 days’ notice of such call, at any time while the Warrant is exercisable, if the last sale price of the Shares has been at least $18.00 per share (the “</w:t>
      </w:r>
      <w:r>
        <w:rPr>
          <w:rFonts w:ascii="Times New Roman" w:cs="Times New Roman" w:eastAsia="Times New Roman" w:hAnsi="Times New Roman"/>
          <w:sz w:val="18"/>
          <w:szCs w:val="18"/>
          <w:u w:val="single" w:color="auto"/>
          <w:color w:val="auto"/>
        </w:rPr>
        <w:t>Redemption Tri</w:t>
      </w:r>
      <w:r>
        <w:rPr>
          <w:rFonts w:ascii="Times New Roman" w:cs="Times New Roman" w:eastAsia="Times New Roman" w:hAnsi="Times New Roman"/>
          <w:sz w:val="18"/>
          <w:szCs w:val="18"/>
          <w:color w:val="auto"/>
        </w:rPr>
        <w:t>gg</w:t>
      </w:r>
      <w:r>
        <w:rPr>
          <w:rFonts w:ascii="Times New Roman" w:cs="Times New Roman" w:eastAsia="Times New Roman" w:hAnsi="Times New Roman"/>
          <w:sz w:val="18"/>
          <w:szCs w:val="18"/>
          <w:u w:val="single" w:color="auto"/>
          <w:color w:val="auto"/>
        </w:rPr>
        <w:t>er Price</w:t>
      </w:r>
      <w:r>
        <w:rPr>
          <w:rFonts w:ascii="Times New Roman" w:cs="Times New Roman" w:eastAsia="Times New Roman" w:hAnsi="Times New Roman"/>
          <w:sz w:val="18"/>
          <w:szCs w:val="18"/>
          <w:color w:val="auto"/>
        </w:rPr>
        <w:t>”) on each of 20 trading days within any 30 trading day period (the “</w:t>
      </w:r>
      <w:r>
        <w:rPr>
          <w:rFonts w:ascii="Times New Roman" w:cs="Times New Roman" w:eastAsia="Times New Roman" w:hAnsi="Times New Roman"/>
          <w:sz w:val="18"/>
          <w:szCs w:val="18"/>
          <w:u w:val="single" w:color="auto"/>
          <w:color w:val="auto"/>
        </w:rPr>
        <w:t>30-da</w:t>
      </w: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u w:val="single" w:color="auto"/>
          <w:color w:val="auto"/>
        </w:rPr>
        <w:t>tradin</w:t>
      </w: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commencing after the Warrants become exercisable and ending on the third business day prior to the date on which notice of such call is given and if, and only if, there is a current registration statement in effect with respect to the Shares underlying the Warrants commencing five business days prior to the 30-day trading period and continuing each day thereafter until the date of redemption. The call price of the Warrants is to be $0.01 per Warrant. Any Warrant either not exercised or tendered back to the Company by the end of the date specified in the notice of call shall be canceled on the books of the Company and have no further value except for the $0.01 call price.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684085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5">
                      <a:extLst>
                        <a:ext uri="{28A0092B-C50C-407E-A947-70E740481C1C}"/>
                      </a:extLst>
                    </a:blip>
                    <a:srcRect/>
                    <a:stretch>
                      <a:fillRect/>
                    </a:stretch>
                  </pic:blipFill>
                  <pic:spPr bwMode="auto">
                    <a:xfrm>
                      <a:off x="0" y="0"/>
                      <a:ext cx="6840855" cy="17145"/>
                    </a:xfrm>
                    <a:prstGeom prst="rect">
                      <a:avLst/>
                    </a:prstGeom>
                    <a:noFill/>
                  </pic:spPr>
                </pic:pic>
              </a:graphicData>
            </a:graphic>
          </wp:anchor>
        </w:drawing>
      </w:r>
    </w:p>
    <w:p>
      <w:pPr>
        <w:spacing w:after="0" w:line="16" w:lineRule="exact"/>
        <w:rPr>
          <w:sz w:val="20"/>
          <w:szCs w:val="20"/>
          <w:color w:val="auto"/>
        </w:rPr>
      </w:pPr>
    </w:p>
    <w:p>
      <w:pPr>
        <w:ind w:left="460"/>
        <w:spacing w:after="0"/>
        <w:tabs>
          <w:tab w:leader="none" w:pos="6740" w:val="left"/>
        </w:tabs>
        <w:rPr>
          <w:sz w:val="20"/>
          <w:szCs w:val="20"/>
          <w:color w:val="auto"/>
        </w:rPr>
      </w:pPr>
      <w:r>
        <w:rPr>
          <w:rFonts w:ascii="Times New Roman" w:cs="Times New Roman" w:eastAsia="Times New Roman" w:hAnsi="Times New Roman"/>
          <w:sz w:val="18"/>
          <w:szCs w:val="18"/>
          <w:color w:val="auto"/>
        </w:rPr>
        <w:t>President</w:t>
      </w:r>
      <w:r>
        <w:rPr>
          <w:sz w:val="20"/>
          <w:szCs w:val="20"/>
          <w:color w:val="auto"/>
        </w:rPr>
        <w:tab/>
      </w:r>
      <w:r>
        <w:rPr>
          <w:rFonts w:ascii="Times New Roman" w:cs="Times New Roman" w:eastAsia="Times New Roman" w:hAnsi="Times New Roman"/>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0" w:name="page201"/>
    <w:bookmarkEnd w:id="20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SUBSCRIPTION FORM</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Executed by the Registered Holder in Order to Exercise Warrants</w:t>
      </w:r>
    </w:p>
    <w:p>
      <w:pPr>
        <w:spacing w:after="0" w:line="225" w:lineRule="exact"/>
        <w:rPr>
          <w:sz w:val="20"/>
          <w:szCs w:val="20"/>
          <w:color w:val="auto"/>
        </w:rPr>
      </w:pPr>
    </w:p>
    <w:p>
      <w:pPr>
        <w:spacing w:after="0"/>
        <w:tabs>
          <w:tab w:leader="none" w:pos="6220" w:val="left"/>
        </w:tabs>
        <w:rPr>
          <w:sz w:val="20"/>
          <w:szCs w:val="20"/>
          <w:color w:val="auto"/>
        </w:rPr>
      </w:pPr>
      <w:r>
        <w:rPr>
          <w:rFonts w:ascii="Times New Roman" w:cs="Times New Roman" w:eastAsia="Times New Roman" w:hAnsi="Times New Roman"/>
          <w:sz w:val="18"/>
          <w:szCs w:val="18"/>
          <w:color w:val="auto"/>
        </w:rPr>
        <w:t>The undersigned Registered Holder irrevocably elects to exercise</w:t>
      </w:r>
      <w:r>
        <w:rPr>
          <w:sz w:val="20"/>
          <w:szCs w:val="20"/>
          <w:color w:val="auto"/>
        </w:rPr>
        <w:tab/>
      </w:r>
      <w:r>
        <w:rPr>
          <w:rFonts w:ascii="Times New Roman" w:cs="Times New Roman" w:eastAsia="Times New Roman" w:hAnsi="Times New Roman"/>
          <w:sz w:val="18"/>
          <w:szCs w:val="18"/>
          <w:color w:val="auto"/>
        </w:rPr>
        <w:t>Warrants represented by this Warrant Certificate, and to purchase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3035935</wp:posOffset>
            </wp:positionH>
            <wp:positionV relativeFrom="paragraph">
              <wp:posOffset>-7620</wp:posOffset>
            </wp:positionV>
            <wp:extent cx="92519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7">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issuable upon the exercise of such Warrants, and requests that Certificates for such shares shall be issued in the name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1137285</wp:posOffset>
            </wp:positionV>
            <wp:extent cx="570928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8">
                      <a:extLst>
                        <a:ext uri="{28A0092B-C50C-407E-A947-70E740481C1C}"/>
                      </a:extLst>
                    </a:blip>
                    <a:srcRect/>
                    <a:stretch>
                      <a:fillRect/>
                    </a:stretch>
                  </pic:blipFill>
                  <pic:spPr bwMode="auto">
                    <a:xfrm>
                      <a:off x="0" y="0"/>
                      <a:ext cx="570928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845820</wp:posOffset>
            </wp:positionV>
            <wp:extent cx="570928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9">
                      <a:extLst>
                        <a:ext uri="{28A0092B-C50C-407E-A947-70E740481C1C}"/>
                      </a:extLst>
                    </a:blip>
                    <a:srcRect/>
                    <a:stretch>
                      <a:fillRect/>
                    </a:stretch>
                  </pic:blipFill>
                  <pic:spPr bwMode="auto">
                    <a:xfrm>
                      <a:off x="0" y="0"/>
                      <a:ext cx="570928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563245</wp:posOffset>
            </wp:positionV>
            <wp:extent cx="570928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0">
                      <a:extLst>
                        <a:ext uri="{28A0092B-C50C-407E-A947-70E740481C1C}"/>
                      </a:extLst>
                    </a:blip>
                    <a:srcRect/>
                    <a:stretch>
                      <a:fillRect/>
                    </a:stretch>
                  </pic:blipFill>
                  <pic:spPr bwMode="auto">
                    <a:xfrm>
                      <a:off x="0" y="0"/>
                      <a:ext cx="570928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570928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1">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TYPE OR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570928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2">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OR TAX IDENTIFICATION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-7620</wp:posOffset>
            </wp:positionV>
            <wp:extent cx="41414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3">
                      <a:extLst>
                        <a:ext uri="{28A0092B-C50C-407E-A947-70E740481C1C}"/>
                      </a:extLst>
                    </a:blip>
                    <a:srcRect/>
                    <a:stretch>
                      <a:fillRect/>
                    </a:stretch>
                  </pic:blipFill>
                  <pic:spPr bwMode="auto">
                    <a:xfrm>
                      <a:off x="0" y="0"/>
                      <a:ext cx="4141470" cy="8255"/>
                    </a:xfrm>
                    <a:prstGeom prst="rect">
                      <a:avLst/>
                    </a:prstGeom>
                    <a:noFill/>
                  </pic:spPr>
                </pic:pic>
              </a:graphicData>
            </a:graphic>
          </wp:anchor>
        </w:drawing>
      </w:r>
    </w:p>
    <w:p>
      <w:pPr>
        <w:spacing w:after="0" w:line="2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(PLEASE PRINT OR TYPE NAME AND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such number of Warrants shall not be all the Warrants evidenced by this Warrant Certificate, that a new Warrant Certificate for the balance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be registered in the name of, and delivered to, the Registered Holder at the address stated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154305</wp:posOffset>
            </wp:positionV>
            <wp:extent cx="284607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582930</wp:posOffset>
            </wp:positionV>
            <wp:extent cx="284607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5">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(TAX IDENTIFICATION NUMBER)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1" w:name="page202"/>
    <w:bookmarkEnd w:id="20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ASSIGNMENT</w:t>
      </w:r>
    </w:p>
    <w:p>
      <w:pPr>
        <w:spacing w:after="0" w:line="229" w:lineRule="exact"/>
        <w:rPr>
          <w:sz w:val="20"/>
          <w:szCs w:val="20"/>
          <w:color w:val="auto"/>
        </w:rPr>
      </w:pPr>
    </w:p>
    <w:p>
      <w:pPr>
        <w:spacing w:after="0"/>
        <w:tabs>
          <w:tab w:leader="none" w:pos="7680" w:val="left"/>
        </w:tabs>
        <w:rPr>
          <w:sz w:val="20"/>
          <w:szCs w:val="20"/>
          <w:color w:val="auto"/>
        </w:rPr>
      </w:pPr>
      <w:r>
        <w:rPr>
          <w:rFonts w:ascii="Times New Roman" w:cs="Times New Roman" w:eastAsia="Times New Roman" w:hAnsi="Times New Roman"/>
          <w:sz w:val="18"/>
          <w:szCs w:val="18"/>
          <w:color w:val="auto"/>
        </w:rPr>
        <w:t>To Be Executed by the Registered Holder in Order to Assign Warrants For Value Received,</w:t>
      </w:r>
      <w:r>
        <w:rPr>
          <w:sz w:val="20"/>
          <w:szCs w:val="20"/>
          <w:color w:val="auto"/>
        </w:rPr>
        <w:tab/>
      </w:r>
      <w:r>
        <w:rPr>
          <w:rFonts w:ascii="Times New Roman" w:cs="Times New Roman" w:eastAsia="Times New Roman" w:hAnsi="Times New Roman"/>
          <w:sz w:val="18"/>
          <w:szCs w:val="18"/>
          <w:color w:val="auto"/>
        </w:rPr>
        <w:t>hereby sell, assign, and transfer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-7620</wp:posOffset>
            </wp:positionV>
            <wp:extent cx="6565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0">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(PLEASE TYPE OR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(SOCIAL SECURITY OR TAX IDENTIFICATION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-7620</wp:posOffset>
            </wp:positionV>
            <wp:extent cx="537019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3">
                      <a:extLst>
                        <a:ext uri="{28A0092B-C50C-407E-A947-70E740481C1C}"/>
                      </a:extLst>
                    </a:blip>
                    <a:srcRect/>
                    <a:stretch>
                      <a:fillRect/>
                    </a:stretch>
                  </pic:blipFill>
                  <pic:spPr bwMode="auto">
                    <a:xfrm>
                      <a:off x="0" y="0"/>
                      <a:ext cx="537019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(PLEASE PRINT OR TYPE NAME AND ADDRESS)</w:t>
      </w:r>
    </w:p>
    <w:p>
      <w:pPr>
        <w:spacing w:after="0" w:line="225" w:lineRule="exact"/>
        <w:rPr>
          <w:sz w:val="20"/>
          <w:szCs w:val="20"/>
          <w:color w:val="auto"/>
        </w:rPr>
      </w:pPr>
    </w:p>
    <w:p>
      <w:pPr>
        <w:ind w:left="3120" w:firstLine="230"/>
        <w:spacing w:after="0" w:line="261" w:lineRule="auto"/>
        <w:rPr>
          <w:sz w:val="20"/>
          <w:szCs w:val="20"/>
          <w:color w:val="auto"/>
        </w:rPr>
      </w:pPr>
      <w:r>
        <w:rPr>
          <w:rFonts w:ascii="Times New Roman" w:cs="Times New Roman" w:eastAsia="Times New Roman" w:hAnsi="Times New Roman"/>
          <w:sz w:val="18"/>
          <w:szCs w:val="18"/>
          <w:color w:val="auto"/>
        </w:rPr>
        <w:t>of the Warrants represented by this Warrant Certificate, and hereby irrevocably constitute and appoint Attorney to transfer this Warrant Certificate on the books of the Company, with full power of substitution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206819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4">
                      <a:extLst>
                        <a:ext uri="{28A0092B-C50C-407E-A947-70E740481C1C}"/>
                      </a:extLst>
                    </a:blip>
                    <a:srcRect/>
                    <a:stretch>
                      <a:fillRect/>
                    </a:stretch>
                  </pic:blipFill>
                  <pic:spPr bwMode="auto">
                    <a:xfrm>
                      <a:off x="0" y="0"/>
                      <a:ext cx="20681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195389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5">
                      <a:extLst>
                        <a:ext uri="{28A0092B-C50C-407E-A947-70E740481C1C}"/>
                      </a:extLst>
                    </a:blip>
                    <a:srcRect/>
                    <a:stretch>
                      <a:fillRect/>
                    </a:stretch>
                  </pic:blipFill>
                  <pic:spPr bwMode="auto">
                    <a:xfrm>
                      <a:off x="0" y="0"/>
                      <a:ext cx="195389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premises.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6">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SIGNATURE TO THE ASSIGNMENT OF THE SUBSCRIPTION FORM MUST CORRESPOND TO THE NAME WRITTEN UPON THE FACE OF THIS WARRANT CERTIFICATE IN EVERY PARTICULAR, WITHOUT ALTERATION OR ENLARGEMENT OR ANY CHANGE WHATSOEVER, AND MUST BE GUARANTEED BY A COMMERCIAL BANK OR TRUST COMPANY OR A MEMBER FIRM OF THE NYSE AMERICAN, NASDAQ, NEW YORK STOCK EXCHANGE, PACIFIC STOCK EXCHANGE, OR CHICAGO STOCK EXCHANGE.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0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THIS AMENDED AND RESTATED REGISTRATION RIGHTS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effective as of the 26th day of April,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 (the “</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is made and entered into by and among (i) SoundHound AI, Inc. (formerly known as Archimedes Tech SPAC Partners Co.),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(ii) each of the undersigned parties that are Pre-BC Investors (as defined below), and (iii) each of the former stockholders of SoundHound, Inc. (“</w:t>
      </w:r>
      <w:r>
        <w:rPr>
          <w:rFonts w:ascii="Times New Roman" w:cs="Times New Roman" w:eastAsia="Times New Roman" w:hAnsi="Times New Roman"/>
          <w:sz w:val="18"/>
          <w:szCs w:val="18"/>
          <w:b w:val="1"/>
          <w:bCs w:val="1"/>
          <w:u w:val="single" w:color="auto"/>
          <w:color w:val="auto"/>
        </w:rPr>
        <w:t>SoundHound</w:t>
      </w:r>
      <w:r>
        <w:rPr>
          <w:rFonts w:ascii="Times New Roman" w:cs="Times New Roman" w:eastAsia="Times New Roman" w:hAnsi="Times New Roman"/>
          <w:sz w:val="18"/>
          <w:szCs w:val="18"/>
          <w:color w:val="auto"/>
        </w:rPr>
        <w:t xml:space="preserve">”) whose names are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(each a “</w:t>
      </w:r>
      <w:r>
        <w:rPr>
          <w:rFonts w:ascii="Times New Roman" w:cs="Times New Roman" w:eastAsia="Times New Roman" w:hAnsi="Times New Roman"/>
          <w:sz w:val="18"/>
          <w:szCs w:val="18"/>
          <w:b w:val="1"/>
          <w:bCs w:val="1"/>
          <w:u w:val="single" w:color="auto"/>
          <w:color w:val="auto"/>
        </w:rPr>
        <w:t>SoundHound Investor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u w:val="single" w:color="auto"/>
          <w:color w:val="auto"/>
        </w:rPr>
        <w:t>SoundHound Investors</w:t>
      </w:r>
      <w:r>
        <w:rPr>
          <w:rFonts w:ascii="Times New Roman" w:cs="Times New Roman" w:eastAsia="Times New Roman" w:hAnsi="Times New Roman"/>
          <w:sz w:val="18"/>
          <w:szCs w:val="18"/>
          <w:color w:val="auto"/>
        </w:rPr>
        <w:t>”) (each of the foregoing parties (other than the Company) and any Person (as defined below) who hereafter becomes a party to this Agreement pursuant to Section 6.2 of this Agreement, an “</w:t>
      </w: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u w:val="single" w:color="auto"/>
          <w:color w:val="auto"/>
        </w:rPr>
        <w:t>Investors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WHEREAS, each of the Company and certain stockholders (each, a “</w:t>
      </w:r>
      <w:r>
        <w:rPr>
          <w:rFonts w:ascii="Times New Roman" w:cs="Times New Roman" w:eastAsia="Times New Roman" w:hAnsi="Times New Roman"/>
          <w:sz w:val="18"/>
          <w:szCs w:val="18"/>
          <w:b w:val="1"/>
          <w:bCs w:val="1"/>
          <w:u w:val="single" w:color="auto"/>
          <w:color w:val="auto"/>
        </w:rPr>
        <w:t>Pre-BC Investor</w:t>
      </w:r>
      <w:r>
        <w:rPr>
          <w:rFonts w:ascii="Times New Roman" w:cs="Times New Roman" w:eastAsia="Times New Roman" w:hAnsi="Times New Roman"/>
          <w:sz w:val="18"/>
          <w:szCs w:val="18"/>
          <w:color w:val="auto"/>
        </w:rPr>
        <w:t>”) is a party to a certain Registration Rights Agreement, dated March 10, 2021 (the “</w:t>
      </w:r>
      <w:r>
        <w:rPr>
          <w:rFonts w:ascii="Times New Roman" w:cs="Times New Roman" w:eastAsia="Times New Roman" w:hAnsi="Times New Roman"/>
          <w:sz w:val="18"/>
          <w:szCs w:val="18"/>
          <w:b w:val="1"/>
          <w:bCs w:val="1"/>
          <w:u w:val="single" w:color="auto"/>
          <w:color w:val="auto"/>
        </w:rPr>
        <w:t>Original Registration Rights Agreement</w:t>
      </w:r>
      <w:r>
        <w:rPr>
          <w:rFonts w:ascii="Times New Roman" w:cs="Times New Roman" w:eastAsia="Times New Roman" w:hAnsi="Times New Roman"/>
          <w:sz w:val="18"/>
          <w:szCs w:val="18"/>
          <w:color w:val="auto"/>
        </w:rPr>
        <w:t>”), pursuant to which the Company granted the Pre-BC Investors certain registration rights with respect to certain securities of the Company, as set forth therein;</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WHEREAS, the Company, ATSPC Merger Sub, Inc., a Delaware corporation (“</w:t>
      </w:r>
      <w:r>
        <w:rPr>
          <w:rFonts w:ascii="Times New Roman" w:cs="Times New Roman" w:eastAsia="Times New Roman" w:hAnsi="Times New Roman"/>
          <w:sz w:val="18"/>
          <w:szCs w:val="18"/>
          <w:b w:val="1"/>
          <w:bCs w:val="1"/>
          <w:u w:val="single" w:color="auto"/>
          <w:color w:val="auto"/>
        </w:rPr>
        <w:t>Merger Sub</w:t>
      </w:r>
      <w:r>
        <w:rPr>
          <w:rFonts w:ascii="Times New Roman" w:cs="Times New Roman" w:eastAsia="Times New Roman" w:hAnsi="Times New Roman"/>
          <w:sz w:val="18"/>
          <w:szCs w:val="18"/>
          <w:color w:val="auto"/>
        </w:rPr>
        <w:t>”), and SoundHound have entered into that certain Merger Agreement (as it may be amended from time to time, the “</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 dated as of November 15, 2021, pursuant to which, on the Closing Date (as defined below), the Company, Merger Sub and SoundHound effected a merger of Merger Sub with and into SoundHound (the “</w:t>
      </w:r>
      <w:r>
        <w:rPr>
          <w:rFonts w:ascii="Times New Roman" w:cs="Times New Roman" w:eastAsia="Times New Roman" w:hAnsi="Times New Roman"/>
          <w:sz w:val="18"/>
          <w:szCs w:val="18"/>
          <w:b w:val="1"/>
          <w:bCs w:val="1"/>
          <w:u w:val="single" w:color="auto"/>
          <w:color w:val="auto"/>
        </w:rPr>
        <w:t>Merger</w:t>
      </w:r>
      <w:r>
        <w:rPr>
          <w:rFonts w:ascii="Times New Roman" w:cs="Times New Roman" w:eastAsia="Times New Roman" w:hAnsi="Times New Roman"/>
          <w:sz w:val="18"/>
          <w:szCs w:val="18"/>
          <w:color w:val="auto"/>
        </w:rPr>
        <w:t>”), upon which Merger Sub ceased to exist, SoundHound became a wholly owned subsidiary of the Company and the outstanding shares of SoundHound’s capital stock converted into the right to receive consideration described in the Merger Agreement.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Investors and the Company desire to enter into this Agreement in connection with the Closing to amend and restate the Original Registration Rights Agreement to provide the Investors with certain rights relating to the registration of the securities held by them as of the Effective Date (after the Closing) on the terms and conditions set forth in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capitalized terms used herein have the following meanings: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means this Agreement, as amended, restated, supplemented, or otherwise modified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Amended Charter</w:t>
      </w:r>
      <w:r>
        <w:rPr>
          <w:rFonts w:ascii="Times New Roman" w:cs="Times New Roman" w:eastAsia="Times New Roman" w:hAnsi="Times New Roman"/>
          <w:sz w:val="18"/>
          <w:szCs w:val="18"/>
          <w:color w:val="auto"/>
        </w:rPr>
        <w:t>” means the Second Amended and Restated Certificate of Incorporation of the Company.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Amended SoundHound Charter</w:t>
      </w:r>
      <w:r>
        <w:rPr>
          <w:rFonts w:ascii="Times New Roman" w:cs="Times New Roman" w:eastAsia="Times New Roman" w:hAnsi="Times New Roman"/>
          <w:sz w:val="18"/>
          <w:szCs w:val="18"/>
          <w:color w:val="auto"/>
        </w:rPr>
        <w:t>” means the Amended and Restated Certificate of Incorporation of SoundHound, Inc., as it may be amended between the date of the Merger Agreement and the Closing as contemplated by Section 7.6 of the Merger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Blackout Period</w:t>
      </w:r>
      <w:r>
        <w:rPr>
          <w:rFonts w:ascii="Times New Roman" w:cs="Times New Roman" w:eastAsia="Times New Roman" w:hAnsi="Times New Roman"/>
          <w:sz w:val="18"/>
          <w:szCs w:val="18"/>
          <w:color w:val="auto"/>
        </w:rPr>
        <w:t>” is defined in Section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3" w:name="page204"/>
    <w:bookmarkEnd w:id="203"/>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means a day other than Saturday, Sunday or other day on which commercial banks in New York, New York are authorized or required by law to close, excluding as a result of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commercially banking institutions in New York, New York are generally open for use by customers on such day.</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Class A Common Stock</w:t>
      </w:r>
      <w:r>
        <w:rPr>
          <w:rFonts w:ascii="Times New Roman" w:cs="Times New Roman" w:eastAsia="Times New Roman" w:hAnsi="Times New Roman"/>
          <w:sz w:val="18"/>
          <w:szCs w:val="18"/>
          <w:color w:val="auto"/>
        </w:rPr>
        <w:t>” means, (i) prior to the adoption of the Amended Charter at the Closing, the common stock of the Company, par value $0.0001 per share, and (ii) after the adoption of the Amended Charter at the Closing, the Class A common stock of the Company, par value $0.0001 per share, in accordance with the Amended Parent Charter.</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Class B Common Stock</w:t>
      </w:r>
      <w:r>
        <w:rPr>
          <w:rFonts w:ascii="Times New Roman" w:cs="Times New Roman" w:eastAsia="Times New Roman" w:hAnsi="Times New Roman"/>
          <w:sz w:val="18"/>
          <w:szCs w:val="18"/>
          <w:color w:val="auto"/>
        </w:rPr>
        <w:t>” means, if the Amended SoundHound Charter is adopted and approved by the Company Special Committee (as defined in the Merger Agreement) and the High Vote Company Stockholder Approval (as defined in the Merger Agreement), and subject to the terms as agreed to by the Company Special Committee and the Company Founders (as defined in the Merger Agreement), then, after the adoption of the Amended Charter at the Closing, the Class B common stock of the Company, par value $0.0001 per share, in accordance with the Amended Charter, which shall have the same exact rights and obligations of shares of Class A Common Stock, except that each share of Class B Common Stock shall be entitled to a number of votes per share equal to the number of votes per share as the Class B common stock of SoundHound.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Closing</w:t>
      </w:r>
      <w:r>
        <w:rPr>
          <w:rFonts w:ascii="Times New Roman" w:cs="Times New Roman" w:eastAsia="Times New Roman" w:hAnsi="Times New Roman"/>
          <w:sz w:val="18"/>
          <w:szCs w:val="18"/>
          <w:color w:val="auto"/>
        </w:rPr>
        <w:t>” means the closing of the Merger.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Closing Date</w:t>
      </w:r>
      <w:r>
        <w:rPr>
          <w:rFonts w:ascii="Times New Roman" w:cs="Times New Roman" w:eastAsia="Times New Roman" w:hAnsi="Times New Roman"/>
          <w:sz w:val="18"/>
          <w:szCs w:val="18"/>
          <w:color w:val="auto"/>
        </w:rPr>
        <w:t>” means the date the Company consummates the Merger.</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means the Securities and Exchange Commission, or any other Federal agency then administering the Securities Act or the Exchange Act.</w:t>
      </w:r>
    </w:p>
    <w:p>
      <w:pPr>
        <w:spacing w:after="0" w:line="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means the Class A Common Stock and, if the Class B common stock of SoundHound is approved and adopted and issued by SoundHound prior to the Closing, the Class B Common Stock. Any reference in this Agreement to the Common Stock prior to the adoption of the Amended Charter shall mean the Class A Common Stock.</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 Underwritten Offering</w:t>
      </w:r>
      <w:r>
        <w:rPr>
          <w:rFonts w:ascii="Times New Roman" w:cs="Times New Roman" w:eastAsia="Times New Roman" w:hAnsi="Times New Roman"/>
          <w:sz w:val="18"/>
          <w:szCs w:val="18"/>
          <w:color w:val="auto"/>
        </w:rPr>
        <w:t>” is defined in Section 2.2.1(b).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 Underwritten Shelf Offering Requesting Holder</w:t>
      </w:r>
      <w:r>
        <w:rPr>
          <w:rFonts w:ascii="Times New Roman" w:cs="Times New Roman" w:eastAsia="Times New Roman" w:hAnsi="Times New Roman"/>
          <w:sz w:val="18"/>
          <w:szCs w:val="18"/>
          <w:color w:val="auto"/>
        </w:rPr>
        <w:t>” is defined in Section 2.2.1(b).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Demand Registration</w:t>
      </w:r>
      <w:r>
        <w:rPr>
          <w:rFonts w:ascii="Times New Roman" w:cs="Times New Roman" w:eastAsia="Times New Roman" w:hAnsi="Times New Roman"/>
          <w:sz w:val="18"/>
          <w:szCs w:val="18"/>
          <w:color w:val="auto"/>
        </w:rPr>
        <w:t>” is defined in Section 2.1.1.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Demanding Holder</w:t>
      </w:r>
      <w:r>
        <w:rPr>
          <w:rFonts w:ascii="Times New Roman" w:cs="Times New Roman" w:eastAsia="Times New Roman" w:hAnsi="Times New Roman"/>
          <w:sz w:val="18"/>
          <w:szCs w:val="18"/>
          <w:color w:val="auto"/>
        </w:rPr>
        <w:t>” is defined in Section 2.1.1.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is defined in the preamble to this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Commission promulgated thereunder, all as the same shall be in effect at the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Form S-3</w:t>
      </w:r>
      <w:r>
        <w:rPr>
          <w:rFonts w:ascii="Times New Roman" w:cs="Times New Roman" w:eastAsia="Times New Roman" w:hAnsi="Times New Roman"/>
          <w:sz w:val="18"/>
          <w:szCs w:val="18"/>
          <w:color w:val="auto"/>
        </w:rPr>
        <w:t>” is defined in Section 2.3.</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4" w:name="page205"/>
    <w:bookmarkEnd w:id="20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Indemnified Party</w:t>
      </w:r>
      <w:r>
        <w:rPr>
          <w:rFonts w:ascii="Times New Roman" w:cs="Times New Roman" w:eastAsia="Times New Roman" w:hAnsi="Times New Roman"/>
          <w:sz w:val="18"/>
          <w:szCs w:val="18"/>
          <w:color w:val="auto"/>
        </w:rPr>
        <w:t>” is defined in Section 4.3.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Indemnifying Party</w:t>
      </w:r>
      <w:r>
        <w:rPr>
          <w:rFonts w:ascii="Times New Roman" w:cs="Times New Roman" w:eastAsia="Times New Roman" w:hAnsi="Times New Roman"/>
          <w:sz w:val="18"/>
          <w:szCs w:val="18"/>
          <w:color w:val="auto"/>
        </w:rPr>
        <w:t>” is defined in Section 4.3.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Initial Shares</w:t>
      </w:r>
      <w:r>
        <w:rPr>
          <w:rFonts w:ascii="Times New Roman" w:cs="Times New Roman" w:eastAsia="Times New Roman" w:hAnsi="Times New Roman"/>
          <w:sz w:val="18"/>
          <w:szCs w:val="18"/>
          <w:color w:val="auto"/>
        </w:rPr>
        <w:t>” means all of the outstanding shares of Common Stock issued prior to the consummation of the IPO.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Investor Indemnified Party</w:t>
      </w:r>
      <w:r>
        <w:rPr>
          <w:rFonts w:ascii="Times New Roman" w:cs="Times New Roman" w:eastAsia="Times New Roman" w:hAnsi="Times New Roman"/>
          <w:sz w:val="18"/>
          <w:szCs w:val="18"/>
          <w:color w:val="auto"/>
        </w:rPr>
        <w:t>” is defined in Section 4.1.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means the Company’s initial public offering.</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IPO Escrow Agreement</w:t>
      </w:r>
      <w:r>
        <w:rPr>
          <w:rFonts w:ascii="Times New Roman" w:cs="Times New Roman" w:eastAsia="Times New Roman" w:hAnsi="Times New Roman"/>
          <w:sz w:val="18"/>
          <w:szCs w:val="18"/>
          <w:color w:val="auto"/>
        </w:rPr>
        <w:t>” means the Stock Escrow Agreement dated as of March 10, 2021 by and among the Company, certain of the Investors and Continental Stock Transfer &amp; Trust Company.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Lock-up Agreement</w:t>
      </w:r>
      <w:r>
        <w:rPr>
          <w:rFonts w:ascii="Times New Roman" w:cs="Times New Roman" w:eastAsia="Times New Roman" w:hAnsi="Times New Roman"/>
          <w:sz w:val="18"/>
          <w:szCs w:val="18"/>
          <w:color w:val="auto"/>
        </w:rPr>
        <w:t>” is defined in Section 2.1.1.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Maximum Number of Shares</w:t>
      </w:r>
      <w:r>
        <w:rPr>
          <w:rFonts w:ascii="Times New Roman" w:cs="Times New Roman" w:eastAsia="Times New Roman" w:hAnsi="Times New Roman"/>
          <w:sz w:val="18"/>
          <w:szCs w:val="18"/>
          <w:color w:val="auto"/>
        </w:rPr>
        <w:t>” is defined in Section 2.1.4.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Merger</w:t>
      </w:r>
      <w:r>
        <w:rPr>
          <w:rFonts w:ascii="Times New Roman" w:cs="Times New Roman" w:eastAsia="Times New Roman" w:hAnsi="Times New Roman"/>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Merger Sub</w:t>
      </w:r>
      <w:r>
        <w:rPr>
          <w:rFonts w:ascii="Times New Roman" w:cs="Times New Roman" w:eastAsia="Times New Roman" w:hAnsi="Times New Roman"/>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Original Registration Rights Agreement</w:t>
      </w:r>
      <w:r>
        <w:rPr>
          <w:rFonts w:ascii="Times New Roman" w:cs="Times New Roman" w:eastAsia="Times New Roman" w:hAnsi="Times New Roman"/>
          <w:sz w:val="18"/>
          <w:szCs w:val="18"/>
          <w:color w:val="auto"/>
        </w:rPr>
        <w:t>” is defined in the preamble to this Agreement.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means a company, corporation, association, partnership, limited liability company, organization, joint venture, trust or other legal entity, an individual, a government or political subdivision thereof or a governmental agency.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Piggy-Back Registration</w:t>
      </w:r>
      <w:r>
        <w:rPr>
          <w:rFonts w:ascii="Times New Roman" w:cs="Times New Roman" w:eastAsia="Times New Roman" w:hAnsi="Times New Roman"/>
          <w:sz w:val="18"/>
          <w:szCs w:val="18"/>
          <w:color w:val="auto"/>
        </w:rPr>
        <w:t>” is defined in Section 2.2.1(a).</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PIPE Subscription Agreements</w:t>
      </w:r>
      <w:r>
        <w:rPr>
          <w:rFonts w:ascii="Times New Roman" w:cs="Times New Roman" w:eastAsia="Times New Roman" w:hAnsi="Times New Roman"/>
          <w:sz w:val="18"/>
          <w:szCs w:val="18"/>
          <w:color w:val="auto"/>
        </w:rPr>
        <w:t>” means the Subscription Agreements, dated as of November 15, 2021 and April 14, 2022, by and among the Company and the subscribers thereto (as may be amended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Pre-BC Investor</w:t>
      </w:r>
      <w:r>
        <w:rPr>
          <w:rFonts w:ascii="Times New Roman" w:cs="Times New Roman" w:eastAsia="Times New Roman" w:hAnsi="Times New Roman"/>
          <w:sz w:val="18"/>
          <w:szCs w:val="18"/>
          <w:color w:val="auto"/>
        </w:rPr>
        <w:t>” is defined in the preamble to this Agreement.</w:t>
      </w:r>
    </w:p>
    <w:p>
      <w:pPr>
        <w:spacing w:after="0" w:line="22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Private Subunit</w:t>
      </w:r>
      <w:r>
        <w:rPr>
          <w:rFonts w:ascii="Times New Roman" w:cs="Times New Roman" w:eastAsia="Times New Roman" w:hAnsi="Times New Roman"/>
          <w:sz w:val="18"/>
          <w:szCs w:val="18"/>
          <w:color w:val="auto"/>
        </w:rPr>
        <w:t>” means each subunit of the Company contained in the Private Units, comprised of (a) one share of Class A Common Stock and (b) one-quarter of one Private Warrant.</w:t>
      </w:r>
    </w:p>
    <w:p>
      <w:pPr>
        <w:spacing w:after="0" w:line="15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Private Unit</w:t>
      </w:r>
      <w:r>
        <w:rPr>
          <w:rFonts w:ascii="Times New Roman" w:cs="Times New Roman" w:eastAsia="Times New Roman" w:hAnsi="Times New Roman"/>
          <w:sz w:val="18"/>
          <w:szCs w:val="18"/>
          <w:color w:val="auto"/>
        </w:rPr>
        <w:t>” means each unit of the Company issued to the Sponsor and EarlyBirdCapital, Inc. in a private placement at the time of the consummation of the IPO at a price of $10.00 per Private Unit comprised of (a) one Private Subunit and (b) one-quarter of one Private Warrant.</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Private Warrants</w:t>
      </w:r>
      <w:r>
        <w:rPr>
          <w:rFonts w:ascii="Times New Roman" w:cs="Times New Roman" w:eastAsia="Times New Roman" w:hAnsi="Times New Roman"/>
          <w:sz w:val="18"/>
          <w:szCs w:val="18"/>
          <w:color w:val="auto"/>
        </w:rPr>
        <w:t>” means each warrant issued as part of Private Unit or Private Subunit, entitling the holder of one whole warrant to purchase one share of Class A Common Stock at an exercise price of $11.50 per whole share.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5" w:name="page206"/>
    <w:bookmarkEnd w:id="20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Pro Rata</w:t>
      </w:r>
      <w:r>
        <w:rPr>
          <w:rFonts w:ascii="Times New Roman" w:cs="Times New Roman" w:eastAsia="Times New Roman" w:hAnsi="Times New Roman"/>
          <w:sz w:val="18"/>
          <w:szCs w:val="18"/>
          <w:color w:val="auto"/>
        </w:rPr>
        <w:t>” is defined in Section 2.1.4.</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Registration</w:t>
      </w:r>
      <w:r>
        <w:rPr>
          <w:rFonts w:ascii="Times New Roman" w:cs="Times New Roman" w:eastAsia="Times New Roman" w:hAnsi="Times New Roman"/>
          <w:sz w:val="18"/>
          <w:szCs w:val="18"/>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Registrable Securities</w:t>
      </w:r>
      <w:r>
        <w:rPr>
          <w:rFonts w:ascii="Times New Roman" w:cs="Times New Roman" w:eastAsia="Times New Roman" w:hAnsi="Times New Roman"/>
          <w:sz w:val="18"/>
          <w:szCs w:val="18"/>
          <w:color w:val="auto"/>
        </w:rPr>
        <w:t>” means (i) the Initial Shares, (ii) the Private Units (and underlying securities), (iii) any securities issued upon the conversion at or prior to the Closing of working capital loans from Pre-BC Investors to the Company, if any, (iv) the shares of Class A Common Stock issued pursuant to the Merger Agreement, the Rollover Warrant Shares (as defined in the Merger Agreement), Rollover Option Shares (as defined in the Merger Agreement), and the shares of Class A Common Stock issuable upon conversion of any shares of Class B Common Stock and (v) any other equity security of the Company issued or issuable with respect to any such securities by way of a stock dividend, stock split, or other distribution or in connection with a combination of shares, recapitalization, merger, consolidation or reorganization.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them not bearing a legend restricting further transfer shall have been delivered by the Company and subsequent public distribution of them shall not require registration under the Securities Act; (c) such securities shall have ceased to be outstanding, or (d) the Registrable Securities are freely saleable by the applicable Investor under Rule 144 without volume limitations, requirements of current public information, manner of sale or any other restrictions under Rule 144.</w:t>
      </w:r>
    </w:p>
    <w:p>
      <w:pPr>
        <w:spacing w:after="0" w:line="19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means a registration statement filed by the Company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S-4 or Form S-8, or their successors, or any registration statement covering only securities proposed to be issued in exchange for securities or assets of another entity).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Release Date</w:t>
      </w:r>
      <w:r>
        <w:rPr>
          <w:rFonts w:ascii="Times New Roman" w:cs="Times New Roman" w:eastAsia="Times New Roman" w:hAnsi="Times New Roman"/>
          <w:sz w:val="18"/>
          <w:szCs w:val="18"/>
          <w:color w:val="auto"/>
        </w:rPr>
        <w:t>” means the date on which the Initial Shares are disbursed from escrow pursuant to Section 3 of the IPO Escrow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Representative</w:t>
      </w:r>
      <w:r>
        <w:rPr>
          <w:rFonts w:ascii="Times New Roman" w:cs="Times New Roman" w:eastAsia="Times New Roman" w:hAnsi="Times New Roman"/>
          <w:sz w:val="18"/>
          <w:szCs w:val="18"/>
          <w:color w:val="auto"/>
        </w:rPr>
        <w:t>” means EarlyBirdCapital,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Rule 144</w:t>
      </w:r>
      <w:r>
        <w:rPr>
          <w:rFonts w:ascii="Times New Roman" w:cs="Times New Roman" w:eastAsia="Times New Roman" w:hAnsi="Times New Roman"/>
          <w:sz w:val="18"/>
          <w:szCs w:val="18"/>
          <w:color w:val="auto"/>
        </w:rPr>
        <w:t>” means Rule 144 as promulgated under the Securities Act.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of the Commission promulgated thereunder, all as the same shall be in effect at the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SoundHound</w:t>
      </w:r>
      <w:r>
        <w:rPr>
          <w:rFonts w:ascii="Times New Roman" w:cs="Times New Roman" w:eastAsia="Times New Roman" w:hAnsi="Times New Roman"/>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SoundHound Investors</w:t>
      </w:r>
      <w:r>
        <w:rPr>
          <w:rFonts w:ascii="Times New Roman" w:cs="Times New Roman" w:eastAsia="Times New Roman" w:hAnsi="Times New Roman"/>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Sponsor</w:t>
      </w:r>
      <w:r>
        <w:rPr>
          <w:rFonts w:ascii="Times New Roman" w:cs="Times New Roman" w:eastAsia="Times New Roman" w:hAnsi="Times New Roman"/>
          <w:sz w:val="18"/>
          <w:szCs w:val="18"/>
          <w:color w:val="auto"/>
        </w:rPr>
        <w:t>” means Archimedes Tech SPAC Sponsors LLC.</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6" w:name="page207"/>
    <w:bookmarkEnd w:id="206"/>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Underwriter</w:t>
      </w:r>
      <w:r>
        <w:rPr>
          <w:rFonts w:ascii="Times New Roman" w:cs="Times New Roman" w:eastAsia="Times New Roman" w:hAnsi="Times New Roman"/>
          <w:sz w:val="18"/>
          <w:szCs w:val="18"/>
          <w:color w:val="auto"/>
        </w:rPr>
        <w:t>” means, solely for the purposes of this Agreement, a securities dealer who purchases any Registrable Securities as principal in an underwritten offering and not as part of such dealer’s market-making activities.</w:t>
      </w:r>
    </w:p>
    <w:p>
      <w:pPr>
        <w:spacing w:after="0" w:line="15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Underwritten Offering</w:t>
      </w:r>
      <w:r>
        <w:rPr>
          <w:rFonts w:ascii="Times New Roman" w:cs="Times New Roman" w:eastAsia="Times New Roman" w:hAnsi="Times New Roman"/>
          <w:sz w:val="18"/>
          <w:szCs w:val="18"/>
          <w:color w:val="auto"/>
        </w:rPr>
        <w:t>” means a Registration in which securities of the Company are sold to the Underwriter in a firm commitment underwriting for distribution to the public.</w:t>
      </w:r>
    </w:p>
    <w:p>
      <w:pPr>
        <w:spacing w:after="0" w:line="159" w:lineRule="exact"/>
        <w:rPr>
          <w:sz w:val="20"/>
          <w:szCs w:val="20"/>
          <w:color w:val="auto"/>
        </w:rPr>
      </w:pPr>
    </w:p>
    <w:p>
      <w:pPr>
        <w:ind w:left="840" w:hanging="184"/>
        <w:spacing w:after="0"/>
        <w:tabs>
          <w:tab w:leader="none" w:pos="8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Request for Demand Registration</w:t>
      </w:r>
      <w:r>
        <w:rPr>
          <w:rFonts w:ascii="Times New Roman" w:cs="Times New Roman" w:eastAsia="Times New Roman" w:hAnsi="Times New Roman"/>
          <w:sz w:val="18"/>
          <w:szCs w:val="18"/>
          <w:color w:val="auto"/>
        </w:rPr>
        <w:t>. At any time and from time to time on or after (i) the Effective Date with respect to the Private Units (or underlying securities), (ii) three months prior to the first possible Release Date with respect to the Initial Shares that are Registrable Securities and subject to the IPO Escrow Agreement, or (iii) three months prior to the first possible date on which the restrictions on transfer may lapse under the Lock-up Agreement entered into in connection with the Merger Agreement (the “</w:t>
      </w:r>
      <w:r>
        <w:rPr>
          <w:rFonts w:ascii="Times New Roman" w:cs="Times New Roman" w:eastAsia="Times New Roman" w:hAnsi="Times New Roman"/>
          <w:sz w:val="18"/>
          <w:szCs w:val="18"/>
          <w:b w:val="1"/>
          <w:bCs w:val="1"/>
          <w:u w:val="single" w:color="auto"/>
          <w:color w:val="auto"/>
        </w:rPr>
        <w:t>Lock-up Agreement</w:t>
      </w:r>
      <w:r>
        <w:rPr>
          <w:rFonts w:ascii="Times New Roman" w:cs="Times New Roman" w:eastAsia="Times New Roman" w:hAnsi="Times New Roman"/>
          <w:sz w:val="18"/>
          <w:szCs w:val="18"/>
          <w:color w:val="auto"/>
        </w:rPr>
        <w:t>”) with respect to all Registrable Securities held by the SoundHound Investors, the holders of a majority-in-interest of such Registrable Securities held by (x) the Pre-BC Investors, on the one hand, or (y) the SoundHound Investors, on the other hand, as the case may be, held by such Investors, or the transferees of such Investors, may make a written demand, on no more than two occasions in any twelve month period for each of the Pre-BC Investors and the SoundHound Investors, for registration under the Securities Act of all or part of their Registrable Securities, as the case may be (a “</w:t>
      </w:r>
      <w:r>
        <w:rPr>
          <w:rFonts w:ascii="Times New Roman" w:cs="Times New Roman" w:eastAsia="Times New Roman" w:hAnsi="Times New Roman"/>
          <w:sz w:val="18"/>
          <w:szCs w:val="18"/>
          <w:b w:val="1"/>
          <w:bCs w:val="1"/>
          <w:u w:val="single" w:color="auto"/>
          <w:color w:val="auto"/>
        </w:rPr>
        <w:t>Demand Registration</w:t>
      </w:r>
      <w:r>
        <w:rPr>
          <w:rFonts w:ascii="Times New Roman" w:cs="Times New Roman" w:eastAsia="Times New Roman" w:hAnsi="Times New Roman"/>
          <w:sz w:val="18"/>
          <w:szCs w:val="18"/>
          <w:color w:val="auto"/>
        </w:rPr>
        <w:t>”). Any demand for a Demand Registration shall specify the number of shares of Registrable Securities proposed to be sold and the intended method(s) of distribution thereof. The Company will notify all holders of Registrable Securities of the demand, and each holder of Registrable Securities who wishes to include all or a portion of such holder’s Registrable Securities in the Demand Registration (each such holder including shares of Registrable Securities in such registration, a “</w:t>
      </w:r>
      <w:r>
        <w:rPr>
          <w:rFonts w:ascii="Times New Roman" w:cs="Times New Roman" w:eastAsia="Times New Roman" w:hAnsi="Times New Roman"/>
          <w:sz w:val="18"/>
          <w:szCs w:val="18"/>
          <w:b w:val="1"/>
          <w:bCs w:val="1"/>
          <w:u w:val="single" w:color="auto"/>
          <w:color w:val="auto"/>
        </w:rPr>
        <w:t>Demanding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Holder</w:t>
      </w:r>
      <w:r>
        <w:rPr>
          <w:rFonts w:ascii="Times New Roman" w:cs="Times New Roman" w:eastAsia="Times New Roman" w:hAnsi="Times New Roman"/>
          <w:sz w:val="18"/>
          <w:szCs w:val="18"/>
          <w:color w:val="auto"/>
        </w:rPr>
        <w:t>”) shall so notify the Company within ten (10) days after the receipt by the holder of the notice from the Company. Upon any such request,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Demanding Holders shall be entitled to have their Registrable Securities included in the Demand Registration, subject to Section 2.1.4 and the provisos set forth in Section 3.1.1. The Company shall not be obligated to effect more than an aggregate of three (3) Demand Registrations (up to one (1) Demand Registration initiated by a majority-in-interest of the Pre-BC Investors, and up to two (2) Demand Registrations initiated by a majority-in-interest of the SoundHound Investors) under this Section 2.1.1 in respect of all Registrable Securities.</w:t>
      </w:r>
    </w:p>
    <w:p>
      <w:pPr>
        <w:spacing w:after="0" w:line="19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Effective Registration</w:t>
      </w:r>
      <w:r>
        <w:rPr>
          <w:rFonts w:ascii="Times New Roman" w:cs="Times New Roman" w:eastAsia="Times New Roman" w:hAnsi="Times New Roman"/>
          <w:sz w:val="18"/>
          <w:szCs w:val="18"/>
          <w:color w:val="auto"/>
        </w:rPr>
        <w:t xml:space="preserve">. A registration will not count as a Demand Registration until (i) the Registration Statement filed with the Commission with respect to such Demand Registration has been declared effective, (ii) the Company has complied with all of its obligations under this Agreement with respect thereto and (iii) the Registration Statement has remained effective continuously until the earlier of (x) one (1) year after effectiveness or (y) the date on which all of the Registrable Securities requested by the Demanding Holders to be registered on behalf of the Demanding Holders in such Registration Statement have been sold;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thereafter elect to continue the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Company shall not be obligated to file a second Registration Statement until a Registration Statement that has been filed is counted as a Demand Registration or is terminated.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7" w:name="page208"/>
    <w:bookmarkEnd w:id="207"/>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Underwritten Offering pursuant to Demand Registration</w:t>
      </w:r>
      <w:r>
        <w:rPr>
          <w:rFonts w:ascii="Times New Roman" w:cs="Times New Roman" w:eastAsia="Times New Roman" w:hAnsi="Times New Roman"/>
          <w:sz w:val="18"/>
          <w:szCs w:val="18"/>
          <w:color w:val="auto"/>
        </w:rPr>
        <w:t xml:space="preserve">. If a majority-in-interest of the Demanding Holders so elect and such holders so advise the Company as part of their written demand for a Demand Registration, the offering of such Registrable Securities pursuant to such Demand Registration, or a portion thereof, shall be in the form of an Underwritten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aggregate offering price for any such Underwritten Offering may not be less than $25,000,000, unless the Company is eligible to register such shares of Common Stock on Form S-3, or subsequent similar form, in a manner which does not require inclusion of any information concerning the Company other than to incorporate by reference (including forward incorporation by reference) its filings under the Exchange Act, in which case the aggregate offering price for any such Underwritten Offering may not be less than $10,000,000. All such Demanding Holders proposing to distribute their Registrable Securities through such Underwritten Offering under this Section 2.1.3 shall, at the time of any such Underwritten Offering, enter into an underwriting agreement in customary form with the Underwriter(s) selected by a majority-in-interest of the Demanding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Underwriter(s) is reasonably satisfactory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obligation of any such Investor to indemnify any Person pursuant to any such underwriting agreement shall be several, not joint, among such Investors selling Registrable Securities, and such liability shall be limited to the net amount received by any such Investor from the sale of his, her or its Registrable Securities pursuant to such Underwritten Offering, and the relative liability of each such Investor shall be in proportion to such net amounts.</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Reduction of Offering in Connection with Demand Registration</w:t>
      </w:r>
      <w:r>
        <w:rPr>
          <w:rFonts w:ascii="Times New Roman" w:cs="Times New Roman" w:eastAsia="Times New Roman" w:hAnsi="Times New Roman"/>
          <w:sz w:val="18"/>
          <w:szCs w:val="18"/>
          <w:color w:val="auto"/>
        </w:rPr>
        <w:t>. If the managing Underwriter(s) in an Underwritten Offering effected pursuant to a Demand Registration in good faith advises the Company and the Demanding Holders in writing that the dollar amount or number of shares of Registrable Securities which the Demanding Holders desire to sell, taken together with all other shares of Common Stock or other securities which the Company desires to sell and the shares of Common Stock or other securities, if any, as to which a registration has been requested pursuant to separate written contractual piggy-back registration rights held by other stockholders of the Company who desire to sell, exceeds the maximum dollar amount or maximum number of shares that can be sold in such offering without adversely affecting the proposed offering price, the timing, the distribution method, or the probability of success of such offering (such maximum dollar amount or maximum number of shares, as applicable, the “</w:t>
      </w:r>
      <w:r>
        <w:rPr>
          <w:rFonts w:ascii="Times New Roman" w:cs="Times New Roman" w:eastAsia="Times New Roman" w:hAnsi="Times New Roman"/>
          <w:sz w:val="18"/>
          <w:szCs w:val="18"/>
          <w:b w:val="1"/>
          <w:bCs w:val="1"/>
          <w:u w:val="single" w:color="auto"/>
          <w:color w:val="auto"/>
        </w:rPr>
        <w:t>Maximum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Number of Shares</w:t>
      </w:r>
      <w:r>
        <w:rPr>
          <w:rFonts w:ascii="Times New Roman" w:cs="Times New Roman" w:eastAsia="Times New Roman" w:hAnsi="Times New Roman"/>
          <w:sz w:val="18"/>
          <w:szCs w:val="18"/>
          <w:color w:val="auto"/>
        </w:rPr>
        <w:t>”), then the Company shall include in such registration: (i) first, the Registrable Securities as to which Demand Registration has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requested by the Demanding Holders (pro rata in accordance with the number of shares that each such Person has requested be included in such registration, regardless of the number of shares held by each such Person (such proportion is referred to herein as “</w:t>
      </w:r>
      <w:r>
        <w:rPr>
          <w:rFonts w:ascii="Times New Roman" w:cs="Times New Roman" w:eastAsia="Times New Roman" w:hAnsi="Times New Roman"/>
          <w:sz w:val="18"/>
          <w:szCs w:val="18"/>
          <w:b w:val="1"/>
          <w:bCs w:val="1"/>
          <w:u w:val="single" w:color="auto"/>
          <w:color w:val="auto"/>
        </w:rPr>
        <w:t>Pro Rata</w:t>
      </w:r>
      <w:r>
        <w:rPr>
          <w:rFonts w:ascii="Times New Roman" w:cs="Times New Roman" w:eastAsia="Times New Roman" w:hAnsi="Times New Roman"/>
          <w:sz w:val="18"/>
          <w:szCs w:val="18"/>
          <w:color w:val="auto"/>
        </w:rPr>
        <w:t>”)) up to the maximum amount that can be sold without exceeding the Maximum Number of Shares; (ii) second, to the extent that the Maximum Number of Shares has not been reached under the foregoing clause (i), the shares of Common Stock or other securities that the Company desires to sell that can be sold without exceeding the Maximum Number of Shares; (iii) third, to the extent that the Maximum Number of Shares has not been reached under the foregoing clauses (i) and (ii), the shares of Common Stock or other securities for the account of other Persons that the Company is obligated to register pursuant to then other written contractual arrangements with such Persons and that can be sold without exceeding the Maximum Number of Shares.</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Demand Registration Withdrawal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4" w:lineRule="auto"/>
        <w:tabs>
          <w:tab w:leader="none" w:pos="219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majority-in-interest of the Demanding Holders disapprove of the terms of any underwriting or are not entitled to include all of their Registrable Securities in any offering, such majority-in-interest of the Demanding Holders may elect to withdraw from such offering by giving written notice to the Company and the Underwriter or Underwriters of their request to withdraw prior to the effectiveness of the Registration Statement filed with the Commission with respect to such Demand Registration. If the majority-in-interest of the Demanding Holders withdraws from a proposed offering relating to a Demand Registration, then such registration shall not count as a Demand Registration provided for in this Section 2.1. Notwithstanding the forgoing, an Investor may withdraw all or any portion of its Registrable Securities included in a Demand Registration from such Demand Registration at any time prior to the effectiveness of the applicable Registration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withdrawal shall be irrevocable and, after making such withdrawal, an Investor shall no longer have any right to include Registrable Securities in the Demand Registration as to which such withdrawal was made.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8" w:name="page209"/>
    <w:bookmarkEnd w:id="208"/>
    <w:p>
      <w:pPr>
        <w:jc w:val="both"/>
        <w:ind w:right="20" w:firstLine="1952"/>
        <w:spacing w:after="0" w:line="266" w:lineRule="auto"/>
        <w:tabs>
          <w:tab w:leader="none" w:pos="220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the Company shall be responsible for the registration expenses described in Section 3.3 incurred in connection with a Registration pursuant to a Demand Registration or an Underwritten Offering prior to its withdrawal under this Section 2.1.5.</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Piggy-Back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2" w:lineRule="auto"/>
        <w:tabs>
          <w:tab w:leader="none" w:pos="219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on or after the Effective Date, the Company proposes to file a Registration Statement under the Securities Act with respect to an offering of equity securities, or securities or other obligations exercisable or exchangeable for, or convertible into, equity securities, by the Company for its own account or for stockholders of the Company for their account (or by the Company and by stockholders of the Company including, without limitation, pursuant to Section 2.1), other than a Registration Statement (i) filed in connection with any employee stock option or other benefit plan, (ii) for an exchange offer or offering of securities solely to the Company’s existing stockholders, (iii) for an offering of debt that is convertible into equity securities of the Company, (iv) for a dividend reinvestment plan, (v) that is on Form S-4 (as promulgated under the Securities Act) relating to equity securities to be issued solely in connection with any acquisition of any entity or business or their then equivalents, or (vi) filed relating to the resale of equity securities to be issued under the PIPE Subscription Agreements; provided, however, that the limitation under clause (vi) shall only apply to the first Registration Statement filed by the Company as required under the PIPE Subscription Agreements, then the Company shall (x) give written notice of such proposed filing to the holders of Registrable Securities as soon as practicable but in no event less than ten (10) days before the anticipated filing date, which notice shall describe the amount and type of securities to be included in such offering, the intended method(s) of distribution, and the name of the proposed managing Underwriter or Underwriters, if any, of the offering, and (y) offer to the holders of Registrable Securities in such notice the opportunity to register the sale of such number of shares of Registrable Securities as such holders may request in writing within five (5) days following receipt of such notice (a “</w:t>
      </w:r>
      <w:r>
        <w:rPr>
          <w:rFonts w:ascii="Times New Roman" w:cs="Times New Roman" w:eastAsia="Times New Roman" w:hAnsi="Times New Roman"/>
          <w:sz w:val="18"/>
          <w:szCs w:val="18"/>
          <w:b w:val="1"/>
          <w:bCs w:val="1"/>
          <w:u w:val="single" w:color="auto"/>
          <w:color w:val="auto"/>
        </w:rPr>
        <w:t>Piggy-Back Registration</w:t>
      </w:r>
      <w:r>
        <w:rPr>
          <w:rFonts w:ascii="Times New Roman" w:cs="Times New Roman" w:eastAsia="Times New Roman" w:hAnsi="Times New Roman"/>
          <w:sz w:val="18"/>
          <w:szCs w:val="18"/>
          <w:color w:val="auto"/>
        </w:rPr>
        <w:t>”). The Company shall cause such Registrable Securities to be included in such Piggy-back Registration.</w:t>
      </w:r>
    </w:p>
    <w:p>
      <w:pPr>
        <w:spacing w:after="0" w:line="197" w:lineRule="exact"/>
        <w:rPr>
          <w:rFonts w:ascii="Times New Roman" w:cs="Times New Roman" w:eastAsia="Times New Roman" w:hAnsi="Times New Roman"/>
          <w:sz w:val="18"/>
          <w:szCs w:val="18"/>
          <w:color w:val="auto"/>
        </w:rPr>
      </w:pPr>
    </w:p>
    <w:p>
      <w:pPr>
        <w:jc w:val="both"/>
        <w:ind w:firstLine="1952"/>
        <w:spacing w:after="0" w:line="251" w:lineRule="auto"/>
        <w:tabs>
          <w:tab w:leader="none" w:pos="220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on or after the Effective Date, the Company proposes to effect an Underwritten Offering for its own account or for the account of stockholders of the Company (a “</w:t>
      </w:r>
      <w:r>
        <w:rPr>
          <w:rFonts w:ascii="Times New Roman" w:cs="Times New Roman" w:eastAsia="Times New Roman" w:hAnsi="Times New Roman"/>
          <w:sz w:val="18"/>
          <w:szCs w:val="18"/>
          <w:b w:val="1"/>
          <w:bCs w:val="1"/>
          <w:u w:val="single" w:color="auto"/>
          <w:color w:val="auto"/>
        </w:rPr>
        <w:t>Company Underwritten Offering</w:t>
      </w:r>
      <w:r>
        <w:rPr>
          <w:rFonts w:ascii="Times New Roman" w:cs="Times New Roman" w:eastAsia="Times New Roman" w:hAnsi="Times New Roman"/>
          <w:sz w:val="18"/>
          <w:szCs w:val="18"/>
          <w:color w:val="auto"/>
        </w:rPr>
        <w:t>”), the Company shall notify, in writing, all Investors holding Registrable Securities of such demand, and such Investor who thereafter wishes to include all or a portion of such Investor’s Registrable Securities in such Underwritten Offering (each such Investor, a “</w:t>
      </w:r>
      <w:r>
        <w:rPr>
          <w:rFonts w:ascii="Times New Roman" w:cs="Times New Roman" w:eastAsia="Times New Roman" w:hAnsi="Times New Roman"/>
          <w:sz w:val="18"/>
          <w:szCs w:val="18"/>
          <w:b w:val="1"/>
          <w:bCs w:val="1"/>
          <w:u w:val="single" w:color="auto"/>
          <w:color w:val="auto"/>
        </w:rPr>
        <w:t>Company Underwritten Shelf Offering Requesting Holder</w:t>
      </w:r>
      <w:r>
        <w:rPr>
          <w:rFonts w:ascii="Times New Roman" w:cs="Times New Roman" w:eastAsia="Times New Roman" w:hAnsi="Times New Roman"/>
          <w:sz w:val="18"/>
          <w:szCs w:val="18"/>
          <w:color w:val="auto"/>
        </w:rPr>
        <w:t xml:space="preserve">”) shall so notify the Company, in writing, within five (5) days after the receipt by such Investor of the notice from the Company. Upon receipt by the Company of any such written notification, such Company Underwritten Shelf Offering Requesting Holder shall be entitled, subject to Sections 2.2.2 and 3.1.1 hereof, to have its Registrable Securities included in the Company Underwritten Offering. The Company shall use its commercially reasonable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obligation of any such Investor to indemnify any Person pursuant to any such underwriting agreement shall be several, not joint, among such Investors selling Registrable Securities, and such liability shall be limited to the net amount received by any such Investor from the sale of its Registrable Securities pursuant to such Underwritten Offering, and the relative liability of each such Investor shall be in proportion to such net amounts. Notwithstanding the provisions set forth in the immediately preceding sentences, the right to</w:t>
      </w:r>
    </w:p>
    <w:p>
      <w:pPr>
        <w:spacing w:after="0" w:line="11" w:lineRule="exact"/>
        <w:rPr>
          <w:sz w:val="20"/>
          <w:szCs w:val="20"/>
          <w:color w:val="auto"/>
        </w:rPr>
      </w:pPr>
    </w:p>
    <w:p>
      <w:pPr>
        <w:ind w:right="20"/>
        <w:spacing w:after="0" w:line="209" w:lineRule="auto"/>
        <w:rPr>
          <w:sz w:val="20"/>
          <w:szCs w:val="20"/>
          <w:color w:val="auto"/>
        </w:rPr>
      </w:pPr>
      <w:r>
        <w:rPr>
          <w:rFonts w:ascii="Times New Roman" w:cs="Times New Roman" w:eastAsia="Times New Roman" w:hAnsi="Times New Roman"/>
          <w:sz w:val="18"/>
          <w:szCs w:val="18"/>
          <w:color w:val="auto"/>
        </w:rPr>
        <w:t>a Piggy-Back Registration set forth under this Section 2.2.1 with respect to the Registrable Securities shall terminate on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Effective Date.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9" w:name="page210"/>
    <w:bookmarkEnd w:id="209"/>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Reduction of Underwritten Offering in Connection with Piggy-Back Registration</w:t>
      </w:r>
      <w:r>
        <w:rPr>
          <w:rFonts w:ascii="Times New Roman" w:cs="Times New Roman" w:eastAsia="Times New Roman" w:hAnsi="Times New Roman"/>
          <w:sz w:val="18"/>
          <w:szCs w:val="18"/>
          <w:color w:val="auto"/>
        </w:rPr>
        <w:t>. If the managing Underwriter or Underwriters for a Piggy-Back Registration that is to be an Underwritten Offering advises the Company and the holders of Registrable Securities participating in the Underwritten Offering in writing that the dollar amount or number of shares of Common Stock which the Company desires to sell in such Underwritten Offering, taken together with the shares of Common Stock, if any, as to which inclusion in such Underwritten Offering has been demanded pursuant to separate written contractual arrangements with Persons other than the holders of Registrable Securities hereunder, the Registrable Securities as to which inclusion in such Underwritten Offering has been requested under Section 2.2.1 above, and the shares of Common Stock or other securities, if any, as to which inclusion in such Underwritten Offering has been requested pursuant to separate written contractual Piggy-Back Registration rights of other stockholders of the Company, exceeds the Maximum Number of Shares, then the Company shall include in any such registration:</w:t>
      </w:r>
    </w:p>
    <w:p>
      <w:pPr>
        <w:spacing w:after="0" w:line="192" w:lineRule="exact"/>
        <w:rPr>
          <w:sz w:val="20"/>
          <w:szCs w:val="20"/>
          <w:color w:val="auto"/>
        </w:rPr>
      </w:pPr>
    </w:p>
    <w:p>
      <w:pPr>
        <w:jc w:val="both"/>
        <w:ind w:firstLine="1952"/>
        <w:spacing w:after="0" w:line="254" w:lineRule="auto"/>
        <w:tabs>
          <w:tab w:leader="none" w:pos="219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Underwritten Offering is undertaken for the Company’s account: (A) first, the shares of Common Stock or other equity securities that the Company desires to sell in such Underwritten Offering that can be sold without exceeding the Maximum Number of Shares; (B) second, to the extent that the Maximum Number of Shares has not been reached under the foregoing clause (A), the shares of Common Stock or other securities, if any, comprised of Registrable Securities, as to which registration has been requested pursuant to the applicable written contractual piggy-back registration rights of such security holders, Pro Rata, that can be sold without exceeding the Maximum Number of Shares; and (C) third, to the extent that the Maximum Number of Shares has not been reached under the foregoing clauses (A) and (B), the shares of Common Stock or other securities for the account of other Persons that the Company is obligated to register pursuant to written contractual piggy-back registration rights with such Persons and that can be sold without exceeding the Maximum Number of Shares;</w:t>
      </w:r>
    </w:p>
    <w:p>
      <w:pPr>
        <w:spacing w:after="0" w:line="19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is a “demand” registration undertaken at the demand of Persons other than either the holders of Registrable Securities, (A) first, the shares of Common Stock or other securities for the account of the demanding Persons and the shares of Common Stock or other securities comprised of Registrable Securities, Pro Rata, as to which registration has been requested pursuant to the terms hereof, that can be sold without exceeding the Maximum Number of Shares; (B) second, to the extent that the Maximum Number of Shares has not been reached under the foregoing clause (A), the shares of Common Stock or other securities that the Company desires to sell that can be sold without exceeding the Maximum Number of Shares; (C) third, to the extent that the Maximum Number of Shares has not been reached under the foregoing clauses (A) and (B), the shares of Common Stock or other securities for the account of other Persons that the Company is obligated to register pursuant to written contractual arrangements with such Persons, that can be sold without exceeding the Maximum Number of Shares.</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Piggy-Back Registration Withdrawal</w:t>
      </w:r>
      <w:r>
        <w:rPr>
          <w:rFonts w:ascii="Times New Roman" w:cs="Times New Roman" w:eastAsia="Times New Roman" w:hAnsi="Times New Roman"/>
          <w:sz w:val="18"/>
          <w:szCs w:val="18"/>
          <w:color w:val="auto"/>
        </w:rPr>
        <w:t>. Any holder of Registrable Securities may elect to withdraw such holder’s request for inclusion of Registrable Securities in any Piggy-Back Registration by giving written notice to the Company and the Underwriter(s) (if any) of such request to withdraw prior to the effectiveness of the Registration Statement. The Company (whether on its own determination or as the result of a withdrawal by Persons making a demand pursuant to separate written contractual obligations) may withdraw a Registration Statement filed with the Commission in connection with a Piggy-back Registration at any time prior to the effectiveness of such Registration Statement. In the case of any Underwritten Offering in connection with any Piggy-back Registration, any participating Investor shall have the right to withdraw their respective Registrable Securities from such Underwritten Offering prior to the pricing of such Underwritten Offering. Notwithstanding anything to the contrary in this Agreement, the Company shall pay all expenses incurred by the holders of Registrable Securities in connection with such Piggy-Back Registration or Underwritten Offering prior to its withdrawal as provided in Section 3.3.</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0" w:name="page211"/>
    <w:bookmarkEnd w:id="210"/>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Unlimited Piggy-back Registration Rights</w:t>
      </w:r>
      <w:r>
        <w:rPr>
          <w:rFonts w:ascii="Times New Roman" w:cs="Times New Roman" w:eastAsia="Times New Roman" w:hAnsi="Times New Roman"/>
          <w:sz w:val="18"/>
          <w:szCs w:val="18"/>
          <w:color w:val="auto"/>
        </w:rPr>
        <w:t>. For purposes of clarity, any Registration or Underwritten Offering effected pursuant to Section 2.2. hereof shall not be counted as a Registration pursuant to a Demand Registration effected under Section 2.1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Resale Shelf Registration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Registration Statement Covering Resale of Registrable Securities</w:t>
      </w:r>
      <w:r>
        <w:rPr>
          <w:rFonts w:ascii="Times New Roman" w:cs="Times New Roman" w:eastAsia="Times New Roman" w:hAnsi="Times New Roman"/>
          <w:sz w:val="18"/>
          <w:szCs w:val="18"/>
          <w:color w:val="auto"/>
        </w:rPr>
        <w:t>. The Company shall prepare and file or cause to be prepared and filed with the Commission, no later than sixty (60) days following the Closing Date (the “</w:t>
      </w:r>
      <w:r>
        <w:rPr>
          <w:rFonts w:ascii="Times New Roman" w:cs="Times New Roman" w:eastAsia="Times New Roman" w:hAnsi="Times New Roman"/>
          <w:sz w:val="18"/>
          <w:szCs w:val="18"/>
          <w:b w:val="1"/>
          <w:bCs w:val="1"/>
          <w:u w:val="single" w:color="auto"/>
          <w:color w:val="auto"/>
        </w:rPr>
        <w:t>Filing Deadline</w:t>
      </w:r>
      <w:r>
        <w:rPr>
          <w:rFonts w:ascii="Times New Roman" w:cs="Times New Roman" w:eastAsia="Times New Roman" w:hAnsi="Times New Roman"/>
          <w:sz w:val="18"/>
          <w:szCs w:val="18"/>
          <w:color w:val="auto"/>
        </w:rPr>
        <w:t>”), a Registration Statement for an offering to be made on a continuous basis pursuant to Rule 415 of the Securities Act or any successor thereto registering the resale from time to time by holders of all of the Registrable Securities held by the Holders (the “</w:t>
      </w:r>
      <w:r>
        <w:rPr>
          <w:rFonts w:ascii="Times New Roman" w:cs="Times New Roman" w:eastAsia="Times New Roman" w:hAnsi="Times New Roman"/>
          <w:sz w:val="18"/>
          <w:szCs w:val="18"/>
          <w:b w:val="1"/>
          <w:bCs w:val="1"/>
          <w:u w:val="single" w:color="auto"/>
          <w:color w:val="auto"/>
        </w:rPr>
        <w:t>Resale Shelf Registration Statement</w:t>
      </w:r>
      <w:r>
        <w:rPr>
          <w:rFonts w:ascii="Times New Roman" w:cs="Times New Roman" w:eastAsia="Times New Roman" w:hAnsi="Times New Roman"/>
          <w:sz w:val="18"/>
          <w:szCs w:val="18"/>
          <w:color w:val="auto"/>
        </w:rPr>
        <w:t>”). The Resale Shelf Registration Statement shall be on Form S-3 (or, if Form S-3 is not available to be used by the Company at such time, on Form S-1 or another appropriate form permitting Registration of such Registrable Securities for resale). If the Resale Shelf Registration Statement is initially filed on Form S-1 and thereafter the Company becomes eligible to use Form S-3 for secondary sales, the Company shall, as promptly as practicable, cause such Resale Shelf Registration Statement to be amended, or shall file a new replacement Resale Shelf Registration Statement, such that the Resale Shelf Registration Statement is on Form S-3. The Company shall use commercially reasonable efforts to cause the Resale Shelf Registration Statement to be declared effective as soon as possible after filing, but in no event later than sixty (60) days following the Filing Deadline (the “</w:t>
      </w:r>
      <w:r>
        <w:rPr>
          <w:rFonts w:ascii="Times New Roman" w:cs="Times New Roman" w:eastAsia="Times New Roman" w:hAnsi="Times New Roman"/>
          <w:sz w:val="18"/>
          <w:szCs w:val="18"/>
          <w:b w:val="1"/>
          <w:bCs w:val="1"/>
          <w:u w:val="single" w:color="auto"/>
          <w:color w:val="auto"/>
        </w:rPr>
        <w:t>Effectiveness Deadline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Effectiveness Deadline shall be extended to ninety (90) days after the Filing Deadline if the Registration Statement is reviewed by, and receives comments from, the Commission. Notwithstanding the foregoing, the Company’s obligations to include the Registrable Securities held by a holder in the Resale Shelf Registration Statement are contingent upon such holder furnishing in writing to the Company such information regarding the holder, the securities of the Company held by the holder and the intended method of disposition of the Registrable Securities as shall be reasonably requested by the Company to effect the registration of the Registrable Securities, and the holder’s execution and delivery of such documents in connection with such registration as the Company may reasonably request that are customary of a selling stockholder in similar situations. Once effective, the Company shall use commercially reasonable efforts to keep the Resale Shelf Registration Statement and Prospectus included therein continuously effective and to be supplemented and amended to the extent necessary to ensure that such Registration Statement is available or, if not available, to ensure that another Registration Statement is available, under the Securities Act at all times until the earliest of (i) the date on which all Registrable Securities and other securities covered by such Registration Statement have been disposed of in accordance with the intended method(s) of distribution set forth in such Registration Statement and (ii) the date on which all Registrable Securities and other securities covered by such Registration Statement have ceased to be Registrable Securities. The Registration Statement filed with the Commission pursuant to this subsection 2.3.1 shall contain a Prospectus in such form as to permit any holder to sell such Registrable Securities pursuant to Rule 415 under the Securities Act (or any successor or similar provision adopted by the Commission then in effect) at any time beginning on the effective date for such Registration Statement (subject to lock-up restrictions under the Lock-up Agreement and the Release Date under the IPO Escrow Agreement), and shall provide that such Registrable Securities may be sold pursuant to any method or combination of methods legally available to, and requested by, holders of the Registrable Securities.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1" w:name="page212"/>
    <w:bookmarkEnd w:id="211"/>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auto"/>
        </w:rPr>
        <w:t>Amendments and Supplements</w:t>
      </w:r>
      <w:r>
        <w:rPr>
          <w:rFonts w:ascii="Times New Roman" w:cs="Times New Roman" w:eastAsia="Times New Roman" w:hAnsi="Times New Roman"/>
          <w:sz w:val="18"/>
          <w:szCs w:val="18"/>
          <w:color w:val="auto"/>
        </w:rPr>
        <w:t>. Subject to the provisions of Section 2.3.1 above, the Company shall promptly prepare and file with the Commission from time to time such amendments and supplements to the Resale Shelf Registration Statement and Prospectus used in connection therewith as may be necessary to keep the Resale Shelf Registration Statement effective and to comply with the provisions of the Securities Act with respect to the disposition of all the Registrable Securities. If any Resale Shelf Registration Statement filed pursuant to Section 2.3.1 is filed on Form S-3 and thereafter the Company becomes ineligible to use Form S-3 for secondary sales, the Company shall promptly notify the holders of such ineligibility and use its commercially reasonable efforts to file a shelf registration on an appropriate form as promptly as practicable to replace the shelf registration statement on Form S-3 and have such replacement Resale Shelf Registration Statement declared effective as promptly as practicable and to cause such replacement Resale Shelf Registration Statement to remain effective, and to be supplemented and amended to the extent necessary to ensure that such Resale Shelf Registration Statement is available or, if not available, that another Resale Shelf Registration Statement is available, for the resale of all the Registrable Securities held by the holders until all such Registrable Securities have ceased to be Registrable Securities; provided, however, that at any time the Company once again becomes eligible to use Form S-3, the Company shall cause such replacement Resale Shelf Registration Statement to be amended, or shall file a new replacement Resale Shelf Registration Statement, such that the Resale Shelf Registration Statement is once again on Form S-3.</w:t>
      </w:r>
    </w:p>
    <w:p>
      <w:pPr>
        <w:spacing w:after="0" w:line="19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u w:val="single" w:color="auto"/>
          <w:color w:val="auto"/>
        </w:rPr>
        <w:t>SEC Cutback</w:t>
      </w:r>
      <w:r>
        <w:rPr>
          <w:rFonts w:ascii="Times New Roman" w:cs="Times New Roman" w:eastAsia="Times New Roman" w:hAnsi="Times New Roman"/>
          <w:sz w:val="18"/>
          <w:szCs w:val="18"/>
          <w:color w:val="auto"/>
        </w:rPr>
        <w:t>. Notwithstanding the registration obligations set forth in this Section 2.3, in the event the Commission informs the Company that all of the Registrable Securities cannot, as a result of the application of Rule 415, be registered for resale as a secondary offering on a single registration statement, the Company agrees to promptly (i) inform each of the holders thereof and use its commercially reasonable efforts to file amendments to the Resale Shelf Registration Statement as required by the Commission and/or (ii) withdraw the Resale Shelf Registration Statement and file a new registration statement (a “</w:t>
      </w:r>
      <w:r>
        <w:rPr>
          <w:rFonts w:ascii="Times New Roman" w:cs="Times New Roman" w:eastAsia="Times New Roman" w:hAnsi="Times New Roman"/>
          <w:sz w:val="18"/>
          <w:szCs w:val="18"/>
          <w:b w:val="1"/>
          <w:bCs w:val="1"/>
          <w:u w:val="single" w:color="auto"/>
          <w:color w:val="auto"/>
        </w:rPr>
        <w:t>New Registration Statement</w:t>
      </w:r>
      <w:r>
        <w:rPr>
          <w:rFonts w:ascii="Times New Roman" w:cs="Times New Roman" w:eastAsia="Times New Roman" w:hAnsi="Times New Roman"/>
          <w:sz w:val="18"/>
          <w:szCs w:val="18"/>
          <w:color w:val="auto"/>
        </w:rPr>
        <w:t>”) on Form S-3, or if Form S-3 is not then available to the Company for such registration statement, on such other form available to register for resale the Registrable Securities as a secondary offering; provided, however, that prior to filing such amendment or New Registration Statement, the Company shall use its commercially reasonable efforts to advocate with the Commission for the registration of all of the Registrable Securities in accordance with any publicly-available written or oral guidance, comments, requirements or requests of the Commission staff (the “</w:t>
      </w:r>
      <w:r>
        <w:rPr>
          <w:rFonts w:ascii="Times New Roman" w:cs="Times New Roman" w:eastAsia="Times New Roman" w:hAnsi="Times New Roman"/>
          <w:sz w:val="18"/>
          <w:szCs w:val="18"/>
          <w:b w:val="1"/>
          <w:bCs w:val="1"/>
          <w:u w:val="single" w:color="auto"/>
          <w:color w:val="auto"/>
        </w:rPr>
        <w:t>SEC Guidance</w:t>
      </w:r>
      <w:r>
        <w:rPr>
          <w:rFonts w:ascii="Times New Roman" w:cs="Times New Roman" w:eastAsia="Times New Roman" w:hAnsi="Times New Roman"/>
          <w:sz w:val="18"/>
          <w:szCs w:val="18"/>
          <w:color w:val="auto"/>
        </w:rPr>
        <w:t>”). Notwithstanding any other provision of this Agreement, if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number of Registrable Securities), unless otherwise directed in writing by a holder as to further limit its Registrable Securities to be included on the Registration Statement, the number of Registrable Securities to be registered on such Registration Statement will be reduced Pro Rata among all such selling shareholders whose securities are included in such Registration Statement, subject to a determination by the Commission that certain holders must be reduced first based on the number of Registrable Securities held by such holders. In the event the Company amends the Resale Shelf Registration Statement or files a New Registration Statement, as the case may be,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Resale Shelf Registration Statement, as amended, or the New Registration Statement.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2" w:name="page213"/>
    <w:bookmarkEnd w:id="212"/>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2.3.4 </w:t>
      </w:r>
      <w:r>
        <w:rPr>
          <w:rFonts w:ascii="Times New Roman" w:cs="Times New Roman" w:eastAsia="Times New Roman" w:hAnsi="Times New Roman"/>
          <w:sz w:val="18"/>
          <w:szCs w:val="18"/>
          <w:u w:val="single" w:color="auto"/>
          <w:color w:val="auto"/>
        </w:rPr>
        <w:t>Underwritten Shelf Takedown</w:t>
      </w:r>
      <w:r>
        <w:rPr>
          <w:rFonts w:ascii="Times New Roman" w:cs="Times New Roman" w:eastAsia="Times New Roman" w:hAnsi="Times New Roman"/>
          <w:sz w:val="18"/>
          <w:szCs w:val="18"/>
          <w:color w:val="auto"/>
        </w:rPr>
        <w:t>. At any time and from time to time after a Resale Shelf Registration Statement has been declared effective by the Commission, the holders of Registrable Securities may request to sell all or any portion of the Registrable Securities in an underwritten offering that is registered pursuant to the Resale Shelf Registration Statement (each, an “</w:t>
      </w:r>
      <w:r>
        <w:rPr>
          <w:rFonts w:ascii="Times New Roman" w:cs="Times New Roman" w:eastAsia="Times New Roman" w:hAnsi="Times New Roman"/>
          <w:sz w:val="18"/>
          <w:szCs w:val="18"/>
          <w:b w:val="1"/>
          <w:bCs w:val="1"/>
          <w:u w:val="single" w:color="auto"/>
          <w:color w:val="auto"/>
        </w:rPr>
        <w:t>Underwritten Shelf Takedown</w:t>
      </w:r>
      <w:r>
        <w:rPr>
          <w:rFonts w:ascii="Times New Roman" w:cs="Times New Roman" w:eastAsia="Times New Roman" w:hAnsi="Times New Roman"/>
          <w:sz w:val="18"/>
          <w:szCs w:val="18"/>
          <w:color w:val="auto"/>
        </w:rPr>
        <w:t>”); provided, however, that the Company shall only be obligated to effect an Underwritten Shelf Takedown if such offering shall include securities with a total offering price (including securities added to such registration through piggyback registration rights and before deduction of underwriting discounts) reasonably expected to exceed, in the aggregate, $10,000,000. All requests for Underwritten Shelf Takedowns shall be made by giving written notice to the Company at least ten (10) days prior to the public announcement of such Underwritten Shelf Takedown, which shall specify the approximate number of Registrable Securities proposed to be sold in the Underwritten Shelf Takedown and the expected price range (net of underwriting discounts and commissions) of such Underwritten Shelf Takedown. The Company shall give written notice of such request to all holders of Registrable Securities promptly (but in any event within five (5) days after receipt of such request for an Underwritten Shelf Takedown) and shall include in any Underwritten Shelf Takedown the securities requested to be included by any holder (each a “</w:t>
      </w:r>
      <w:r>
        <w:rPr>
          <w:rFonts w:ascii="Times New Roman" w:cs="Times New Roman" w:eastAsia="Times New Roman" w:hAnsi="Times New Roman"/>
          <w:sz w:val="18"/>
          <w:szCs w:val="18"/>
          <w:b w:val="1"/>
          <w:bCs w:val="1"/>
          <w:u w:val="single" w:color="auto"/>
          <w:color w:val="auto"/>
        </w:rPr>
        <w:t>Takedown Requesting Holder</w:t>
      </w:r>
      <w:r>
        <w:rPr>
          <w:rFonts w:ascii="Times New Roman" w:cs="Times New Roman" w:eastAsia="Times New Roman" w:hAnsi="Times New Roman"/>
          <w:sz w:val="18"/>
          <w:szCs w:val="18"/>
          <w:color w:val="auto"/>
        </w:rPr>
        <w:t>”) at least forty-eight (48) hours prior to the public announcement of such Underwritten Shelf Takedown pursuant to written contractual piggyback registration rights of such holder (including those set forth herein). All such holders proposing to distribute their Registrable Securities through an Underwritten Shelf Takedown under this subsection 2.3.4 shall enter into an underwriting agreement in customary form with the Underwriter(s) selected for such Underwritten Offering by the majority-in-interest of the Takedown Requesting Holders initiating the Underwritten Shelf Takedown.</w:t>
      </w:r>
    </w:p>
    <w:p>
      <w:pPr>
        <w:spacing w:after="0" w:line="19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2.3.5 </w:t>
      </w:r>
      <w:r>
        <w:rPr>
          <w:rFonts w:ascii="Times New Roman" w:cs="Times New Roman" w:eastAsia="Times New Roman" w:hAnsi="Times New Roman"/>
          <w:sz w:val="18"/>
          <w:szCs w:val="18"/>
          <w:u w:val="single" w:color="auto"/>
          <w:color w:val="auto"/>
        </w:rPr>
        <w:t>Reduction of Underwritten Shelf Takedown</w:t>
      </w:r>
      <w:r>
        <w:rPr>
          <w:rFonts w:ascii="Times New Roman" w:cs="Times New Roman" w:eastAsia="Times New Roman" w:hAnsi="Times New Roman"/>
          <w:sz w:val="18"/>
          <w:szCs w:val="18"/>
          <w:color w:val="auto"/>
        </w:rPr>
        <w:t>. If the managing Underwriter(s) in an Underwritten Shelf Takedown, in good faith, advise the Company and the Takedown Requesting Holders in writing that the dollar amount or number of Registrable Securities that the Takedown Requesting Holders desire to sell, taken together with all other shares of the Common Stock or other equity securities that the Company desires to sell, exceeds the Maximum Number of Shares, then the Company shall include in such Underwritten Shelf Takedown, as follows: (i) first, the Registrable Securities of the Takedown Requesting Holders, on a Pro Rata basis, that can be sold without exceeding the Maximum Number of Shares; and (ii) second, to the extent that the Maximum Number of Shares has not been reached under the foregoing clause (i), the Common Stock or other equity securities that the Company desires to sell, which can be sold without exceeding the Maximum Number of Shares.</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2.3.6 </w:t>
      </w:r>
      <w:r>
        <w:rPr>
          <w:rFonts w:ascii="Times New Roman" w:cs="Times New Roman" w:eastAsia="Times New Roman" w:hAnsi="Times New Roman"/>
          <w:sz w:val="18"/>
          <w:szCs w:val="18"/>
          <w:u w:val="single" w:color="auto"/>
          <w:color w:val="auto"/>
        </w:rPr>
        <w:t>Limits on Underwritten Shelf Takedowns</w:t>
      </w:r>
      <w:r>
        <w:rPr>
          <w:rFonts w:ascii="Times New Roman" w:cs="Times New Roman" w:eastAsia="Times New Roman" w:hAnsi="Times New Roman"/>
          <w:sz w:val="18"/>
          <w:szCs w:val="18"/>
          <w:color w:val="auto"/>
        </w:rPr>
        <w:t>. Registrations effected pursuant to this Section 2.3 shall not be counted as Demand Registrations effected pursuant to Section 2.1. Under no circumstances shall the Company be obligated to effect more than an aggregate of three (3) Underwritten Shelf Takedowns in any 12-month period.</w:t>
      </w:r>
    </w:p>
    <w:p>
      <w:pPr>
        <w:spacing w:after="0" w:line="176" w:lineRule="exact"/>
        <w:rPr>
          <w:sz w:val="20"/>
          <w:szCs w:val="20"/>
          <w:color w:val="auto"/>
        </w:rPr>
      </w:pPr>
    </w:p>
    <w:p>
      <w:pPr>
        <w:ind w:left="840" w:hanging="184"/>
        <w:spacing w:after="0"/>
        <w:tabs>
          <w:tab w:leader="none" w:pos="8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Filings; Information</w:t>
      </w:r>
      <w:r>
        <w:rPr>
          <w:rFonts w:ascii="Times New Roman" w:cs="Times New Roman" w:eastAsia="Times New Roman" w:hAnsi="Times New Roman"/>
          <w:sz w:val="18"/>
          <w:szCs w:val="18"/>
          <w:color w:val="auto"/>
        </w:rPr>
        <w:t>. Whenever the Company is required to effect the registration of any Registrable Securities pursuant to Section 2, the Company shall use its commercially reasonable efforts to effect the registration and sale of such Registrable Securities in accordance with the intended method(s) of distribution thereof as expeditiously as practicable, and in connection with any such request:</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Filing Registration Statement; Restriction on Registration Rights</w:t>
      </w:r>
      <w:r>
        <w:rPr>
          <w:rFonts w:ascii="Times New Roman" w:cs="Times New Roman" w:eastAsia="Times New Roman" w:hAnsi="Times New Roman"/>
          <w:sz w:val="18"/>
          <w:szCs w:val="18"/>
          <w:color w:val="auto"/>
        </w:rPr>
        <w:t xml:space="preserve">. The Company shall use its commercially reasonable efforts to, as expeditiously as possible after receipt of a request for a Demand Registration pursuant to Section 2.1, prepare and file with the Commission a Registration Statement on any form for which the Company then qualifies or which counsel for the Company shall deem appropriate and which form shall be available for the sale of all Registrable Securities to be registered thereunder in accordance with the intended method(s) of distribution thereof, and shall use its commercially reasonable efforts to cause such Registration Statement to become effective and use its commercially reasonable efforts to keep it effective for the period required by Section 3.1.3;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obligated to (but may, at its sole option) (a) effect any Demand Registration or an Underwritten Offering or (b) file a Registration Statement (or any amendment thereto) or effect an Underwritten Offering if the Company has determined in good faith that the sale of Registrable Securities pursuant a Registration Statement would require disclosure of material non-public information not otherwise required to be disclosed under applicable securities laws (i) which disclosure would have a material adverse effect on the Company or (ii) relating to a material transaction involving the Company (any such period, a “</w:t>
      </w:r>
      <w:r>
        <w:rPr>
          <w:rFonts w:ascii="Times New Roman" w:cs="Times New Roman" w:eastAsia="Times New Roman" w:hAnsi="Times New Roman"/>
          <w:sz w:val="18"/>
          <w:szCs w:val="18"/>
          <w:b w:val="1"/>
          <w:bCs w:val="1"/>
          <w:u w:val="single" w:color="auto"/>
          <w:color w:val="auto"/>
        </w:rPr>
        <w:t>Blackout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Blackout Period together with other Blackout Periods exceed an aggregate of 90 days in any consecutive 12-month period. Notwithstanding the foregoing, the Company shall not exercise its rights under this Section 3.1.1 to invoke a Blackout Period unless it applies the same Blackout Period restrictions contained herein to all other securityholders of the Company with contractual registration rights.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3" w:name="page214"/>
    <w:bookmarkEnd w:id="213"/>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Copies</w:t>
      </w:r>
      <w:r>
        <w:rPr>
          <w:rFonts w:ascii="Times New Roman" w:cs="Times New Roman" w:eastAsia="Times New Roman" w:hAnsi="Times New Roman"/>
          <w:sz w:val="18"/>
          <w:szCs w:val="18"/>
          <w:color w:val="auto"/>
        </w:rPr>
        <w:t>. The Company shall, prior to filing a Registration Statement or Prospectus, or any amendment or supplement thereto, furnish without charge to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and such other documents as the holders of Registrable Securities included in such registration or legal counsel for any such holders may request in order to facilitate the disposition of the Registrable Securities owned by such holders.</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Amendments and Supplements</w:t>
      </w:r>
      <w:r>
        <w:rPr>
          <w:rFonts w:ascii="Times New Roman" w:cs="Times New Roman" w:eastAsia="Times New Roman" w:hAnsi="Times New Roman"/>
          <w:sz w:val="18"/>
          <w:szCs w:val="18"/>
          <w:color w:val="auto"/>
        </w:rPr>
        <w:t>. The Company shall prepare and file with the Commission such amendments, including post-effective amendments, and supplements to such Registration Statement and the Prospectus used in connection therewith as may be necessary to keep such Registration Statement effective and in compliance with the provisions of the Securities Act until all Registrable Securities and other securities covered by such Registration Statement have been disposed of in accordance with the intended method(s) of distribution set forth in such Registration Statement or such securities have been withdrawn.</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 xml:space="preserve">. After the filing of a Registration Statement, the Company shall promptly, and in no event more than five (5) Business Days after such filing, notify the holders of Registrable Securities included in such Registration Statement of such filing, and shall further notify such holders promptly and confirm such advice in writing in all events within five (5) Business Days of the occurrence of any of the following: (i) when such Registration Statement becomes effective; (ii) when any post-effective amendment to such Registration Statement becomes effective; (iii) the issuance or threatened issuance by the Commission of any stop order (and the Company shall take all actions required to prevent the entry of such stop order or to remove it if entered); and (iv) any written comments by the Commission or any request by the Commission for any amendment or supplement to such Registration Statement or any Prospectus relating thereto or for additional information or of the occurrence of an event requiring the preparation of a supplement or amendment to such Prospectus so that, as thereafter delivered to the purchasers of the securities covered by such Registration Statement, such Prospectus will not contain an untrue statement of a material fact or omit to state any material fact required to be stated therein or necessary to make the statements therein not misleading, and promptly make available to the holders of Registrable Securities included in such Registration Statement any such supplement or amendment; except that not less than two (2) Business Days before filing with the Commission a Registration Statement or not less than one (1) Business Day before the filing of any related Prospectus or any amendment or supplement thereto, including documents incorporated by reference, the Company shall (x) furnish to the holders of Registrable Securities included in such Registration Statement and to the legal counsel for any such holders, copies of all such documents proposed to be filed and (y) reasonably cooperate with such holders and their counsel and consider in good faith any comments received by such holders or their counsel with respect to the Registration Statement or Prospectus. The Company shall not file any Registration Statement or Prospectus or amendment or supplement thereto, including documents incorporated by reference, to which such holders or their legal counsel shall object in good faith,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is notified of such objection in writing no later than two (2) Business Days after the holders have been so furnished copies of a Registration Statement or one (1) Business Day after the holders have been so furnished copies of any related Prospectus or amendments or supplements thereto.</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4" w:name="page215"/>
    <w:bookmarkEnd w:id="214"/>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State Securities Laws Compliance</w:t>
      </w:r>
      <w:r>
        <w:rPr>
          <w:rFonts w:ascii="Times New Roman" w:cs="Times New Roman" w:eastAsia="Times New Roman" w:hAnsi="Times New Roman"/>
          <w:sz w:val="18"/>
          <w:szCs w:val="18"/>
          <w:color w:val="auto"/>
        </w:rPr>
        <w:t xml:space="preserve">. The Company shall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qualify generally to do business in any jurisdiction where it would not otherwise be required to qualify but for this paragraph or subject itself to taxation in any such jurisdiction.</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Agreements for Disposition</w:t>
      </w:r>
      <w:r>
        <w:rPr>
          <w:rFonts w:ascii="Times New Roman" w:cs="Times New Roman" w:eastAsia="Times New Roman" w:hAnsi="Times New Roman"/>
          <w:sz w:val="18"/>
          <w:szCs w:val="18"/>
          <w:color w:val="auto"/>
        </w:rPr>
        <w:t>. The Company shall enter into customary agreements (including, if applicable, an underwriting agreement in customary form) and take such other actions as are reasonably required in order to expedite or facilitate the disposition of such Registrable Securities. The representations, warranties and covenants of the Company in any underwriting agreement which are made to or for the benefit of any Underwriters, to the extent applicable, shall also be made to and for the benefit of the holders of Registrable Securities included in such registration statement. No holder of Registrable Securities included in such registration statement shall be required to make any representations or warranties in the underwriting agreement except, if applicable, with respect to such holder’s organization, good standing, authority, title to Registrable Securities, lack of conflict of such sale with such holder’s material agreements and organizational documents, and with respect to written information relating to such holder that such holder has furnished in writing expressly for inclusion in such Registration Statement.</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The principal executive officer of the Company, the principal financial officer of the Company, the principal accounting officer of the Company and all other officers and members of the management of the Company shall cooperate fully in any offering of Registrable Securities hereunder, which cooperation shall include, without limitation, the preparation of the Registration Statement with respect to such offering and all other offering materials and related documents, and participation in meetings with Underwriters, attorneys, accountants and potential investors.</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The Company shall make available for inspection by the holders of Registrable Securities included in such Registration Statement, any Underwriter participating in any disposition pursuant to such registration statement and any attorney, accountant or other professional retained by any holder of Registrable Securities included in such Registration Statement or any Underwriter, all financial and other records, pertinent corporate documents and properties of the Company, as shall be necessary to enable them to exercise their due diligence responsibility, and cause the Company’s officers, directors and employees to supply all information requested by any of them in connection with such Registration Statement.</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Opinions and Comfort Letters</w:t>
      </w:r>
      <w:r>
        <w:rPr>
          <w:rFonts w:ascii="Times New Roman" w:cs="Times New Roman" w:eastAsia="Times New Roman" w:hAnsi="Times New Roman"/>
          <w:sz w:val="18"/>
          <w:szCs w:val="18"/>
          <w:color w:val="auto"/>
        </w:rPr>
        <w:t>. Upon written request, the Company shall furnish to each holder of Registrable Securities included in any Registration Statement a signed counterpart, addressed to such holder, of (i) any opinion of counsel to the Company delivered to any Underwriter and</w:t>
      </w:r>
    </w:p>
    <w:p>
      <w:pPr>
        <w:jc w:val="both"/>
        <w:ind w:firstLine="8"/>
        <w:spacing w:after="0" w:line="253" w:lineRule="auto"/>
        <w:tabs>
          <w:tab w:leader="none" w:pos="27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comfort letter from the Company’s independent public accountants delivered to any Underwriter. In the event no legal opinion is delivered to any Underwriter, the Company shall furnish to each holder of Registrable Securities included in such Registration Statement, at any time that such holder elects to use a prospectus, an opinion of counsel to the Company to the effect that the Registration Statement containing such prospectus has been declared effective and that no stop order is in effect.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5" w:name="page216"/>
    <w:bookmarkEnd w:id="215"/>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3.1.10 </w:t>
      </w: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The Company shall comply with all applicable rules and regulations of the Commission and the Securities Act, and make available to its stockholders, as soon as practicable, an earnings statement covering a period of twelve (12) months, which earnings statement shall satisfy the provisions of Section 11(a) of the Securities Act and Rule 158 thereunder.</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3.1.11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use its commercially reasonable efforts to cause all Registrable Securities included in any registration to be listed on such exchanges or otherwise designated for trading in the same manner as similar securities issued by the Company are then listed or designated or, if no such similar securities are then listed or designated, in a manner satisfactory to the holders of a majority of the Registrable Securities included in such registration.</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3.1.12 </w:t>
      </w:r>
      <w:r>
        <w:rPr>
          <w:rFonts w:ascii="Times New Roman" w:cs="Times New Roman" w:eastAsia="Times New Roman" w:hAnsi="Times New Roman"/>
          <w:sz w:val="18"/>
          <w:szCs w:val="18"/>
          <w:u w:val="single" w:color="auto"/>
          <w:color w:val="auto"/>
        </w:rPr>
        <w:t>Road Show</w:t>
      </w:r>
      <w:r>
        <w:rPr>
          <w:rFonts w:ascii="Times New Roman" w:cs="Times New Roman" w:eastAsia="Times New Roman" w:hAnsi="Times New Roman"/>
          <w:sz w:val="18"/>
          <w:szCs w:val="18"/>
          <w:color w:val="auto"/>
        </w:rPr>
        <w:t>. If the registration involves the registration of Registrable Securities involving gross proceeds in excess of $25,000,000, the Company shall use its reasonable efforts to make available senior executives of the Company to participate in customary “road show” presentations that may be reasonably requested by the Underwriter in any Underwritten Offering.</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3.1.13 </w:t>
      </w:r>
      <w:r>
        <w:rPr>
          <w:rFonts w:ascii="Times New Roman" w:cs="Times New Roman" w:eastAsia="Times New Roman" w:hAnsi="Times New Roman"/>
          <w:sz w:val="18"/>
          <w:szCs w:val="18"/>
          <w:u w:val="single" w:color="auto"/>
          <w:color w:val="auto"/>
        </w:rPr>
        <w:t>Regulation M</w:t>
      </w:r>
      <w:r>
        <w:rPr>
          <w:rFonts w:ascii="Times New Roman" w:cs="Times New Roman" w:eastAsia="Times New Roman" w:hAnsi="Times New Roman"/>
          <w:sz w:val="18"/>
          <w:szCs w:val="18"/>
          <w:color w:val="auto"/>
        </w:rPr>
        <w:t xml:space="preserve">. The Company shall take no direct or indirect action prohibited by Regulation M under the Exchange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to the extent that any prohibition is applicable to the Company, the Company will take all reasonable action to make any such prohibition inapplicable.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Obligation to Suspend Distribution</w:t>
      </w:r>
      <w:r>
        <w:rPr>
          <w:rFonts w:ascii="Times New Roman" w:cs="Times New Roman" w:eastAsia="Times New Roman" w:hAnsi="Times New Roman"/>
          <w:sz w:val="18"/>
          <w:szCs w:val="18"/>
          <w:color w:val="auto"/>
        </w:rPr>
        <w:t>. Upon receipt of any notice from the Company of the happening of any event of the kind described in Section 3.1.4(iv), or, in the case of a resale registration on Form S-3 pursuant to Section 2.3 hereof, upon any suspension by the Company, pursuant to a written insider trading compliance program adopted by the Company’s Board of Directors, of the ability of all “insiders” covered by such program to transact in the Company’s securities because of the existence of material non-public information, each holder of Registrable Securities included in any registration shall immediately discontinue disposition of such Registrable Securities pursuant to the Registration Statement covering such Registrable Securities until such holder receives the supplemented or amended Prospectus contemplated by Section 3.1.4(iv) or the restriction on the ability of “insiders” to transact in the Company’s securities is removed, as applicable, and, if so directed by the Company, each such holder will deliver to the Company all copies, other than permanent file copies then in such holder’s possession, of the most recent Prospectus covering such Registrable Securities at the time of receipt of such notice.</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The Company shall bear all costs and expenses incurred in connection with any Demand Registration pursuant to Section 2.1, any Piggy-Back Registration pursuant to Section 2.2, and any registration on Form S-3 effected pursuant to Section 2.3, and all expenses incurred in performing or complying with its other obligations under this Agreement, whether or not the Registration Statement becomes effective, including, without limitation: (i) all registration and filing fees; (ii) fees and expenses of compliance with securities or “blue sky” laws (including fees and disbursements of counsel in connection with blue sky qualifications of the Registrable Securities); (iii) printing expenses; (iv) the Company’s internal expenses (including, without limitation, all salaries and expenses of its officers and employees); (v) the fees and expenses incurred in connection with the listing of the Registrable Securities as required by Section 3.1.11; (vi) Financial Industry Regulatory Authority fees; (vii) fees and disbursements of counsel for the Company and fees and expenses for independent certified public accountants retained by the Company (including the expenses or costs associated with the delivery of any opinions or comfort letters requested pursuant to Section 3.1.9); (viii) the reasonable fees and expenses of any special experts retained by the Company in connection with such registration; and (ix) the reasonable fees and expenses of one legal counsel selected by the holders of a majority-in-interest of the Registrable Securities included in such registration in an amount not to exceed $25,000. The Company shall have no obligation to pay any underwriting discounts or selling commissions attributable to the Registrable Securities being sold by the holders thereof or any fees and disbursements of its counsel in excess of $25,000 in the aggregate in connection therewith, which underwriting discounts or selling commissions and fees and disbursements of its counsel in excess of $25,000 in the aggregate shall be borne by such holders. Additionally, in an Underwritten Offering, all selling stockholders and the Company shall bear the expenses of the Underwriter pro rata in proportion to the respective amount of shares each is selling in such offering.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6" w:name="page217"/>
    <w:bookmarkEnd w:id="21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Holders’ Information</w:t>
      </w:r>
      <w:r>
        <w:rPr>
          <w:rFonts w:ascii="Times New Roman" w:cs="Times New Roman" w:eastAsia="Times New Roman" w:hAnsi="Times New Roman"/>
          <w:sz w:val="18"/>
          <w:szCs w:val="18"/>
          <w:color w:val="auto"/>
        </w:rPr>
        <w:t>. The holders of Registrable Securities shall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pursuant to Section 2 and in connection with the Company’s obligation to comply with Federal and applicable state securities laws. The Company’s obligations to include the Registrable Securities in any Registration Statement under this Agreement are contingent upon each holder of Registrable Securities furnishing in writing to the Company such information regarding such holder, the securities of the Company held by holder and the intended method of disposition of the Registrable Securities as shall be reasonably requested by the Company to effect the registration of the Registrable Securities, and such holder shall execute such documents in connection with such registration as the Company may reasonably request that are customary of a selling stockholder in similar situations.</w:t>
      </w:r>
    </w:p>
    <w:p>
      <w:pPr>
        <w:spacing w:after="0" w:line="192" w:lineRule="exact"/>
        <w:rPr>
          <w:sz w:val="20"/>
          <w:szCs w:val="20"/>
          <w:color w:val="auto"/>
        </w:rPr>
      </w:pPr>
    </w:p>
    <w:p>
      <w:pPr>
        <w:ind w:left="840" w:hanging="184"/>
        <w:spacing w:after="0"/>
        <w:tabs>
          <w:tab w:leader="none" w:pos="8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agrees to indemnify and hold harmless each Investor and each other holder of Registrable Securities, and each of their respective officers, employees, affiliates, directors, partners, members, attorneys and agents, and each Person, if any, who controls an Investor and each other holder of Registrable Securities (within the meaning of Section 15 of the Securities Act or Section 20 of the Exchange Act) (each, an “</w:t>
      </w:r>
      <w:r>
        <w:rPr>
          <w:rFonts w:ascii="Times New Roman" w:cs="Times New Roman" w:eastAsia="Times New Roman" w:hAnsi="Times New Roman"/>
          <w:sz w:val="18"/>
          <w:szCs w:val="18"/>
          <w:b w:val="1"/>
          <w:bCs w:val="1"/>
          <w:u w:val="single" w:color="auto"/>
          <w:color w:val="auto"/>
        </w:rPr>
        <w:t>Investor Indemnified Party</w:t>
      </w:r>
      <w:r>
        <w:rPr>
          <w:rFonts w:ascii="Times New Roman" w:cs="Times New Roman" w:eastAsia="Times New Roman" w:hAnsi="Times New Roman"/>
          <w:sz w:val="18"/>
          <w:szCs w:val="18"/>
          <w:color w:val="auto"/>
        </w:rPr>
        <w:t xml:space="preserve">”), from and against any expenses, losses, judgments, claims, damages or liabilities, whether joint or several, arising out of or based upon any untrue statement (or allegedly untrue statement) of a material fact contained in (or incorporated by reference in) any Registration Statement under which the sale of such Registrable Securities was registered under the Securities Act, any Prospectus contained in the Registration Statement, or free writing prospectus (as defined in Rule 405 under the Securities Act or any successor rule thereto), or any amendment or supplement to such Registration Statement, or any filing under any state securities law required to be filed or furnished, or arising out of or based upon any omission (or alleged omission) to state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Investor Indemnified Party for any legal and any other expenses reasonably incurred by such Investor Indemnified Party in connection with investigating and defending any such expense, loss, judgment, claim, damage, liability or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will not be liable in any such case to the extent that any such expense, loss, claim, damage or liability arises out of or is based upon any untrue statement or allegedly untrue statement or omission or alleged omission made in such Registration Statement, Prospectus, or free writing prospectus, or any such amendment or supplement, in reliance upon and in conformity with information furnished to the Company, in writing, by such selling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The Company also shall indemnify any Underwriter of the Registrable Securities, their officers, affiliates, directors, partners, members and agents and each Person who controls such Underwriter (within the meaning of the Securities Act or the Exchange Act, as applicable) on substantially the same basis as that of the indemnification provided above in this Section 4.1.</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7" w:name="page218"/>
    <w:bookmarkEnd w:id="21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Indemnification by Holders of Registrable Securities</w:t>
      </w:r>
      <w:r>
        <w:rPr>
          <w:rFonts w:ascii="Times New Roman" w:cs="Times New Roman" w:eastAsia="Times New Roman" w:hAnsi="Times New Roman"/>
          <w:sz w:val="18"/>
          <w:szCs w:val="18"/>
          <w:color w:val="auto"/>
        </w:rPr>
        <w:t>. Each selling holder of Registrable Securities will, in the event that any registration is being effected under the Securities Act pursuant to this Agreement of any Registrable Securities held by such selling holder, indemnify and hold harmless the Company, each of its directors, officers, agents and employees, each Person, if any, who controls the Company (within the meaning of Section 15 of the Securities Act and Section 20 of the Exchange Act), each Underwriter (if any), and each other selling holder and each other Person, if any, who controls another selling holder or such Underwriter within the meaning of the Securities Act, and the directors, officers, agents or employees of such controlling Persons, to the fullest extent permitted by applicable law, against any losses, claims, judgments, damages or liabilities, whether joint or several, insofar as such losses, claims, judgments, damages or liabilities (or actions in respect thereof) (including, without limitation, reasonable attorneys’ fees and other expenses) arise out of or are based upon any untrue statement or allegedly untrue statement of a material fact contained in any Registration Statement under which the sale of such Registrable Securities was registered under the Securities Act, any Prospectus contained in the Registration Statement, or any amendment or supplement to the Registration Statement, or arise out of or are based upon any omission or the alleged omission to state a material fact required to be stated therein or necessary to make the statement therein not misleading, if the statement or omission was made in reliance upon and in conformity with information furnished in writing to the Company by such selling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(after payment of any underwriting fees, discounts, commissions or taxes) actually received by such selling holder.</w:t>
      </w:r>
    </w:p>
    <w:p>
      <w:pPr>
        <w:spacing w:after="0" w:line="1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Promptly after receipt by any Person of any notice of any loss, claim, damage or liability or any action in respect of which indemnity may be sought pursuant to Section 4.1 or 4.2, such Person (the “</w:t>
      </w:r>
      <w:r>
        <w:rPr>
          <w:rFonts w:ascii="Times New Roman" w:cs="Times New Roman" w:eastAsia="Times New Roman" w:hAnsi="Times New Roman"/>
          <w:sz w:val="18"/>
          <w:szCs w:val="18"/>
          <w:b w:val="1"/>
          <w:bCs w:val="1"/>
          <w:u w:val="single" w:color="auto"/>
          <w:color w:val="auto"/>
        </w:rPr>
        <w:t>Indemnified Party</w:t>
      </w:r>
      <w:r>
        <w:rPr>
          <w:rFonts w:ascii="Times New Roman" w:cs="Times New Roman" w:eastAsia="Times New Roman" w:hAnsi="Times New Roman"/>
          <w:sz w:val="18"/>
          <w:szCs w:val="18"/>
          <w:color w:val="auto"/>
        </w:rPr>
        <w:t>”) shall, if a claim in respect thereof is to be made against any other Person for indemnification hereunder, notify such other Person (the “</w:t>
      </w:r>
      <w:r>
        <w:rPr>
          <w:rFonts w:ascii="Times New Roman" w:cs="Times New Roman" w:eastAsia="Times New Roman" w:hAnsi="Times New Roman"/>
          <w:sz w:val="18"/>
          <w:szCs w:val="18"/>
          <w:b w:val="1"/>
          <w:bCs w:val="1"/>
          <w:u w:val="single" w:color="auto"/>
          <w:color w:val="auto"/>
        </w:rPr>
        <w:t>Indemnifying Party</w:t>
      </w:r>
      <w:r>
        <w:rPr>
          <w:rFonts w:ascii="Times New Roman" w:cs="Times New Roman" w:eastAsia="Times New Roman" w:hAnsi="Times New Roman"/>
          <w:sz w:val="18"/>
          <w:szCs w:val="18"/>
          <w:color w:val="auto"/>
        </w:rPr>
        <w:t xml:space="preserve">”) in writing of the loss, claim, judgment, damage, liability or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failure by the Indemnified Party to notify the Indemnifying Party shall not relieve the Indemnifying Party from any liability which the Indemnifying 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any action in which both the Indemnified Party and the Indemnifying Party are named as defendants, the Indemnified Party shall have the right to employ separate counsel (but no more than one such separate counsel)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8" w:name="page219"/>
    <w:bookmarkEnd w:id="218"/>
    <w:p>
      <w:pPr>
        <w:ind w:left="66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4.4.1 If the indemnification provided for in the foregoing Sections 4.1, 4.2 and 4.3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4.4.2 The parties hereto agree that it would not be just and equitable if contribution pursuant to this Section 4.4 were determined by pro rata allocation or by any other method of allocation which does not take account of the equitable considerations referred to in the immediately preceding Section 4.4.1.</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4.4.3 The amount paid or payable by an Indemnified Party as a result of any loss, claim, damage, liability or action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Section 4.4, no holder of Registrable Securities shall be required to contribute any amount in excess of the dollar amount of the net proceeds (after payment of any underwriting fees, discounts, commissions or taxes) actually received by such selling holder from the sale of Registrable Securities which gave rise to such contribution obligation. No Person guilty of fraudulent misrepresentation (within the meaning of Section 11(f) of the Securities Act) shall be entitled to contribution from any Person who was not guilty of such fraudulent misrepresentation.</w:t>
      </w:r>
    </w:p>
    <w:p>
      <w:pPr>
        <w:spacing w:after="0" w:line="189" w:lineRule="exact"/>
        <w:rPr>
          <w:sz w:val="20"/>
          <w:szCs w:val="20"/>
          <w:color w:val="auto"/>
        </w:rPr>
      </w:pPr>
    </w:p>
    <w:p>
      <w:pPr>
        <w:ind w:left="840" w:hanging="184"/>
        <w:spacing w:after="0"/>
        <w:tabs>
          <w:tab w:leader="none" w:pos="8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The Company covenants that it shall file any reports required to be filed by it under the Securities Act and the Exchange Act and shall take such further action as the holders of Registrable Securities may reasonably request, all to the extent required from time to time to enable such holders to sell Registrable Securities without registration under the Securities Act within the limitation of the exemptions provided by Rule 144 under the Securities Act, as such Rules may be amended from time to time, or any similar rule or regulation hereafter adopted by the Commission.</w:t>
      </w:r>
    </w:p>
    <w:p>
      <w:pPr>
        <w:spacing w:after="0" w:line="180" w:lineRule="exact"/>
        <w:rPr>
          <w:sz w:val="20"/>
          <w:szCs w:val="20"/>
          <w:color w:val="auto"/>
        </w:rPr>
      </w:pPr>
    </w:p>
    <w:p>
      <w:pPr>
        <w:ind w:left="840" w:hanging="184"/>
        <w:spacing w:after="0"/>
        <w:tabs>
          <w:tab w:leader="none" w:pos="8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Other Registration Rights</w:t>
      </w:r>
      <w:r>
        <w:rPr>
          <w:rFonts w:ascii="Times New Roman" w:cs="Times New Roman" w:eastAsia="Times New Roman" w:hAnsi="Times New Roman"/>
          <w:sz w:val="18"/>
          <w:szCs w:val="18"/>
          <w:color w:val="auto"/>
        </w:rPr>
        <w:t>. The Company represents and warrants that, except for registration rights granted to the investors pursuant to the PIPE Subscription Agreements, no Person, other than the holders of the Registrable Securities, has any right to require the Company to register any of the Company’s share capital for sale or to include the Company’s share capital in any registration filed by the Company for the sale of share capital for its own account or for the account of any other Person. The Investors hereby acknowledge that Company has granted resale registration rights to the purchasers of the Company’s securities in the PIPE Subscription Agreements, and that nothing herein shall restrict the ability of the Company to fulfill its resale registration obligations under the PIPE Subscription Agreements.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9" w:name="page220"/>
    <w:bookmarkEnd w:id="21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Assignment; No Third Party Beneficiaries</w:t>
      </w:r>
      <w:r>
        <w:rPr>
          <w:rFonts w:ascii="Times New Roman" w:cs="Times New Roman" w:eastAsia="Times New Roman" w:hAnsi="Times New Roman"/>
          <w:sz w:val="18"/>
          <w:szCs w:val="18"/>
          <w:color w:val="auto"/>
        </w:rPr>
        <w:t>. This Agreement and the rights, duties and obligations of the Company hereunder may not be assigned or delegated by the Company in whole or in part. This Agreement and the rights, duties and obligations of the holders of Registrable Securities hereunder may be freely assigned or delegated by such holder of Registrable Securities in conjunction with and to the extent of any legally permitted transfer of Registrable Securities by any such holder (subject to lock-up restrictions under the Lock-up Agreement and the Release Date under the IPO Escrow Agreement). This Agreement and the provisions hereof shall be binding upon and shall inure to the benefit of each of the parties, to the permitted assigns of the Investors or holder of Registrable Securities or of any assignee of the Investors or holder of Registrable Securities. This Agreement is not intended to confer any rights or benefits on any Persons that are not party hereto other than as expressly set forth in Article 4 and this Section 6.2.</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hereunder shall be sent in writing, addressed as specified below, and shall be deemed given: (a) if by hand or nationally recognized overnight courier service, by 5:00 PM Pacific Time on a Business Day, addressee’s day and time, on the date of delivery, and if delivered after 5:00 PM Pacific Time, on the first Business Day after such delivery; (b) if by fax, on the date that transmission is affirmatively confirmed, if by 5:00 PM Pacific Time on a Business Day, addressee’s day and time, and if confirmed after 5:00 PM Pacific Time, on the first Business Day after the date of such confirmation; (c) if by email, on the date of transmission with affirmative confirmation of receipt; or (d) three (3) Business Days after mailing by prepaid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Company: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Keyvan Mohajer, Chief Executive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keyvan@soundhound.com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 (which copy shall not constitute notice):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Ellenoff Grossman &amp; Schole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1345 Avenue of the Americas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10015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Douglas S. Ellenoff, Esq.; Matthew A. Gray, Esq.</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Fax: (212) 370-7889</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ellenoff@egsllp.com; mgray@egsllp.com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To an Investor, to the address set forth below such Investor’s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0" w:name="page221"/>
    <w:bookmarkEnd w:id="22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multiple counterparts, each of which shall be deemed an original, and all of which taken together shall constitute one and the same instrument. Delivery of a signed counterpart of this Agreement by facsimile or email/pdf transmission shall constitute valid and sufficient delivery thereof.</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 provided, that, for the avoidance of doubt, the foregoing shall not affect the rights and obligations of the parties under the Merger Agreement or any Additional Agreement. Without limiting the foregoing, the Pre-BC Investors hereby acknowledge and agree that this Agreement amends and restates and supersedes the Original Registration Rights Agreement in its entirety.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Modifications and Amendments</w:t>
      </w:r>
      <w:r>
        <w:rPr>
          <w:rFonts w:ascii="Times New Roman" w:cs="Times New Roman" w:eastAsia="Times New Roman" w:hAnsi="Times New Roman"/>
          <w:sz w:val="18"/>
          <w:szCs w:val="18"/>
          <w:color w:val="auto"/>
        </w:rPr>
        <w:t>. Any term of this Agreement may be amended or modified with the written consent of the Company and the holders of a majority of the Registrable Securities then outstanding; provided that no such amendment or modification may affect any Investor in a manner material and disproportionately adverse to other Investors without the prior written consent of such Investor.</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Titles and Headings; Interpretation</w:t>
      </w:r>
      <w:r>
        <w:rPr>
          <w:rFonts w:ascii="Times New Roman" w:cs="Times New Roman" w:eastAsia="Times New Roman" w:hAnsi="Times New Roman"/>
          <w:sz w:val="18"/>
          <w:szCs w:val="18"/>
          <w:color w:val="auto"/>
        </w:rPr>
        <w:t>. Titles and headings of sections of this Agreement are for convenience only and shall not affect the construction of any provision of this Agreement. In this Agreement, unless the context otherwise requires: (i) any pronoun used in this Agreement shall include the corresponding masculine, feminine or neuter forms, and the singular form of nouns, pronouns and verbs shall include the plural and vice versa;</w:t>
      </w:r>
    </w:p>
    <w:p>
      <w:pPr>
        <w:spacing w:after="0" w:line="1" w:lineRule="exact"/>
        <w:rPr>
          <w:sz w:val="20"/>
          <w:szCs w:val="20"/>
          <w:color w:val="auto"/>
        </w:rPr>
      </w:pPr>
    </w:p>
    <w:p>
      <w:pPr>
        <w:jc w:val="both"/>
        <w:ind w:firstLine="8"/>
        <w:spacing w:after="0" w:line="252" w:lineRule="auto"/>
        <w:tabs>
          <w:tab w:leader="none" w:pos="27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(and with correlative meaning “include”) means including without limiting the generality of any description preceding or succeeding such term and shall be deemed in each case to be followed by the words “without limitation”; (iii) the words “herein,” “hereto,” and “hereby” and other words of similar import in this Agreement shall be deemed in each case to refer to this Agreement as a whole and not to any particular section or other subdivision of this Agreement; and (iv) the term “or” means “and/or”. The parties have participated jointly in the negotiation and drafting of this Agreement. Consequently,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 of this Agreement.</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Waivers and Extensions</w:t>
      </w:r>
      <w:r>
        <w:rPr>
          <w:rFonts w:ascii="Times New Roman" w:cs="Times New Roman" w:eastAsia="Times New Roman" w:hAnsi="Times New Roman"/>
          <w:sz w:val="18"/>
          <w:szCs w:val="18"/>
          <w:color w:val="auto"/>
        </w:rPr>
        <w:t xml:space="preserve">. Any party to this Agreement may waive any right, breach or default which such party has the right to waive,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Remedies Cumulative</w:t>
      </w:r>
      <w:r>
        <w:rPr>
          <w:rFonts w:ascii="Times New Roman" w:cs="Times New Roman" w:eastAsia="Times New Roman" w:hAnsi="Times New Roman"/>
          <w:sz w:val="18"/>
          <w:szCs w:val="18"/>
          <w:color w:val="auto"/>
        </w:rPr>
        <w:t>. In the event that the Company fails to observe or perform any covenant or agreement to be observed or performed under this Agreement, the Investor or any other holder of Registrable Securities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1" w:name="page222"/>
    <w:bookmarkEnd w:id="22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interpreted under, and construed in accordance with the internal laws of the State of Delaware applicable to agreements made and to be performed within the State of Delaware, without giving effect to any choice-of-law provisions thereof that would compel the application of the substantive laws of any other jurisdiction.</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Consent to Jurisdiction; Waiver of Trial by Jury</w:t>
      </w:r>
      <w:r>
        <w:rPr>
          <w:rFonts w:ascii="Times New Roman" w:cs="Times New Roman" w:eastAsia="Times New Roman" w:hAnsi="Times New Roman"/>
          <w:sz w:val="18"/>
          <w:szCs w:val="18"/>
          <w:color w:val="auto"/>
        </w:rPr>
        <w:t>. The parties hereto agree to submit any matter or dispute resulting from or arising out of the execution, performance, interpretation, breach or termination of this Agreement to the non-exclusive jurisdiction of federal or state courts within the State of New York (and the appellate courts thereof). Each of the parties agrees that service of any process, summons, notice or document in the manner set forth in Section 6.3 hereof or in such other manner as may be permitted by applicable law, shall be effective service of process for any proceeding in the State of New York with respect to any matters to which it has submitted to jurisdiction in this Section 6.12. Each of the parties hereto irrevocably and unconditionally agrees that it is subject to, and hereby submits to, the personal jurisdiction of the courts located in the State of New York (and any appellate courts thereof) for any action, suit or proceeding arising out of this Agreement or the transactions contemplated hereunder and waives any objection to the laying of venue in the United States District Court for the Southern District of New York, or the New York state courts if the federal jurisdictional standards are not satisfied (or any appellate courts thereof), and hereby further irrevocably and unconditionally waives and agrees not to plead or claim in any such court that any such action, suit or proceeding brought in any such court has been brought in an inconvenient forum. Each party hereby irrevocably and unconditionally waives the right to a trial by jury in any action, suit, counterclaim or other proceeding (whether based on contract, tort or otherwise) arising out of, connected with or relating to this Agreement, the transactions contemplated hereby, or the actions of the Investor in the negotiation, administration, performance or enforcement hereof.</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Notwithstanding the foregoing provisions, to the extent any Initial Shares and/or Private Units (and the securities underlying the Private Units) are owned by Representative or any permitted transferee under FINRA Rule 5110(e)(2), such securities shall be subject to compliance with FINRA Rule 5110(g)(8). The Representatives may not exercise their demand or “piggyback” registration rights after five (5) years and seven (7) years, respectively, after the effective date of the IPO and may not exercise their demand rights on more than one occasion.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Termination of Merger Agreement</w:t>
      </w:r>
      <w:r>
        <w:rPr>
          <w:rFonts w:ascii="Times New Roman" w:cs="Times New Roman" w:eastAsia="Times New Roman" w:hAnsi="Times New Roman"/>
          <w:sz w:val="18"/>
          <w:szCs w:val="18"/>
          <w:color w:val="auto"/>
        </w:rPr>
        <w:t>. This Agreement shall be binding upon each party upon such party’s execution and delivery of this Agreement, but this Agreement shall only become effective upon the Closing. In the event that the Merger Agreement is validly terminated in accordance with its terms prior to the Closing, this Agreement shall automatically terminate and become null and void and be of no further force or effect, and the parties shall have no obligations hereunder.</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terminate upon the earlier of (i) the fifth anniversary of the date of this Agreement or, (ii) on a holder of Registrable Securities-by-holder of Registrable Securities basis, on the date as of which (A) all of the Registrable Securities held by such holder have been sold pursuant to a Registration Statement (but in no event prior to the applicable period referred to in Section 4(a)(3) of the Securities Act and Rule 174 thereunder (or any successor rule promulgated thereafter by the Commission)) or (B) such holder of Registrable Securities is permitted to sell all of its Registrable Securities under Rule 144 (or any similar provision) under the Securities Act without limitation on the amount of securities sold or the manner of sale.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2" w:name="page223"/>
    <w:bookmarkEnd w:id="222"/>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Amended and Restated Registration Rights Agreement to be executed and delivered by their duly authorized representatives as of the date first written above.</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Dr. Keyvan Mohajer</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u w:val="single" w:color="auto"/>
          <w:color w:val="auto"/>
        </w:rPr>
        <w:t>PRE-BC INVESTORS: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ARCHIMEDES TECH SPAC SPONSORS LLC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Stephen N. Cannon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Member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EARLYBIRDCAPITAL,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/s/Mike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Mike Powell</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Managing Director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BRYANT B. EDWARDS</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/s/Bryant B.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Bryant B. Edwards</w:t>
      </w:r>
    </w:p>
    <w:p>
      <w:pPr>
        <w:spacing w:after="0" w:line="2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LUC JULIA</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/s/Luc Julia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Luc Julia</w:t>
      </w:r>
    </w:p>
    <w:p>
      <w:pPr>
        <w:spacing w:after="0" w:line="2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RAJAN P. PAI</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/s/Rajan P. Pai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Rajan P. Pai</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Amended and Restated Registration Rights Agreement}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3" w:name="page224"/>
    <w:bookmarkEnd w:id="223"/>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SOUNDHOUND INVESTORS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DR. KEYVAN MOHAJER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Dr. Keyvan Mohajer</w:t>
      </w:r>
    </w:p>
    <w:p>
      <w:pPr>
        <w:spacing w:after="0" w:line="2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JAMES HOM</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/s/James Hom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James Hom</w:t>
      </w:r>
    </w:p>
    <w:p>
      <w:pPr>
        <w:spacing w:after="0" w:line="2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DR. MAJID EMAMI</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/s/Majid Emami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Dr. Majid Emami</w:t>
      </w:r>
    </w:p>
    <w:p>
      <w:pPr>
        <w:spacing w:after="0" w:line="2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TIMOTHY STONEHOCKER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/s/Timothy Stonehocker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Timothy Stonehocker</w:t>
      </w:r>
    </w:p>
    <w:p>
      <w:pPr>
        <w:spacing w:after="0" w:line="2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LARRY MARCUS</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/s/Larry Marcus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Larry Marcus</w:t>
      </w:r>
    </w:p>
    <w:p>
      <w:pPr>
        <w:spacing w:after="0" w:line="2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NITESH SHARAN</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/s/Nitesh Sharan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Nitesh Sharan</w:t>
      </w:r>
    </w:p>
    <w:p>
      <w:pPr>
        <w:spacing w:after="0" w:line="2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MICHAEL ZAGORSEK</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Michael Zagorsek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19685</wp:posOffset>
            </wp:positionV>
            <wp:extent cx="249428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Zagorsek</w:t>
      </w:r>
    </w:p>
    <w:p>
      <w:pPr>
        <w:spacing w:after="0" w:line="2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ZUBIN IRANI</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/s/Zubin Irani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Zubin Irani</w:t>
      </w:r>
    </w:p>
    <w:p>
      <w:pPr>
        <w:spacing w:after="0" w:line="2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THE BALL AXLINE LIVING TRUST</w:t>
      </w:r>
    </w:p>
    <w:p>
      <w:pPr>
        <w:spacing w:after="0" w:line="24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/s/Eric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Trustee</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Dr. Eric Ball</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{Signature Page to Amended and Restated Registration Rights Agreement}</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24" w:name="page225"/>
    <w:bookmarkEnd w:id="224"/>
    <w:p>
      <w:pPr>
        <w:ind w:left="5640"/>
        <w:spacing w:after="0"/>
        <w:rPr>
          <w:sz w:val="20"/>
          <w:szCs w:val="20"/>
          <w:color w:val="auto"/>
        </w:rPr>
      </w:pPr>
      <w:r>
        <w:rPr>
          <w:rFonts w:ascii="Times New Roman" w:cs="Times New Roman" w:eastAsia="Times New Roman" w:hAnsi="Times New Roman"/>
          <w:sz w:val="18"/>
          <w:szCs w:val="18"/>
          <w:b w:val="1"/>
          <w:bCs w:val="1"/>
          <w:color w:val="auto"/>
        </w:rPr>
        <w:t>GLOBAL CATALYST PARTNERS III, L.P.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GLOBAL CATALYST VENTURE</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MANAGEMENT III, L.L.C., its GENERAL</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PARTNER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/s/Kamran Elahian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Kamran Elahian</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Amended and Restated Registration Rights Agreement}</w:t>
      </w:r>
    </w:p>
    <w:p>
      <w:pPr>
        <w:spacing w:after="0" w:line="200" w:lineRule="exact"/>
        <w:rPr>
          <w:sz w:val="20"/>
          <w:szCs w:val="20"/>
          <w:color w:val="auto"/>
        </w:rPr>
      </w:pPr>
    </w:p>
    <w:p>
      <w:pPr>
        <w:spacing w:after="0" w:line="24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00"/>
          </w:cols>
          <w:pgMar w:left="1440" w:top="900" w:right="859" w:bottom="1440" w:gutter="0" w:footer="0" w:header="0"/>
        </w:sectPr>
      </w:pPr>
    </w:p>
    <w:bookmarkStart w:id="225" w:name="page226"/>
    <w:bookmarkEnd w:id="225"/>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6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and Address of Investors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Archimedes Tech SPAC Sponsors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Steve Cannon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2093 Philadelphia Pike #1968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Claymont, DE 19703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EarlyBirdCapital,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366 Madison Avenue, 8th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Bryant B. Edwards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2093 Philadelphia Pike #1968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Claymont, DE 19703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 Julia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2093 Philadelphia Pike #1968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Claymont, DE 19703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Rajan P. Pai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2093 Philadelphia Pike #1968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Claymont, DE 19703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Keyvan Mohajer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Hom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Majid Emami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Timothy Stonehocker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Nitesh Sharan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Zagorsek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Zubin Irani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Ball Axline Living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801 K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Sacramento, CA 95814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Catalyst Partners III,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Patricia Zadoo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6239 Mojave Dr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 95120</w:t>
      </w:r>
    </w:p>
    <w:p>
      <w:pPr>
        <w:spacing w:after="0" w:line="135" w:lineRule="exact"/>
        <w:rPr>
          <w:sz w:val="20"/>
          <w:szCs w:val="20"/>
          <w:color w:val="auto"/>
        </w:rPr>
      </w:pPr>
    </w:p>
    <w:p>
      <w:pPr>
        <w:jc w:val="right"/>
        <w:ind w:right="175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Amended and Restated Registration Rights Agreement}</w:t>
      </w:r>
    </w:p>
    <w:p>
      <w:pPr>
        <w:spacing w:after="0" w:line="3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consent to the inclusion in this Registration Statement of SoundHound AI, Inc. (formerly known as Archimedes Tech SPAC Partners Co.) on Form S-1 of our report dated March 9, 2022, with respect to our audit of the Archimedes Tech SPAC Partners Co. (the “Company”) financial statements as of December 31, 2021 and 2020, and for the year ended December 31, 2021 and the period September 15, 2020 (inception) through December 31, 2020, which appears in this Registration Statement. Our report contained an explanatory paragraph regarding substantial doubt about the Company’s ability to continue as a going concern.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caption “Experts” in such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UHY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16, 2022</w:t>
      </w:r>
    </w:p>
    <w:p>
      <w:pPr>
        <w:sectPr>
          <w:pgSz w:w="11900" w:h="16838" w:orient="portrait"/>
          <w:cols w:equalWidth="0" w:num="1">
            <w:col w:w="11240"/>
          </w:cols>
          <w:pgMar w:left="320" w:top="117" w:right="339"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156845</wp:posOffset>
            </wp:positionV>
            <wp:extent cx="1234440" cy="3600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8">
                      <a:extLst>
                        <a:ext uri="{28A0092B-C50C-407E-A947-70E740481C1C}"/>
                      </a:extLst>
                    </a:blip>
                    <a:srcRect/>
                    <a:stretch>
                      <a:fillRect/>
                    </a:stretch>
                  </pic:blipFill>
                  <pic:spPr bwMode="auto">
                    <a:xfrm>
                      <a:off x="0" y="0"/>
                      <a:ext cx="123444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use in this Registration Statement on Form S-1 of our audit report dated March 9, 2022 relating to the consolidated financial statements of SoundHound, Inc. for the years ended December 31, 2021 and 2020, which report appears in the Registration Statement. We also consent to the reference to us under the heading “Experts” in such Registration Statement.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3880" w:type="dxa"/>
            <w:vAlign w:val="bottom"/>
          </w:tcPr>
          <w:p>
            <w:pPr>
              <w:spacing w:after="0"/>
              <w:rPr>
                <w:sz w:val="24"/>
                <w:szCs w:val="24"/>
                <w:color w:val="auto"/>
              </w:rPr>
            </w:pPr>
          </w:p>
        </w:tc>
        <w:tc>
          <w:tcPr>
            <w:tcW w:w="432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/s/ Armanino</w:t>
            </w:r>
            <w:r>
              <w:rPr>
                <w:rFonts w:ascii="Times New Roman" w:cs="Times New Roman" w:eastAsia="Times New Roman" w:hAnsi="Times New Roman"/>
                <w:sz w:val="29"/>
                <w:szCs w:val="29"/>
                <w:color w:val="auto"/>
                <w:vertAlign w:val="superscript"/>
              </w:rPr>
              <w:t>LLP</w:t>
            </w: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May 16, 2022</w:t>
            </w:r>
          </w:p>
        </w:tc>
        <w:tc>
          <w:tcPr>
            <w:tcW w:w="432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8"/>
              </w:rPr>
              <w:t>San Jose, California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822960" cy="4972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9">
                      <a:extLst>
                        <a:ext uri="{28A0092B-C50C-407E-A947-70E740481C1C}"/>
                      </a:extLst>
                    </a:blip>
                    <a:srcRect/>
                    <a:stretch>
                      <a:fillRect/>
                    </a:stretch>
                  </pic:blipFill>
                  <pic:spPr bwMode="auto">
                    <a:xfrm>
                      <a:off x="0" y="0"/>
                      <a:ext cx="822960" cy="49720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8" w:name="page229"/>
    <w:bookmarkEnd w:id="228"/>
    <w:p>
      <w:pPr>
        <w:ind w:left="1036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Table 1: Newly Registered and Carry Forward Securities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840" w:type="dxa"/>
            <w:vAlign w:val="bottom"/>
            <w:tcBorders>
              <w:top w:val="single" w:sz="8" w:color="auto"/>
              <w:left w:val="single" w:sz="8" w:color="auto"/>
              <w:right w:val="single" w:sz="8" w:color="auto"/>
            </w:tcBorders>
          </w:tcPr>
          <w:p>
            <w:pPr>
              <w:spacing w:after="0"/>
              <w:rPr>
                <w:sz w:val="11"/>
                <w:szCs w:val="11"/>
                <w:color w:val="auto"/>
              </w:rPr>
            </w:pPr>
          </w:p>
        </w:tc>
        <w:tc>
          <w:tcPr>
            <w:tcW w:w="620" w:type="dxa"/>
            <w:vAlign w:val="bottom"/>
            <w:tcBorders>
              <w:top w:val="single" w:sz="8" w:color="auto"/>
              <w:right w:val="single" w:sz="8" w:color="auto"/>
            </w:tcBorders>
          </w:tcPr>
          <w:p>
            <w:pPr>
              <w:spacing w:after="0"/>
              <w:rPr>
                <w:sz w:val="11"/>
                <w:szCs w:val="11"/>
                <w:color w:val="auto"/>
              </w:rPr>
            </w:pPr>
          </w:p>
        </w:tc>
        <w:tc>
          <w:tcPr>
            <w:tcW w:w="620" w:type="dxa"/>
            <w:vAlign w:val="bottom"/>
            <w:tcBorders>
              <w:top w:val="single" w:sz="8" w:color="auto"/>
              <w:right w:val="single" w:sz="8" w:color="auto"/>
            </w:tcBorders>
          </w:tcPr>
          <w:p>
            <w:pPr>
              <w:spacing w:after="0"/>
              <w:rPr>
                <w:sz w:val="11"/>
                <w:szCs w:val="11"/>
                <w:color w:val="auto"/>
              </w:rPr>
            </w:pPr>
          </w:p>
        </w:tc>
        <w:tc>
          <w:tcPr>
            <w:tcW w:w="1000" w:type="dxa"/>
            <w:vAlign w:val="bottom"/>
            <w:tcBorders>
              <w:top w:val="single" w:sz="8" w:color="auto"/>
              <w:right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80" w:type="dxa"/>
            <w:vAlign w:val="bottom"/>
            <w:tcBorders>
              <w:top w:val="single" w:sz="8" w:color="auto"/>
              <w:right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right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right w:val="single" w:sz="8" w:color="auto"/>
            </w:tcBorders>
          </w:tcPr>
          <w:p>
            <w:pPr>
              <w:spacing w:after="0"/>
              <w:rPr>
                <w:sz w:val="11"/>
                <w:szCs w:val="11"/>
                <w:color w:val="auto"/>
              </w:rPr>
            </w:pPr>
          </w:p>
        </w:tc>
        <w:tc>
          <w:tcPr>
            <w:tcW w:w="920" w:type="dxa"/>
            <w:vAlign w:val="bottom"/>
            <w:tcBorders>
              <w:top w:val="single" w:sz="8" w:color="auto"/>
              <w:right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00" w:type="dxa"/>
            <w:vAlign w:val="bottom"/>
            <w:tcBorders>
              <w:top w:val="single" w:sz="8" w:color="auto"/>
              <w:right w:val="single" w:sz="8" w:color="auto"/>
            </w:tcBorders>
          </w:tcPr>
          <w:p>
            <w:pPr>
              <w:spacing w:after="0"/>
              <w:rPr>
                <w:sz w:val="11"/>
                <w:szCs w:val="11"/>
                <w:color w:val="auto"/>
              </w:rPr>
            </w:pPr>
          </w:p>
        </w:tc>
        <w:tc>
          <w:tcPr>
            <w:tcW w:w="740" w:type="dxa"/>
            <w:vAlign w:val="bottom"/>
            <w:tcBorders>
              <w:top w:val="single" w:sz="8" w:color="auto"/>
              <w:right w:val="single" w:sz="8" w:color="auto"/>
            </w:tcBorders>
          </w:tcPr>
          <w:p>
            <w:pPr>
              <w:spacing w:after="0"/>
              <w:rPr>
                <w:sz w:val="11"/>
                <w:szCs w:val="11"/>
                <w:color w:val="auto"/>
              </w:rPr>
            </w:pPr>
          </w:p>
        </w:tc>
        <w:tc>
          <w:tcPr>
            <w:tcW w:w="760" w:type="dxa"/>
            <w:vAlign w:val="bottom"/>
            <w:tcBorders>
              <w:top w:val="single" w:sz="8" w:color="auto"/>
              <w:right w:val="single" w:sz="8" w:color="auto"/>
            </w:tcBorders>
          </w:tcPr>
          <w:p>
            <w:pPr>
              <w:spacing w:after="0"/>
              <w:rPr>
                <w:sz w:val="11"/>
                <w:szCs w:val="11"/>
                <w:color w:val="auto"/>
              </w:rPr>
            </w:pPr>
          </w:p>
        </w:tc>
        <w:tc>
          <w:tcPr>
            <w:tcW w:w="740" w:type="dxa"/>
            <w:vAlign w:val="bottom"/>
            <w:tcBorders>
              <w:top w:val="single" w:sz="8" w:color="auto"/>
              <w:right w:val="single" w:sz="8" w:color="auto"/>
            </w:tcBorders>
          </w:tcPr>
          <w:p>
            <w:pPr>
              <w:spacing w:after="0"/>
              <w:rPr>
                <w:sz w:val="11"/>
                <w:szCs w:val="11"/>
                <w:color w:val="auto"/>
              </w:rPr>
            </w:pPr>
          </w:p>
        </w:tc>
        <w:tc>
          <w:tcPr>
            <w:tcW w:w="96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Filing Fee</w:t>
            </w:r>
          </w:p>
        </w:tc>
        <w:tc>
          <w:tcPr>
            <w:tcW w:w="0" w:type="dxa"/>
            <w:vAlign w:val="bottom"/>
          </w:tcPr>
          <w:p>
            <w:pPr>
              <w:spacing w:after="0"/>
              <w:rPr>
                <w:sz w:val="1"/>
                <w:szCs w:val="1"/>
                <w:color w:val="auto"/>
              </w:rPr>
            </w:pPr>
          </w:p>
        </w:tc>
      </w:tr>
      <w:tr>
        <w:trPr>
          <w:trHeight w:val="148"/>
        </w:trPr>
        <w:tc>
          <w:tcPr>
            <w:tcW w:w="84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0" w:type="dxa"/>
            <w:vAlign w:val="bottom"/>
          </w:tcPr>
          <w:p>
            <w:pPr>
              <w:spacing w:after="0"/>
              <w:rPr>
                <w:sz w:val="1"/>
                <w:szCs w:val="1"/>
                <w:color w:val="auto"/>
              </w:rPr>
            </w:pPr>
          </w:p>
        </w:tc>
      </w:tr>
      <w:tr>
        <w:trPr>
          <w:trHeight w:val="148"/>
        </w:trPr>
        <w:tc>
          <w:tcPr>
            <w:tcW w:w="84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0" w:type="dxa"/>
            <w:vAlign w:val="bottom"/>
          </w:tcPr>
          <w:p>
            <w:pPr>
              <w:spacing w:after="0"/>
              <w:rPr>
                <w:sz w:val="1"/>
                <w:szCs w:val="1"/>
                <w:color w:val="auto"/>
              </w:rPr>
            </w:pPr>
          </w:p>
        </w:tc>
      </w:tr>
      <w:tr>
        <w:trPr>
          <w:trHeight w:val="148"/>
        </w:trPr>
        <w:tc>
          <w:tcPr>
            <w:tcW w:w="84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Connection</w:t>
            </w:r>
          </w:p>
        </w:tc>
        <w:tc>
          <w:tcPr>
            <w:tcW w:w="0" w:type="dxa"/>
            <w:vAlign w:val="bottom"/>
          </w:tcPr>
          <w:p>
            <w:pPr>
              <w:spacing w:after="0"/>
              <w:rPr>
                <w:sz w:val="1"/>
                <w:szCs w:val="1"/>
                <w:color w:val="auto"/>
              </w:rPr>
            </w:pPr>
          </w:p>
        </w:tc>
      </w:tr>
      <w:tr>
        <w:trPr>
          <w:trHeight w:val="149"/>
        </w:trPr>
        <w:tc>
          <w:tcPr>
            <w:tcW w:w="84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Fee</w:t>
            </w:r>
          </w:p>
        </w:tc>
        <w:tc>
          <w:tcPr>
            <w:tcW w:w="6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gridSpan w:val="2"/>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Proposed</w:t>
            </w:r>
          </w:p>
        </w:tc>
        <w:tc>
          <w:tcPr>
            <w:tcW w:w="16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w:t>
            </w: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with</w:t>
            </w:r>
          </w:p>
        </w:tc>
        <w:tc>
          <w:tcPr>
            <w:tcW w:w="0" w:type="dxa"/>
            <w:vAlign w:val="bottom"/>
          </w:tcPr>
          <w:p>
            <w:pPr>
              <w:spacing w:after="0"/>
              <w:rPr>
                <w:sz w:val="1"/>
                <w:szCs w:val="1"/>
                <w:color w:val="auto"/>
              </w:rPr>
            </w:pPr>
          </w:p>
        </w:tc>
      </w:tr>
      <w:tr>
        <w:trPr>
          <w:trHeight w:val="148"/>
        </w:trPr>
        <w:tc>
          <w:tcPr>
            <w:tcW w:w="84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right w:val="single" w:sz="8" w:color="auto"/>
            </w:tcBorders>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9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Carry</w:t>
            </w:r>
          </w:p>
        </w:tc>
        <w:tc>
          <w:tcPr>
            <w:tcW w:w="760" w:type="dxa"/>
            <w:vAlign w:val="bottom"/>
            <w:tcBorders>
              <w:right w:val="single" w:sz="8" w:color="auto"/>
            </w:tcBorders>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Carry</w:t>
            </w:r>
          </w:p>
        </w:tc>
        <w:tc>
          <w:tcPr>
            <w:tcW w:w="74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Unsold</w:t>
            </w:r>
          </w:p>
        </w:tc>
        <w:tc>
          <w:tcPr>
            <w:tcW w:w="0" w:type="dxa"/>
            <w:vAlign w:val="bottom"/>
          </w:tcPr>
          <w:p>
            <w:pPr>
              <w:spacing w:after="0"/>
              <w:rPr>
                <w:sz w:val="1"/>
                <w:szCs w:val="1"/>
                <w:color w:val="auto"/>
              </w:rPr>
            </w:pPr>
          </w:p>
        </w:tc>
      </w:tr>
      <w:tr>
        <w:trPr>
          <w:trHeight w:val="148"/>
        </w:trPr>
        <w:tc>
          <w:tcPr>
            <w:tcW w:w="84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00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6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gridSpan w:val="2"/>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60" w:type="dxa"/>
            <w:vAlign w:val="bottom"/>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74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84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62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or Carry</w:t>
            </w:r>
          </w:p>
        </w:tc>
        <w:tc>
          <w:tcPr>
            <w:tcW w:w="60" w:type="dxa"/>
            <w:vAlign w:val="bottom"/>
          </w:tcPr>
          <w:p>
            <w:pPr>
              <w:spacing w:after="0"/>
              <w:rPr>
                <w:sz w:val="12"/>
                <w:szCs w:val="12"/>
                <w:color w:val="auto"/>
              </w:rPr>
            </w:pPr>
          </w:p>
        </w:tc>
        <w:tc>
          <w:tcPr>
            <w:tcW w:w="1080" w:type="dxa"/>
            <w:vAlign w:val="bottom"/>
            <w:tcBorders>
              <w:right w:val="single" w:sz="8" w:color="auto"/>
            </w:tcBorders>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Borders>
              <w:right w:val="single" w:sz="8" w:color="auto"/>
            </w:tcBorders>
            <w:gridSpan w:val="2"/>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60" w:type="dxa"/>
            <w:vAlign w:val="bottom"/>
          </w:tcPr>
          <w:p>
            <w:pPr>
              <w:spacing w:after="0"/>
              <w:rPr>
                <w:sz w:val="12"/>
                <w:szCs w:val="12"/>
                <w:color w:val="auto"/>
              </w:rPr>
            </w:pPr>
          </w:p>
        </w:tc>
        <w:tc>
          <w:tcPr>
            <w:tcW w:w="860" w:type="dxa"/>
            <w:vAlign w:val="bottom"/>
            <w:tcBorders>
              <w:right w:val="single" w:sz="8" w:color="auto"/>
            </w:tcBorders>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9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gridSpan w:val="2"/>
            <w:vMerge w:val="continue"/>
          </w:tcPr>
          <w:p>
            <w:pPr>
              <w:spacing w:after="0"/>
              <w:rPr>
                <w:sz w:val="12"/>
                <w:szCs w:val="12"/>
                <w:color w:val="auto"/>
              </w:rPr>
            </w:pPr>
          </w:p>
        </w:tc>
        <w:tc>
          <w:tcPr>
            <w:tcW w:w="740" w:type="dxa"/>
            <w:vAlign w:val="bottom"/>
            <w:tcBorders>
              <w:right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760" w:type="dxa"/>
            <w:vAlign w:val="bottom"/>
            <w:tcBorders>
              <w:right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Initial</w:t>
            </w: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0" w:type="dxa"/>
            <w:vAlign w:val="bottom"/>
          </w:tcPr>
          <w:p>
            <w:pPr>
              <w:spacing w:after="0"/>
              <w:rPr>
                <w:sz w:val="1"/>
                <w:szCs w:val="1"/>
                <w:color w:val="auto"/>
              </w:rPr>
            </w:pPr>
          </w:p>
        </w:tc>
      </w:tr>
      <w:tr>
        <w:trPr>
          <w:trHeight w:val="148"/>
        </w:trPr>
        <w:tc>
          <w:tcPr>
            <w:tcW w:w="84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vMerge w:val="continue"/>
          </w:tcPr>
          <w:p>
            <w:pPr>
              <w:spacing w:after="0"/>
              <w:rPr>
                <w:sz w:val="12"/>
                <w:szCs w:val="12"/>
                <w:color w:val="auto"/>
              </w:rPr>
            </w:pPr>
          </w:p>
        </w:tc>
        <w:tc>
          <w:tcPr>
            <w:tcW w:w="620" w:type="dxa"/>
            <w:vAlign w:val="bottom"/>
            <w:tcBorders>
              <w:right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Class</w:t>
            </w:r>
          </w:p>
        </w:tc>
        <w:tc>
          <w:tcPr>
            <w:tcW w:w="100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60" w:type="dxa"/>
            <w:vAlign w:val="bottom"/>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gridSpan w:val="2"/>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60" w:type="dxa"/>
            <w:vAlign w:val="bottom"/>
          </w:tcPr>
          <w:p>
            <w:pPr>
              <w:spacing w:after="0"/>
              <w:rPr>
                <w:sz w:val="12"/>
                <w:szCs w:val="12"/>
                <w:color w:val="auto"/>
              </w:rPr>
            </w:pPr>
          </w:p>
        </w:tc>
        <w:tc>
          <w:tcPr>
            <w:tcW w:w="860" w:type="dxa"/>
            <w:vAlign w:val="bottom"/>
            <w:tcBorders>
              <w:right w:val="single" w:sz="8" w:color="auto"/>
            </w:tcBorders>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9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960" w:type="dxa"/>
            <w:vAlign w:val="bottom"/>
            <w:tcBorders>
              <w:right w:val="single" w:sz="8" w:color="auto"/>
            </w:tcBorders>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Form</w:t>
            </w:r>
          </w:p>
        </w:tc>
        <w:tc>
          <w:tcPr>
            <w:tcW w:w="760" w:type="dxa"/>
            <w:vAlign w:val="bottom"/>
            <w:tcBorders>
              <w:right w:val="single" w:sz="8" w:color="auto"/>
            </w:tcBorders>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File</w:t>
            </w:r>
          </w:p>
        </w:tc>
        <w:tc>
          <w:tcPr>
            <w:tcW w:w="740" w:type="dxa"/>
            <w:vAlign w:val="bottom"/>
            <w:tcBorders>
              <w:right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Carried</w:t>
            </w:r>
          </w:p>
        </w:tc>
        <w:tc>
          <w:tcPr>
            <w:tcW w:w="0" w:type="dxa"/>
            <w:vAlign w:val="bottom"/>
          </w:tcPr>
          <w:p>
            <w:pPr>
              <w:spacing w:after="0"/>
              <w:rPr>
                <w:sz w:val="1"/>
                <w:szCs w:val="1"/>
                <w:color w:val="auto"/>
              </w:rPr>
            </w:pPr>
          </w:p>
        </w:tc>
      </w:tr>
      <w:tr>
        <w:trPr>
          <w:trHeight w:val="173"/>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Type</w:t>
            </w:r>
          </w:p>
        </w:tc>
        <w:tc>
          <w:tcPr>
            <w:tcW w:w="6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000" w:type="dxa"/>
            <w:vAlign w:val="bottom"/>
            <w:tcBorders>
              <w:bottom w:val="single" w:sz="8" w:color="auto"/>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60" w:type="dxa"/>
            <w:vAlign w:val="bottom"/>
            <w:tcBorders>
              <w:bottom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Unit</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20" w:type="dxa"/>
            <w:vAlign w:val="bottom"/>
            <w:tcBorders>
              <w:bottom w:val="single" w:sz="8" w:color="auto"/>
              <w:right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Fee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760" w:type="dxa"/>
            <w:vAlign w:val="bottom"/>
            <w:tcBorders>
              <w:bottom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Forward</w:t>
            </w:r>
          </w:p>
        </w:tc>
        <w:tc>
          <w:tcPr>
            <w:tcW w:w="0" w:type="dxa"/>
            <w:vAlign w:val="bottom"/>
          </w:tcPr>
          <w:p>
            <w:pPr>
              <w:spacing w:after="0"/>
              <w:rPr>
                <w:sz w:val="1"/>
                <w:szCs w:val="1"/>
                <w:color w:val="auto"/>
              </w:rPr>
            </w:pPr>
          </w:p>
        </w:tc>
      </w:tr>
      <w:tr>
        <w:trPr>
          <w:trHeight w:val="142"/>
        </w:trPr>
        <w:tc>
          <w:tcPr>
            <w:tcW w:w="840" w:type="dxa"/>
            <w:vAlign w:val="bottom"/>
            <w:tcBorders>
              <w:left w:val="single" w:sz="8" w:color="auto"/>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4"/>
          </w:tcPr>
          <w:p>
            <w:pPr>
              <w:jc w:val="center"/>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Newly Registered Securities</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40" w:type="dxa"/>
            <w:vAlign w:val="bottom"/>
            <w:tcBorders>
              <w:left w:val="single" w:sz="8" w:color="auto"/>
              <w:right w:val="single" w:sz="8" w:color="auto"/>
            </w:tcBorders>
          </w:tcPr>
          <w:p>
            <w:pPr>
              <w:jc w:val="center"/>
              <w:ind w:left="70"/>
              <w:spacing w:after="0" w:line="118" w:lineRule="exact"/>
              <w:rPr>
                <w:sz w:val="20"/>
                <w:szCs w:val="20"/>
                <w:color w:val="auto"/>
              </w:rPr>
            </w:pPr>
            <w:r>
              <w:rPr>
                <w:rFonts w:ascii="Times New Roman" w:cs="Times New Roman" w:eastAsia="Times New Roman" w:hAnsi="Times New Roman"/>
                <w:sz w:val="13"/>
                <w:szCs w:val="13"/>
                <w:b w:val="1"/>
                <w:bCs w:val="1"/>
                <w:color w:val="auto"/>
              </w:rPr>
              <w:t>Fees to be</w:t>
            </w:r>
          </w:p>
        </w:tc>
        <w:tc>
          <w:tcPr>
            <w:tcW w:w="6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ind w:left="40"/>
              <w:spacing w:after="0" w:line="118" w:lineRule="exact"/>
              <w:rPr>
                <w:sz w:val="20"/>
                <w:szCs w:val="20"/>
                <w:color w:val="auto"/>
              </w:rPr>
            </w:pPr>
            <w:r>
              <w:rPr>
                <w:rFonts w:ascii="Times New Roman" w:cs="Times New Roman" w:eastAsia="Times New Roman" w:hAnsi="Times New Roman"/>
                <w:sz w:val="13"/>
                <w:szCs w:val="13"/>
                <w:color w:val="auto"/>
              </w:rPr>
              <w:t>Class A</w:t>
            </w:r>
          </w:p>
        </w:tc>
        <w:tc>
          <w:tcPr>
            <w:tcW w:w="10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840" w:type="dxa"/>
            <w:vAlign w:val="bottom"/>
            <w:tcBorders>
              <w:left w:val="single" w:sz="8" w:color="auto"/>
              <w:right w:val="single" w:sz="8" w:color="auto"/>
            </w:tcBorders>
          </w:tcPr>
          <w:p>
            <w:pPr>
              <w:jc w:val="center"/>
              <w:ind w:left="90"/>
              <w:spacing w:after="0" w:line="151" w:lineRule="exact"/>
              <w:rPr>
                <w:sz w:val="20"/>
                <w:szCs w:val="20"/>
                <w:color w:val="auto"/>
              </w:rPr>
            </w:pPr>
            <w:r>
              <w:rPr>
                <w:rFonts w:ascii="Times New Roman" w:cs="Times New Roman" w:eastAsia="Times New Roman" w:hAnsi="Times New Roman"/>
                <w:sz w:val="14"/>
                <w:szCs w:val="14"/>
                <w:b w:val="1"/>
                <w:bCs w:val="1"/>
                <w:color w:val="auto"/>
              </w:rPr>
              <w:t>Paid</w:t>
            </w:r>
          </w:p>
        </w:tc>
        <w:tc>
          <w:tcPr>
            <w:tcW w:w="62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ind w:left="40"/>
              <w:spacing w:after="0" w:line="151" w:lineRule="exact"/>
              <w:rPr>
                <w:sz w:val="20"/>
                <w:szCs w:val="20"/>
                <w:color w:val="auto"/>
              </w:rPr>
            </w:pPr>
            <w:r>
              <w:rPr>
                <w:rFonts w:ascii="Times New Roman" w:cs="Times New Roman" w:eastAsia="Times New Roman" w:hAnsi="Times New Roman"/>
                <w:sz w:val="14"/>
                <w:szCs w:val="14"/>
                <w:color w:val="auto"/>
              </w:rPr>
              <w:t>Common</w:t>
            </w:r>
          </w:p>
        </w:tc>
        <w:tc>
          <w:tcPr>
            <w:tcW w:w="10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4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Stock,</w:t>
            </w:r>
          </w:p>
        </w:tc>
        <w:tc>
          <w:tcPr>
            <w:tcW w:w="10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par value</w:t>
            </w:r>
          </w:p>
        </w:tc>
        <w:tc>
          <w:tcPr>
            <w:tcW w:w="10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$0.0001</w:t>
            </w:r>
          </w:p>
        </w:tc>
        <w:tc>
          <w:tcPr>
            <w:tcW w:w="10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per share</w:t>
            </w:r>
          </w:p>
        </w:tc>
        <w:tc>
          <w:tcPr>
            <w:tcW w:w="10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(“Class</w:t>
            </w:r>
          </w:p>
        </w:tc>
        <w:tc>
          <w:tcPr>
            <w:tcW w:w="10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10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Equity</w:t>
            </w:r>
          </w:p>
        </w:tc>
        <w:tc>
          <w:tcPr>
            <w:tcW w:w="62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10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457(c)</w:t>
            </w:r>
          </w:p>
        </w:tc>
        <w:tc>
          <w:tcPr>
            <w:tcW w:w="60" w:type="dxa"/>
            <w:vAlign w:val="bottom"/>
          </w:tcPr>
          <w:p>
            <w:pPr>
              <w:spacing w:after="0"/>
              <w:rPr>
                <w:sz w:val="12"/>
                <w:szCs w:val="12"/>
                <w:color w:val="auto"/>
              </w:rPr>
            </w:pPr>
          </w:p>
        </w:tc>
        <w:tc>
          <w:tcPr>
            <w:tcW w:w="10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97,231,504(1)(2)</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6.11(3)</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594,084,489</w:t>
            </w:r>
          </w:p>
        </w:tc>
        <w:tc>
          <w:tcPr>
            <w:tcW w:w="92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0.0000927</w:t>
            </w: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55,072</w:t>
            </w:r>
          </w:p>
        </w:tc>
        <w:tc>
          <w:tcPr>
            <w:tcW w:w="74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auto"/>
            </w:tcBorders>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40" w:type="dxa"/>
            <w:vAlign w:val="bottom"/>
            <w:tcBorders>
              <w:left w:val="single" w:sz="8" w:color="auto"/>
              <w:bottom w:val="single" w:sz="8" w:color="auto"/>
              <w:right w:val="single" w:sz="8" w:color="auto"/>
            </w:tcBorders>
          </w:tcPr>
          <w:p>
            <w:pPr>
              <w:spacing w:after="0"/>
              <w:rPr>
                <w:sz w:val="14"/>
                <w:szCs w:val="14"/>
                <w:color w:val="auto"/>
              </w:rPr>
            </w:pPr>
          </w:p>
        </w:tc>
        <w:tc>
          <w:tcPr>
            <w:tcW w:w="620" w:type="dxa"/>
            <w:vAlign w:val="bottom"/>
            <w:tcBorders>
              <w:bottom w:val="single" w:sz="8" w:color="auto"/>
              <w:right w:val="single" w:sz="8" w:color="auto"/>
            </w:tcBorders>
            <w:vMerge w:val="continue"/>
          </w:tcPr>
          <w:p>
            <w:pPr>
              <w:spacing w:after="0"/>
              <w:rPr>
                <w:sz w:val="14"/>
                <w:szCs w:val="14"/>
                <w:color w:val="auto"/>
              </w:rPr>
            </w:pPr>
          </w:p>
        </w:tc>
        <w:tc>
          <w:tcPr>
            <w:tcW w:w="6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Stock”)</w:t>
            </w: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right w:val="single" w:sz="8" w:color="auto"/>
            </w:tcBorders>
            <w:vMerge w:val="continue"/>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right w:val="single" w:sz="8" w:color="auto"/>
            </w:tcBorders>
            <w:vMerge w:val="continue"/>
          </w:tcPr>
          <w:p>
            <w:pPr>
              <w:spacing w:after="0"/>
              <w:rPr>
                <w:sz w:val="14"/>
                <w:szCs w:val="14"/>
                <w:color w:val="auto"/>
              </w:rPr>
            </w:pPr>
          </w:p>
        </w:tc>
        <w:tc>
          <w:tcPr>
            <w:tcW w:w="920" w:type="dxa"/>
            <w:vAlign w:val="bottom"/>
            <w:tcBorders>
              <w:bottom w:val="single" w:sz="8" w:color="auto"/>
              <w:right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right w:val="single" w:sz="8" w:color="auto"/>
            </w:tcBorders>
            <w:vMerge w:val="continue"/>
          </w:tcPr>
          <w:p>
            <w:pPr>
              <w:spacing w:after="0"/>
              <w:rPr>
                <w:sz w:val="14"/>
                <w:szCs w:val="14"/>
                <w:color w:val="auto"/>
              </w:rPr>
            </w:pPr>
          </w:p>
        </w:tc>
        <w:tc>
          <w:tcPr>
            <w:tcW w:w="740" w:type="dxa"/>
            <w:vAlign w:val="bottom"/>
            <w:tcBorders>
              <w:bottom w:val="single" w:sz="8" w:color="auto"/>
              <w:right w:val="single" w:sz="8" w:color="auto"/>
            </w:tcBorders>
            <w:vMerge w:val="continue"/>
          </w:tcPr>
          <w:p>
            <w:pPr>
              <w:spacing w:after="0"/>
              <w:rPr>
                <w:sz w:val="14"/>
                <w:szCs w:val="14"/>
                <w:color w:val="auto"/>
              </w:rPr>
            </w:pPr>
          </w:p>
        </w:tc>
        <w:tc>
          <w:tcPr>
            <w:tcW w:w="760" w:type="dxa"/>
            <w:vAlign w:val="bottom"/>
            <w:tcBorders>
              <w:bottom w:val="single" w:sz="8" w:color="auto"/>
              <w:right w:val="single" w:sz="8" w:color="auto"/>
            </w:tcBorders>
            <w:vMerge w:val="continue"/>
          </w:tcPr>
          <w:p>
            <w:pPr>
              <w:spacing w:after="0"/>
              <w:rPr>
                <w:sz w:val="14"/>
                <w:szCs w:val="14"/>
                <w:color w:val="auto"/>
              </w:rPr>
            </w:pPr>
          </w:p>
        </w:tc>
        <w:tc>
          <w:tcPr>
            <w:tcW w:w="740" w:type="dxa"/>
            <w:vAlign w:val="bottom"/>
            <w:tcBorders>
              <w:bottom w:val="single" w:sz="8" w:color="auto"/>
              <w:right w:val="single" w:sz="8" w:color="auto"/>
            </w:tcBorders>
            <w:vMerge w:val="continue"/>
          </w:tcPr>
          <w:p>
            <w:pPr>
              <w:spacing w:after="0"/>
              <w:rPr>
                <w:sz w:val="14"/>
                <w:szCs w:val="14"/>
                <w:color w:val="auto"/>
              </w:rPr>
            </w:pPr>
          </w:p>
        </w:tc>
        <w:tc>
          <w:tcPr>
            <w:tcW w:w="96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40" w:type="dxa"/>
            <w:vAlign w:val="bottom"/>
            <w:tcBorders>
              <w:left w:val="single" w:sz="8" w:color="auto"/>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ind w:left="40"/>
              <w:spacing w:after="0" w:line="119" w:lineRule="exact"/>
              <w:rPr>
                <w:sz w:val="20"/>
                <w:szCs w:val="20"/>
                <w:color w:val="auto"/>
              </w:rPr>
            </w:pPr>
            <w:r>
              <w:rPr>
                <w:rFonts w:ascii="Times New Roman" w:cs="Times New Roman" w:eastAsia="Times New Roman" w:hAnsi="Times New Roman"/>
                <w:sz w:val="13"/>
                <w:szCs w:val="13"/>
                <w:color w:val="auto"/>
              </w:rPr>
              <w:t>Class A</w:t>
            </w:r>
          </w:p>
        </w:tc>
        <w:tc>
          <w:tcPr>
            <w:tcW w:w="10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4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10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Stock</w:t>
            </w:r>
          </w:p>
        </w:tc>
        <w:tc>
          <w:tcPr>
            <w:tcW w:w="10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issuable</w:t>
            </w:r>
          </w:p>
        </w:tc>
        <w:tc>
          <w:tcPr>
            <w:tcW w:w="10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on</w:t>
            </w:r>
          </w:p>
        </w:tc>
        <w:tc>
          <w:tcPr>
            <w:tcW w:w="10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exercise</w:t>
            </w:r>
          </w:p>
        </w:tc>
        <w:tc>
          <w:tcPr>
            <w:tcW w:w="10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10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Warrants</w:t>
            </w:r>
          </w:p>
        </w:tc>
        <w:tc>
          <w:tcPr>
            <w:tcW w:w="10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Equity</w:t>
            </w:r>
          </w:p>
        </w:tc>
        <w:tc>
          <w:tcPr>
            <w:tcW w:w="62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(defined</w:t>
            </w:r>
          </w:p>
        </w:tc>
        <w:tc>
          <w:tcPr>
            <w:tcW w:w="10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457(g)</w:t>
            </w:r>
          </w:p>
        </w:tc>
        <w:tc>
          <w:tcPr>
            <w:tcW w:w="60" w:type="dxa"/>
            <w:vAlign w:val="bottom"/>
          </w:tcPr>
          <w:p>
            <w:pPr>
              <w:spacing w:after="0"/>
              <w:rPr>
                <w:sz w:val="12"/>
                <w:szCs w:val="12"/>
                <w:color w:val="auto"/>
              </w:rPr>
            </w:pPr>
          </w:p>
        </w:tc>
        <w:tc>
          <w:tcPr>
            <w:tcW w:w="10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6,858,000(1)(2)</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auto"/>
            </w:tcBorders>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11.50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78,867,000</w:t>
            </w:r>
          </w:p>
        </w:tc>
        <w:tc>
          <w:tcPr>
            <w:tcW w:w="92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color w:val="auto"/>
              </w:rPr>
              <w:t>0.0000927</w:t>
            </w: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7,311</w:t>
            </w: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40" w:type="dxa"/>
            <w:vAlign w:val="bottom"/>
            <w:tcBorders>
              <w:left w:val="single" w:sz="8" w:color="auto"/>
              <w:bottom w:val="single" w:sz="8" w:color="auto"/>
              <w:right w:val="single" w:sz="8" w:color="auto"/>
            </w:tcBorders>
          </w:tcPr>
          <w:p>
            <w:pPr>
              <w:spacing w:after="0"/>
              <w:rPr>
                <w:sz w:val="14"/>
                <w:szCs w:val="14"/>
                <w:color w:val="auto"/>
              </w:rPr>
            </w:pPr>
          </w:p>
        </w:tc>
        <w:tc>
          <w:tcPr>
            <w:tcW w:w="620" w:type="dxa"/>
            <w:vAlign w:val="bottom"/>
            <w:tcBorders>
              <w:bottom w:val="single" w:sz="8" w:color="auto"/>
              <w:right w:val="single" w:sz="8" w:color="auto"/>
            </w:tcBorders>
            <w:vMerge w:val="continue"/>
          </w:tcPr>
          <w:p>
            <w:pPr>
              <w:spacing w:after="0"/>
              <w:rPr>
                <w:sz w:val="14"/>
                <w:szCs w:val="14"/>
                <w:color w:val="auto"/>
              </w:rPr>
            </w:pPr>
          </w:p>
        </w:tc>
        <w:tc>
          <w:tcPr>
            <w:tcW w:w="6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below)</w:t>
            </w: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right w:val="single" w:sz="8" w:color="auto"/>
            </w:tcBorders>
            <w:vMerge w:val="continue"/>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right w:val="single" w:sz="8" w:color="auto"/>
            </w:tcBorders>
            <w:vMerge w:val="continue"/>
          </w:tcPr>
          <w:p>
            <w:pPr>
              <w:spacing w:after="0"/>
              <w:rPr>
                <w:sz w:val="14"/>
                <w:szCs w:val="14"/>
                <w:color w:val="auto"/>
              </w:rPr>
            </w:pPr>
          </w:p>
        </w:tc>
        <w:tc>
          <w:tcPr>
            <w:tcW w:w="920" w:type="dxa"/>
            <w:vAlign w:val="bottom"/>
            <w:tcBorders>
              <w:bottom w:val="single" w:sz="8" w:color="auto"/>
              <w:right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right w:val="single" w:sz="8" w:color="auto"/>
            </w:tcBorders>
            <w:vMerge w:val="continue"/>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40" w:type="dxa"/>
            <w:vAlign w:val="bottom"/>
            <w:tcBorders>
              <w:left w:val="single" w:sz="8" w:color="auto"/>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ind w:left="40"/>
              <w:spacing w:after="0" w:line="119" w:lineRule="exact"/>
              <w:rPr>
                <w:sz w:val="20"/>
                <w:szCs w:val="20"/>
                <w:color w:val="auto"/>
              </w:rPr>
            </w:pPr>
            <w:r>
              <w:rPr>
                <w:rFonts w:ascii="Times New Roman" w:cs="Times New Roman" w:eastAsia="Times New Roman" w:hAnsi="Times New Roman"/>
                <w:sz w:val="13"/>
                <w:szCs w:val="13"/>
                <w:color w:val="auto"/>
              </w:rPr>
              <w:t>Warrants</w:t>
            </w:r>
          </w:p>
        </w:tc>
        <w:tc>
          <w:tcPr>
            <w:tcW w:w="10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4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to</w:t>
            </w:r>
          </w:p>
        </w:tc>
        <w:tc>
          <w:tcPr>
            <w:tcW w:w="10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purchase</w:t>
            </w:r>
          </w:p>
        </w:tc>
        <w:tc>
          <w:tcPr>
            <w:tcW w:w="10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Class A</w:t>
            </w:r>
          </w:p>
        </w:tc>
        <w:tc>
          <w:tcPr>
            <w:tcW w:w="10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Warrants</w:t>
            </w:r>
          </w:p>
        </w:tc>
        <w:tc>
          <w:tcPr>
            <w:tcW w:w="62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10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457(g)</w:t>
            </w:r>
          </w:p>
        </w:tc>
        <w:tc>
          <w:tcPr>
            <w:tcW w:w="60" w:type="dxa"/>
            <w:vAlign w:val="bottom"/>
          </w:tcPr>
          <w:p>
            <w:pPr>
              <w:spacing w:after="0"/>
              <w:rPr>
                <w:sz w:val="12"/>
                <w:szCs w:val="12"/>
                <w:color w:val="auto"/>
              </w:rPr>
            </w:pPr>
          </w:p>
        </w:tc>
        <w:tc>
          <w:tcPr>
            <w:tcW w:w="1080" w:type="dxa"/>
            <w:vAlign w:val="bottom"/>
            <w:tcBorders>
              <w:right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208,000(4)</w:t>
            </w:r>
          </w:p>
        </w:tc>
        <w:tc>
          <w:tcPr>
            <w:tcW w:w="200" w:type="dxa"/>
            <w:vAlign w:val="bottom"/>
          </w:tcPr>
          <w:p>
            <w:pPr>
              <w:spacing w:after="0"/>
              <w:rPr>
                <w:sz w:val="12"/>
                <w:szCs w:val="12"/>
                <w:color w:val="auto"/>
              </w:rPr>
            </w:pPr>
          </w:p>
        </w:tc>
        <w:tc>
          <w:tcPr>
            <w:tcW w:w="7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tcPr>
          <w:p>
            <w:pPr>
              <w:spacing w:after="0"/>
              <w:rPr>
                <w:sz w:val="12"/>
                <w:szCs w:val="12"/>
                <w:color w:val="auto"/>
              </w:rPr>
            </w:pPr>
          </w:p>
        </w:tc>
        <w:tc>
          <w:tcPr>
            <w:tcW w:w="86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70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auto"/>
            </w:tcBorders>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40" w:type="dxa"/>
            <w:vAlign w:val="bottom"/>
            <w:tcBorders>
              <w:left w:val="single" w:sz="8" w:color="auto"/>
              <w:bottom w:val="single" w:sz="8" w:color="auto"/>
              <w:right w:val="single" w:sz="8" w:color="auto"/>
            </w:tcBorders>
          </w:tcPr>
          <w:p>
            <w:pPr>
              <w:spacing w:after="0"/>
              <w:rPr>
                <w:sz w:val="14"/>
                <w:szCs w:val="14"/>
                <w:color w:val="auto"/>
              </w:rPr>
            </w:pPr>
          </w:p>
        </w:tc>
        <w:tc>
          <w:tcPr>
            <w:tcW w:w="620" w:type="dxa"/>
            <w:vAlign w:val="bottom"/>
            <w:tcBorders>
              <w:bottom w:val="single" w:sz="8" w:color="auto"/>
              <w:right w:val="single" w:sz="8" w:color="auto"/>
            </w:tcBorders>
            <w:vMerge w:val="continue"/>
          </w:tcPr>
          <w:p>
            <w:pPr>
              <w:spacing w:after="0"/>
              <w:rPr>
                <w:sz w:val="14"/>
                <w:szCs w:val="14"/>
                <w:color w:val="auto"/>
              </w:rPr>
            </w:pPr>
          </w:p>
        </w:tc>
        <w:tc>
          <w:tcPr>
            <w:tcW w:w="6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Stock</w:t>
            </w: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right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right w:val="single" w:sz="8" w:color="auto"/>
            </w:tcBorders>
            <w:vMerge w:val="continue"/>
          </w:tcPr>
          <w:p>
            <w:pPr>
              <w:spacing w:after="0"/>
              <w:rPr>
                <w:sz w:val="14"/>
                <w:szCs w:val="14"/>
                <w:color w:val="auto"/>
              </w:rPr>
            </w:pPr>
          </w:p>
        </w:tc>
        <w:tc>
          <w:tcPr>
            <w:tcW w:w="920" w:type="dxa"/>
            <w:vAlign w:val="bottom"/>
            <w:tcBorders>
              <w:bottom w:val="single" w:sz="8" w:color="auto"/>
              <w:right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vMerge w:val="continue"/>
          </w:tcPr>
          <w:p>
            <w:pPr>
              <w:spacing w:after="0"/>
              <w:rPr>
                <w:sz w:val="14"/>
                <w:szCs w:val="14"/>
                <w:color w:val="auto"/>
              </w:rPr>
            </w:pPr>
          </w:p>
        </w:tc>
        <w:tc>
          <w:tcPr>
            <w:tcW w:w="740" w:type="dxa"/>
            <w:vAlign w:val="bottom"/>
            <w:tcBorders>
              <w:bottom w:val="single" w:sz="8" w:color="auto"/>
              <w:right w:val="single" w:sz="8" w:color="auto"/>
            </w:tcBorders>
            <w:vMerge w:val="continue"/>
          </w:tcPr>
          <w:p>
            <w:pPr>
              <w:spacing w:after="0"/>
              <w:rPr>
                <w:sz w:val="14"/>
                <w:szCs w:val="14"/>
                <w:color w:val="auto"/>
              </w:rPr>
            </w:pPr>
          </w:p>
        </w:tc>
        <w:tc>
          <w:tcPr>
            <w:tcW w:w="760" w:type="dxa"/>
            <w:vAlign w:val="bottom"/>
            <w:tcBorders>
              <w:bottom w:val="single" w:sz="8" w:color="auto"/>
              <w:right w:val="single" w:sz="8" w:color="auto"/>
            </w:tcBorders>
            <w:vMerge w:val="continue"/>
          </w:tcPr>
          <w:p>
            <w:pPr>
              <w:spacing w:after="0"/>
              <w:rPr>
                <w:sz w:val="14"/>
                <w:szCs w:val="14"/>
                <w:color w:val="auto"/>
              </w:rPr>
            </w:pPr>
          </w:p>
        </w:tc>
        <w:tc>
          <w:tcPr>
            <w:tcW w:w="740" w:type="dxa"/>
            <w:vAlign w:val="bottom"/>
            <w:tcBorders>
              <w:bottom w:val="single" w:sz="8" w:color="auto"/>
              <w:right w:val="single" w:sz="8" w:color="auto"/>
            </w:tcBorders>
            <w:vMerge w:val="continue"/>
          </w:tcPr>
          <w:p>
            <w:pPr>
              <w:spacing w:after="0"/>
              <w:rPr>
                <w:sz w:val="14"/>
                <w:szCs w:val="14"/>
                <w:color w:val="auto"/>
              </w:rPr>
            </w:pPr>
          </w:p>
        </w:tc>
        <w:tc>
          <w:tcPr>
            <w:tcW w:w="96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40" w:type="dxa"/>
            <w:vAlign w:val="bottom"/>
            <w:tcBorders>
              <w:left w:val="single" w:sz="8" w:color="auto"/>
              <w:right w:val="single" w:sz="8" w:color="auto"/>
            </w:tcBorders>
          </w:tcPr>
          <w:p>
            <w:pPr>
              <w:jc w:val="center"/>
              <w:ind w:left="70"/>
              <w:spacing w:after="0" w:line="118" w:lineRule="exact"/>
              <w:rPr>
                <w:sz w:val="20"/>
                <w:szCs w:val="20"/>
                <w:color w:val="auto"/>
              </w:rPr>
            </w:pPr>
            <w:r>
              <w:rPr>
                <w:rFonts w:ascii="Times New Roman" w:cs="Times New Roman" w:eastAsia="Times New Roman" w:hAnsi="Times New Roman"/>
                <w:sz w:val="13"/>
                <w:szCs w:val="13"/>
                <w:b w:val="1"/>
                <w:bCs w:val="1"/>
                <w:color w:val="auto"/>
              </w:rPr>
              <w:t>Fees</w:t>
            </w:r>
          </w:p>
        </w:tc>
        <w:tc>
          <w:tcPr>
            <w:tcW w:w="6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40" w:type="dxa"/>
            <w:vAlign w:val="bottom"/>
            <w:tcBorders>
              <w:left w:val="single" w:sz="8" w:color="auto"/>
              <w:right w:val="single" w:sz="8" w:color="auto"/>
            </w:tcBorders>
          </w:tcPr>
          <w:p>
            <w:pPr>
              <w:jc w:val="center"/>
              <w:ind w:left="70"/>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620" w:type="dxa"/>
            <w:vAlign w:val="bottom"/>
            <w:tcBorders>
              <w:right w:val="single" w:sz="8" w:color="auto"/>
            </w:tcBorders>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right w:val="single" w:sz="8" w:color="auto"/>
            </w:tcBorders>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80" w:type="dxa"/>
            <w:vAlign w:val="bottom"/>
            <w:tcBorders>
              <w:right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20" w:type="dxa"/>
            <w:vAlign w:val="bottom"/>
            <w:tcBorders>
              <w:right w:val="single" w:sz="8" w:color="auto"/>
            </w:tcBorders>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70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auto"/>
            </w:tcBorders>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840" w:type="dxa"/>
            <w:vAlign w:val="bottom"/>
            <w:tcBorders>
              <w:left w:val="single" w:sz="8" w:color="auto"/>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4"/>
                <w:szCs w:val="14"/>
                <w:b w:val="1"/>
                <w:bCs w:val="1"/>
                <w:color w:val="auto"/>
              </w:rPr>
              <w:t>Paid</w:t>
            </w:r>
          </w:p>
        </w:tc>
        <w:tc>
          <w:tcPr>
            <w:tcW w:w="620" w:type="dxa"/>
            <w:vAlign w:val="bottom"/>
            <w:tcBorders>
              <w:bottom w:val="single" w:sz="8" w:color="auto"/>
              <w:right w:val="single" w:sz="8" w:color="auto"/>
            </w:tcBorders>
            <w:vMerge w:val="continue"/>
          </w:tcPr>
          <w:p>
            <w:pPr>
              <w:spacing w:after="0"/>
              <w:rPr>
                <w:sz w:val="15"/>
                <w:szCs w:val="15"/>
                <w:color w:val="auto"/>
              </w:rPr>
            </w:pPr>
          </w:p>
        </w:tc>
        <w:tc>
          <w:tcPr>
            <w:tcW w:w="620" w:type="dxa"/>
            <w:vAlign w:val="bottom"/>
            <w:tcBorders>
              <w:bottom w:val="single" w:sz="8" w:color="auto"/>
              <w:right w:val="single" w:sz="8" w:color="auto"/>
            </w:tcBorders>
            <w:vMerge w:val="continue"/>
          </w:tcPr>
          <w:p>
            <w:pPr>
              <w:spacing w:after="0"/>
              <w:rPr>
                <w:sz w:val="15"/>
                <w:szCs w:val="15"/>
                <w:color w:val="auto"/>
              </w:rPr>
            </w:pPr>
          </w:p>
        </w:tc>
        <w:tc>
          <w:tcPr>
            <w:tcW w:w="1000" w:type="dxa"/>
            <w:vAlign w:val="bottom"/>
            <w:tcBorders>
              <w:bottom w:val="single" w:sz="8" w:color="auto"/>
              <w:right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80" w:type="dxa"/>
            <w:vAlign w:val="bottom"/>
            <w:tcBorders>
              <w:bottom w:val="single" w:sz="8" w:color="auto"/>
              <w:right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vMerge w:val="continue"/>
          </w:tcPr>
          <w:p>
            <w:pPr>
              <w:spacing w:after="0"/>
              <w:rPr>
                <w:sz w:val="15"/>
                <w:szCs w:val="15"/>
                <w:color w:val="auto"/>
              </w:rPr>
            </w:pPr>
          </w:p>
        </w:tc>
        <w:tc>
          <w:tcPr>
            <w:tcW w:w="920" w:type="dxa"/>
            <w:vAlign w:val="bottom"/>
            <w:tcBorders>
              <w:bottom w:val="single" w:sz="8" w:color="auto"/>
              <w:right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vMerge w:val="continue"/>
          </w:tcPr>
          <w:p>
            <w:pPr>
              <w:spacing w:after="0"/>
              <w:rPr>
                <w:sz w:val="15"/>
                <w:szCs w:val="15"/>
                <w:color w:val="auto"/>
              </w:rPr>
            </w:pPr>
          </w:p>
        </w:tc>
        <w:tc>
          <w:tcPr>
            <w:tcW w:w="740" w:type="dxa"/>
            <w:vAlign w:val="bottom"/>
            <w:tcBorders>
              <w:bottom w:val="single" w:sz="8" w:color="auto"/>
              <w:right w:val="single" w:sz="8" w:color="auto"/>
            </w:tcBorders>
            <w:vMerge w:val="continue"/>
          </w:tcPr>
          <w:p>
            <w:pPr>
              <w:spacing w:after="0"/>
              <w:rPr>
                <w:sz w:val="15"/>
                <w:szCs w:val="15"/>
                <w:color w:val="auto"/>
              </w:rPr>
            </w:pPr>
          </w:p>
        </w:tc>
        <w:tc>
          <w:tcPr>
            <w:tcW w:w="760" w:type="dxa"/>
            <w:vAlign w:val="bottom"/>
            <w:tcBorders>
              <w:bottom w:val="single" w:sz="8" w:color="auto"/>
              <w:right w:val="single" w:sz="8" w:color="auto"/>
            </w:tcBorders>
            <w:vMerge w:val="continue"/>
          </w:tcPr>
          <w:p>
            <w:pPr>
              <w:spacing w:after="0"/>
              <w:rPr>
                <w:sz w:val="15"/>
                <w:szCs w:val="15"/>
                <w:color w:val="auto"/>
              </w:rPr>
            </w:pPr>
          </w:p>
        </w:tc>
        <w:tc>
          <w:tcPr>
            <w:tcW w:w="740" w:type="dxa"/>
            <w:vAlign w:val="bottom"/>
            <w:tcBorders>
              <w:bottom w:val="single" w:sz="8" w:color="auto"/>
              <w:right w:val="single" w:sz="8" w:color="auto"/>
            </w:tcBorders>
            <w:vMerge w:val="continue"/>
          </w:tcPr>
          <w:p>
            <w:pPr>
              <w:spacing w:after="0"/>
              <w:rPr>
                <w:sz w:val="15"/>
                <w:szCs w:val="15"/>
                <w:color w:val="auto"/>
              </w:rPr>
            </w:pPr>
          </w:p>
        </w:tc>
        <w:tc>
          <w:tcPr>
            <w:tcW w:w="9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40" w:type="dxa"/>
            <w:vAlign w:val="bottom"/>
            <w:tcBorders>
              <w:lef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4"/>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Carry Forward Securities</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40" w:type="dxa"/>
            <w:vAlign w:val="bottom"/>
            <w:tcBorders>
              <w:left w:val="single" w:sz="8" w:color="auto"/>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840" w:type="dxa"/>
            <w:vAlign w:val="bottom"/>
            <w:tcBorders>
              <w:left w:val="single" w:sz="8" w:color="auto"/>
              <w:right w:val="single" w:sz="8" w:color="auto"/>
            </w:tcBorders>
          </w:tcPr>
          <w:p>
            <w:pPr>
              <w:jc w:val="center"/>
              <w:ind w:left="70"/>
              <w:spacing w:after="0" w:line="118" w:lineRule="exact"/>
              <w:rPr>
                <w:sz w:val="20"/>
                <w:szCs w:val="20"/>
                <w:color w:val="auto"/>
              </w:rPr>
            </w:pPr>
            <w:r>
              <w:rPr>
                <w:rFonts w:ascii="Times New Roman" w:cs="Times New Roman" w:eastAsia="Times New Roman" w:hAnsi="Times New Roman"/>
                <w:sz w:val="13"/>
                <w:szCs w:val="13"/>
                <w:b w:val="1"/>
                <w:bCs w:val="1"/>
                <w:color w:val="auto"/>
              </w:rPr>
              <w:t>Carry</w:t>
            </w:r>
          </w:p>
        </w:tc>
        <w:tc>
          <w:tcPr>
            <w:tcW w:w="6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40" w:type="dxa"/>
            <w:vAlign w:val="bottom"/>
            <w:tcBorders>
              <w:left w:val="single" w:sz="8" w:color="auto"/>
              <w:right w:val="single" w:sz="8" w:color="auto"/>
            </w:tcBorders>
          </w:tcPr>
          <w:p>
            <w:pPr>
              <w:jc w:val="center"/>
              <w:ind w:left="70"/>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620" w:type="dxa"/>
            <w:vAlign w:val="bottom"/>
            <w:tcBorders>
              <w:right w:val="single" w:sz="8" w:color="auto"/>
            </w:tcBorders>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right w:val="single" w:sz="8" w:color="auto"/>
            </w:tcBorders>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80" w:type="dxa"/>
            <w:vAlign w:val="bottom"/>
            <w:tcBorders>
              <w:right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20" w:type="dxa"/>
            <w:vAlign w:val="bottom"/>
            <w:tcBorders>
              <w:right w:val="single" w:sz="8" w:color="auto"/>
            </w:tcBorders>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70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auto"/>
            </w:tcBorders>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840" w:type="dxa"/>
            <w:vAlign w:val="bottom"/>
            <w:tcBorders>
              <w:left w:val="single" w:sz="8" w:color="auto"/>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620" w:type="dxa"/>
            <w:vAlign w:val="bottom"/>
            <w:tcBorders>
              <w:bottom w:val="single" w:sz="8" w:color="auto"/>
              <w:right w:val="single" w:sz="8" w:color="auto"/>
            </w:tcBorders>
            <w:vMerge w:val="continue"/>
          </w:tcPr>
          <w:p>
            <w:pPr>
              <w:spacing w:after="0"/>
              <w:rPr>
                <w:sz w:val="15"/>
                <w:szCs w:val="15"/>
                <w:color w:val="auto"/>
              </w:rPr>
            </w:pPr>
          </w:p>
        </w:tc>
        <w:tc>
          <w:tcPr>
            <w:tcW w:w="620" w:type="dxa"/>
            <w:vAlign w:val="bottom"/>
            <w:tcBorders>
              <w:bottom w:val="single" w:sz="8" w:color="auto"/>
              <w:right w:val="single" w:sz="8" w:color="auto"/>
            </w:tcBorders>
            <w:vMerge w:val="continue"/>
          </w:tcPr>
          <w:p>
            <w:pPr>
              <w:spacing w:after="0"/>
              <w:rPr>
                <w:sz w:val="15"/>
                <w:szCs w:val="15"/>
                <w:color w:val="auto"/>
              </w:rPr>
            </w:pPr>
          </w:p>
        </w:tc>
        <w:tc>
          <w:tcPr>
            <w:tcW w:w="1000" w:type="dxa"/>
            <w:vAlign w:val="bottom"/>
            <w:tcBorders>
              <w:bottom w:val="single" w:sz="8" w:color="auto"/>
              <w:right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80" w:type="dxa"/>
            <w:vAlign w:val="bottom"/>
            <w:tcBorders>
              <w:bottom w:val="single" w:sz="8" w:color="auto"/>
              <w:right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vMerge w:val="continue"/>
          </w:tcPr>
          <w:p>
            <w:pPr>
              <w:spacing w:after="0"/>
              <w:rPr>
                <w:sz w:val="15"/>
                <w:szCs w:val="15"/>
                <w:color w:val="auto"/>
              </w:rPr>
            </w:pPr>
          </w:p>
        </w:tc>
        <w:tc>
          <w:tcPr>
            <w:tcW w:w="920" w:type="dxa"/>
            <w:vAlign w:val="bottom"/>
            <w:tcBorders>
              <w:bottom w:val="single" w:sz="8" w:color="auto"/>
              <w:right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vMerge w:val="continue"/>
          </w:tcPr>
          <w:p>
            <w:pPr>
              <w:spacing w:after="0"/>
              <w:rPr>
                <w:sz w:val="15"/>
                <w:szCs w:val="15"/>
                <w:color w:val="auto"/>
              </w:rPr>
            </w:pPr>
          </w:p>
        </w:tc>
        <w:tc>
          <w:tcPr>
            <w:tcW w:w="740" w:type="dxa"/>
            <w:vAlign w:val="bottom"/>
            <w:tcBorders>
              <w:bottom w:val="single" w:sz="8" w:color="auto"/>
              <w:right w:val="single" w:sz="8" w:color="auto"/>
            </w:tcBorders>
            <w:vMerge w:val="continue"/>
          </w:tcPr>
          <w:p>
            <w:pPr>
              <w:spacing w:after="0"/>
              <w:rPr>
                <w:sz w:val="15"/>
                <w:szCs w:val="15"/>
                <w:color w:val="auto"/>
              </w:rPr>
            </w:pPr>
          </w:p>
        </w:tc>
        <w:tc>
          <w:tcPr>
            <w:tcW w:w="760" w:type="dxa"/>
            <w:vAlign w:val="bottom"/>
            <w:tcBorders>
              <w:bottom w:val="single" w:sz="8" w:color="auto"/>
              <w:right w:val="single" w:sz="8" w:color="auto"/>
            </w:tcBorders>
            <w:vMerge w:val="continue"/>
          </w:tcPr>
          <w:p>
            <w:pPr>
              <w:spacing w:after="0"/>
              <w:rPr>
                <w:sz w:val="15"/>
                <w:szCs w:val="15"/>
                <w:color w:val="auto"/>
              </w:rPr>
            </w:pPr>
          </w:p>
        </w:tc>
        <w:tc>
          <w:tcPr>
            <w:tcW w:w="740" w:type="dxa"/>
            <w:vAlign w:val="bottom"/>
            <w:tcBorders>
              <w:bottom w:val="single" w:sz="8" w:color="auto"/>
              <w:right w:val="single" w:sz="8" w:color="auto"/>
            </w:tcBorders>
            <w:vMerge w:val="continue"/>
          </w:tcPr>
          <w:p>
            <w:pPr>
              <w:spacing w:after="0"/>
              <w:rPr>
                <w:sz w:val="15"/>
                <w:szCs w:val="15"/>
                <w:color w:val="auto"/>
              </w:rPr>
            </w:pPr>
          </w:p>
        </w:tc>
        <w:tc>
          <w:tcPr>
            <w:tcW w:w="9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Total Offering Amounts</w:t>
            </w:r>
          </w:p>
        </w:tc>
        <w:tc>
          <w:tcPr>
            <w:tcW w:w="108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672,951,489</w:t>
            </w:r>
          </w:p>
        </w:tc>
        <w:tc>
          <w:tcPr>
            <w:tcW w:w="92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62,383</w:t>
            </w:r>
          </w:p>
        </w:tc>
        <w:tc>
          <w:tcPr>
            <w:tcW w:w="7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gridSpan w:val="4"/>
          </w:tcPr>
          <w:p>
            <w:pPr>
              <w:jc w:val="center"/>
              <w:ind w:right="868"/>
              <w:spacing w:after="0"/>
              <w:rPr>
                <w:sz w:val="20"/>
                <w:szCs w:val="20"/>
                <w:color w:val="auto"/>
              </w:rPr>
            </w:pPr>
            <w:r>
              <w:rPr>
                <w:rFonts w:ascii="Times New Roman" w:cs="Times New Roman" w:eastAsia="Times New Roman" w:hAnsi="Times New Roman"/>
                <w:sz w:val="14"/>
                <w:szCs w:val="14"/>
                <w:b w:val="1"/>
                <w:bCs w:val="1"/>
                <w:color w:val="auto"/>
              </w:rPr>
              <w:t>Total Fees Previously Paid</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Total Fees Offsets</w:t>
            </w:r>
          </w:p>
        </w:tc>
        <w:tc>
          <w:tcPr>
            <w:tcW w:w="108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Net Fee Due</w:t>
            </w:r>
          </w:p>
        </w:tc>
        <w:tc>
          <w:tcPr>
            <w:tcW w:w="108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62,383</w:t>
            </w:r>
          </w:p>
        </w:tc>
        <w:tc>
          <w:tcPr>
            <w:tcW w:w="7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61" w:lineRule="auto"/>
        <w:tabs>
          <w:tab w:leader="none" w:pos="3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there are also being registered an indeterminable number of additional shares of Class A Common Stock as may be issued to prevent dilution resulting from stock splits, stock dividends or similar transactions.</w:t>
      </w:r>
    </w:p>
    <w:p>
      <w:pPr>
        <w:jc w:val="both"/>
        <w:ind w:left="340" w:hanging="332"/>
        <w:spacing w:after="0" w:line="250" w:lineRule="auto"/>
        <w:tabs>
          <w:tab w:leader="none" w:pos="3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56,834,904 shares of Class A common stock, par value $0.0001 per share (the “Class A Shares” or “Class A Common Stock”), of SoundHound AI, Inc. (“SoundHound AI,” “the Company,” “we,” “us” or “our”) held by selling securityholders named in the Registration Statement (each a “Selling Securityholder” and, collectively, the “Selling Securityholders”), including the PIPE Shares (as defined in the Registration Statement) and securities held by our officers, directors, EarlyBirdCapital and their and our affiliates, (ii) the resale by certain of our affiliates from time to time of up to 40,396,600 Class A Shares issuable upon conversion of shares of Class B common stock, par value $0.0001 per share (the “Class B Shares” or “Class B Common Stock”), (iii) the resale from time to time of up to 208,000 warrants, each exercisable for one share of Class A Common Stock at a price of $11.50, subject to adjustment (the “Placement Warrants”) and (iv) the issuance by us of up to 6,858,000 Class A Shares upon the exercise of outstanding warrants issued by us as part of (a) the securities sold in the IPO (such warrants, the “Public Warrants”) as well as (b) upon exercise of the Placement Warrants (the Public Warrants collectively with the Placement Warrants, the “Warrants”).</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shares of Class A Common Stock described in clause (a) of footnote 2 above, estimated solely for the purpose of calculating the registration fee pursuant to Rule 457(c) of the Securities Act based on the average of the high and low prices of the Class A Shares as reported on The Nasdaq Stock Market LLC on May 12, 2022 of $6.11 (which was within 5 business days of the date that the S-1 was first filed). With respect to shares of Class A Common Stock described in clause (b) of footnote 2 above, estimated solely for the purpose of the calculation of the registration fee pursuant to Rule 457(g), based on the exercise price of the Warrants of $11.50 per share.</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resale of 208,000 Placement Warrants.</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457(i), the entire registration fee for the Placement Warrants is allocated to the shares of Class A Common Stock underlying the Placement Warrants, and no separate fee is payable for the Placement Warrants</w:t>
      </w:r>
    </w:p>
    <w:sectPr>
      <w:pgSz w:w="11900" w:h="16838" w:orient="portrait"/>
      <w:cols w:equalWidth="0" w:num="1">
        <w:col w:w="11240"/>
      </w:cols>
      <w:pgMar w:left="320" w:top="117" w:right="339" w:bottom="93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
      <w:numFmt w:val="bullet"/>
      <w:start w:val="1"/>
    </w:lvl>
  </w:abstractNum>
  <w:abstractNum w:abstractNumId="4">
    <w:nsid w:val="661E3F1E"/>
    <w:multiLevelType w:val="hybridMultilevel"/>
    <w:lvl w:ilvl="0">
      <w:lvlJc w:val="left"/>
      <w:lvlText w:val="•"/>
      <w:numFmt w:val="bullet"/>
      <w:start w:val="1"/>
    </w:lvl>
  </w:abstractNum>
  <w:abstractNum w:abstractNumId="5">
    <w:nsid w:val="5DC79EA8"/>
    <w:multiLevelType w:val="hybridMultilevel"/>
    <w:lvl w:ilvl="0">
      <w:lvlJc w:val="left"/>
      <w:lvlText w:val="(%1)"/>
      <w:numFmt w:val="lowerRoman"/>
      <w:start w:val="1"/>
    </w:lvl>
  </w:abstractNum>
  <w:abstractNum w:abstractNumId="6">
    <w:nsid w:val="540A471C"/>
    <w:multiLevelType w:val="hybridMultilevel"/>
    <w:lvl w:ilvl="0">
      <w:lvlJc w:val="left"/>
      <w:lvlText w:val="•"/>
      <w:numFmt w:val="bullet"/>
      <w:start w:val="1"/>
    </w:lvl>
  </w:abstractNum>
  <w:abstractNum w:abstractNumId="7">
    <w:nsid w:val="7BD3EE7B"/>
    <w:multiLevelType w:val="hybridMultilevel"/>
    <w:lvl w:ilvl="0">
      <w:lvlJc w:val="left"/>
      <w:lvlText w:val="•"/>
      <w:numFmt w:val="bullet"/>
      <w:start w:val="1"/>
    </w:lvl>
  </w:abstractNum>
  <w:abstractNum w:abstractNumId="8">
    <w:nsid w:val="51D9C564"/>
    <w:multiLevelType w:val="hybridMultilevel"/>
    <w:lvl w:ilvl="0">
      <w:lvlJc w:val="left"/>
      <w:lvlText w:val="•"/>
      <w:numFmt w:val="bullet"/>
      <w:start w:val="1"/>
    </w:lvl>
  </w:abstractNum>
  <w:abstractNum w:abstractNumId="9">
    <w:nsid w:val="613EFDC5"/>
    <w:multiLevelType w:val="hybridMultilevel"/>
    <w:lvl w:ilvl="0">
      <w:lvlJc w:val="left"/>
      <w:lvlText w:val="•"/>
      <w:numFmt w:val="bullet"/>
      <w:start w:val="1"/>
    </w:lvl>
  </w:abstractNum>
  <w:abstractNum w:abstractNumId="10">
    <w:nsid w:val="BF72B14"/>
    <w:multiLevelType w:val="hybridMultilevel"/>
    <w:lvl w:ilvl="0">
      <w:lvlJc w:val="left"/>
      <w:lvlText w:val="•"/>
      <w:numFmt w:val="bullet"/>
      <w:start w:val="1"/>
    </w:lvl>
  </w:abstractNum>
  <w:abstractNum w:abstractNumId="11">
    <w:nsid w:val="11447B73"/>
    <w:multiLevelType w:val="hybridMultilevel"/>
    <w:lvl w:ilvl="0">
      <w:lvlJc w:val="left"/>
      <w:lvlText w:val="•"/>
      <w:numFmt w:val="bullet"/>
      <w:start w:val="1"/>
    </w:lvl>
  </w:abstractNum>
  <w:abstractNum w:abstractNumId="12">
    <w:nsid w:val="42963E5A"/>
    <w:multiLevelType w:val="hybridMultilevel"/>
    <w:lvl w:ilvl="0">
      <w:lvlJc w:val="left"/>
      <w:lvlText w:val="•"/>
      <w:numFmt w:val="bullet"/>
      <w:start w:val="1"/>
    </w:lvl>
  </w:abstractNum>
  <w:abstractNum w:abstractNumId="13">
    <w:nsid w:val="A0382C5"/>
    <w:multiLevelType w:val="hybridMultilevel"/>
    <w:lvl w:ilvl="0">
      <w:lvlJc w:val="left"/>
      <w:lvlText w:val="•"/>
      <w:numFmt w:val="bullet"/>
      <w:start w:val="1"/>
    </w:lvl>
  </w:abstractNum>
  <w:abstractNum w:abstractNumId="14">
    <w:nsid w:val="8F2B15E"/>
    <w:multiLevelType w:val="hybridMultilevel"/>
    <w:lvl w:ilvl="0">
      <w:lvlJc w:val="left"/>
      <w:lvlText w:val="•"/>
      <w:numFmt w:val="bullet"/>
      <w:start w:val="1"/>
    </w:lvl>
  </w:abstractNum>
  <w:abstractNum w:abstractNumId="15">
    <w:nsid w:val="1A32234B"/>
    <w:multiLevelType w:val="hybridMultilevel"/>
    <w:lvl w:ilvl="0">
      <w:lvlJc w:val="left"/>
      <w:lvlText w:val="•"/>
      <w:numFmt w:val="bullet"/>
      <w:start w:val="1"/>
    </w:lvl>
  </w:abstractNum>
  <w:abstractNum w:abstractNumId="16">
    <w:nsid w:val="3B0FD379"/>
    <w:multiLevelType w:val="hybridMultilevel"/>
    <w:lvl w:ilvl="0">
      <w:lvlJc w:val="left"/>
      <w:lvlText w:val="•"/>
      <w:numFmt w:val="bullet"/>
      <w:start w:val="1"/>
    </w:lvl>
  </w:abstractNum>
  <w:abstractNum w:abstractNumId="17">
    <w:nsid w:val="68EB2F63"/>
    <w:multiLevelType w:val="hybridMultilevel"/>
    <w:lvl w:ilvl="0">
      <w:lvlJc w:val="left"/>
      <w:lvlText w:val="•"/>
      <w:numFmt w:val="bullet"/>
      <w:start w:val="1"/>
    </w:lvl>
  </w:abstractNum>
  <w:abstractNum w:abstractNumId="18">
    <w:nsid w:val="4962813B"/>
    <w:multiLevelType w:val="hybridMultilevel"/>
    <w:lvl w:ilvl="0">
      <w:lvlJc w:val="left"/>
      <w:lvlText w:val="•"/>
      <w:numFmt w:val="bullet"/>
      <w:start w:val="1"/>
    </w:lvl>
  </w:abstractNum>
  <w:abstractNum w:abstractNumId="19">
    <w:nsid w:val="60B6DF70"/>
    <w:multiLevelType w:val="hybridMultilevel"/>
    <w:lvl w:ilvl="0">
      <w:lvlJc w:val="left"/>
      <w:lvlText w:val="•"/>
      <w:numFmt w:val="bullet"/>
      <w:start w:val="1"/>
    </w:lvl>
  </w:abstractNum>
  <w:abstractNum w:abstractNumId="20">
    <w:nsid w:val="6A5EE64"/>
    <w:multiLevelType w:val="hybridMultilevel"/>
    <w:lvl w:ilvl="0">
      <w:lvlJc w:val="left"/>
      <w:lvlText w:val="•"/>
      <w:numFmt w:val="bullet"/>
      <w:start w:val="1"/>
    </w:lvl>
  </w:abstractNum>
  <w:abstractNum w:abstractNumId="21">
    <w:nsid w:val="14330624"/>
    <w:multiLevelType w:val="hybridMultilevel"/>
    <w:lvl w:ilvl="0">
      <w:lvlJc w:val="left"/>
      <w:lvlText w:val="•"/>
      <w:numFmt w:val="bullet"/>
      <w:start w:val="1"/>
    </w:lvl>
  </w:abstractNum>
  <w:abstractNum w:abstractNumId="22">
    <w:nsid w:val="7FFFCA11"/>
    <w:multiLevelType w:val="hybridMultilevel"/>
    <w:lvl w:ilvl="0">
      <w:lvlJc w:val="left"/>
      <w:lvlText w:val="•"/>
      <w:numFmt w:val="bullet"/>
      <w:start w:val="1"/>
    </w:lvl>
  </w:abstractNum>
  <w:abstractNum w:abstractNumId="23">
    <w:nsid w:val="1A27709E"/>
    <w:multiLevelType w:val="hybridMultilevel"/>
    <w:lvl w:ilvl="0">
      <w:lvlJc w:val="left"/>
      <w:lvlText w:val="•"/>
      <w:numFmt w:val="bullet"/>
      <w:start w:val="1"/>
    </w:lvl>
  </w:abstractNum>
  <w:abstractNum w:abstractNumId="24">
    <w:nsid w:val="71EA1109"/>
    <w:multiLevelType w:val="hybridMultilevel"/>
    <w:lvl w:ilvl="0">
      <w:lvlJc w:val="left"/>
      <w:lvlText w:val="•"/>
      <w:numFmt w:val="bullet"/>
      <w:start w:val="1"/>
    </w:lvl>
  </w:abstractNum>
  <w:abstractNum w:abstractNumId="25">
    <w:nsid w:val="100F59DC"/>
    <w:multiLevelType w:val="hybridMultilevel"/>
    <w:lvl w:ilvl="0">
      <w:lvlJc w:val="left"/>
      <w:lvlText w:val="•"/>
      <w:numFmt w:val="bullet"/>
      <w:start w:val="1"/>
    </w:lvl>
  </w:abstractNum>
  <w:abstractNum w:abstractNumId="26">
    <w:nsid w:val="7FB7E0AA"/>
    <w:multiLevelType w:val="hybridMultilevel"/>
    <w:lvl w:ilvl="0">
      <w:lvlJc w:val="left"/>
      <w:lvlText w:val="(%1)"/>
      <w:numFmt w:val="lowerRoman"/>
      <w:start w:val="2"/>
    </w:lvl>
  </w:abstractNum>
  <w:abstractNum w:abstractNumId="27">
    <w:nsid w:val="6EB5BD4"/>
    <w:multiLevelType w:val="hybridMultilevel"/>
    <w:lvl w:ilvl="0">
      <w:lvlJc w:val="left"/>
      <w:lvlText w:val="•"/>
      <w:numFmt w:val="bullet"/>
      <w:start w:val="1"/>
    </w:lvl>
  </w:abstractNum>
  <w:abstractNum w:abstractNumId="28">
    <w:nsid w:val="6F6DD9AC"/>
    <w:multiLevelType w:val="hybridMultilevel"/>
    <w:lvl w:ilvl="0">
      <w:lvlJc w:val="left"/>
      <w:lvlText w:val="•"/>
      <w:numFmt w:val="bullet"/>
      <w:start w:val="1"/>
    </w:lvl>
  </w:abstractNum>
  <w:abstractNum w:abstractNumId="29">
    <w:nsid w:val="94211F2"/>
    <w:multiLevelType w:val="hybridMultilevel"/>
    <w:lvl w:ilvl="0">
      <w:lvlJc w:val="left"/>
      <w:lvlText w:val="•"/>
      <w:numFmt w:val="bullet"/>
      <w:start w:val="1"/>
    </w:lvl>
  </w:abstractNum>
  <w:abstractNum w:abstractNumId="30">
    <w:nsid w:val="885E1B"/>
    <w:multiLevelType w:val="hybridMultilevel"/>
    <w:lvl w:ilvl="0">
      <w:lvlJc w:val="left"/>
      <w:lvlText w:val="(%1)"/>
      <w:numFmt w:val="decimal"/>
      <w:start w:val="3"/>
    </w:lvl>
  </w:abstractNum>
  <w:abstractNum w:abstractNumId="31">
    <w:nsid w:val="76272110"/>
    <w:multiLevelType w:val="hybridMultilevel"/>
    <w:lvl w:ilvl="0">
      <w:lvlJc w:val="left"/>
      <w:lvlText w:val="•"/>
      <w:numFmt w:val="bullet"/>
      <w:start w:val="1"/>
    </w:lvl>
  </w:abstractNum>
  <w:abstractNum w:abstractNumId="32">
    <w:nsid w:val="4C04A8AF"/>
    <w:multiLevelType w:val="hybridMultilevel"/>
    <w:lvl w:ilvl="0">
      <w:lvlJc w:val="left"/>
      <w:lvlText w:val="•"/>
      <w:numFmt w:val="bullet"/>
      <w:start w:val="1"/>
    </w:lvl>
  </w:abstractNum>
  <w:abstractNum w:abstractNumId="33">
    <w:nsid w:val="1716703B"/>
    <w:multiLevelType w:val="hybridMultilevel"/>
    <w:lvl w:ilvl="0">
      <w:lvlJc w:val="left"/>
      <w:lvlText w:val="•"/>
      <w:numFmt w:val="bullet"/>
      <w:start w:val="1"/>
    </w:lvl>
  </w:abstractNum>
  <w:abstractNum w:abstractNumId="34">
    <w:nsid w:val="14E17E33"/>
    <w:multiLevelType w:val="hybridMultilevel"/>
    <w:lvl w:ilvl="0">
      <w:lvlJc w:val="left"/>
      <w:lvlText w:val="(%1)"/>
      <w:numFmt w:val="decimal"/>
      <w:start w:val="2"/>
    </w:lvl>
  </w:abstractNum>
  <w:abstractNum w:abstractNumId="35">
    <w:nsid w:val="3222E7CD"/>
    <w:multiLevelType w:val="hybridMultilevel"/>
    <w:lvl w:ilvl="0">
      <w:lvlJc w:val="left"/>
      <w:lvlText w:val="(%1)"/>
      <w:numFmt w:val="lowerLetter"/>
      <w:start w:val="1"/>
    </w:lvl>
  </w:abstractNum>
  <w:abstractNum w:abstractNumId="36">
    <w:nsid w:val="74DE0EE3"/>
    <w:multiLevelType w:val="hybridMultilevel"/>
    <w:lvl w:ilvl="0">
      <w:lvlJc w:val="left"/>
      <w:lvlText w:val="%1)"/>
      <w:numFmt w:val="decimal"/>
      <w:start w:val="1"/>
    </w:lvl>
  </w:abstractNum>
  <w:abstractNum w:abstractNumId="37">
    <w:nsid w:val="68EBC550"/>
    <w:multiLevelType w:val="hybridMultilevel"/>
    <w:lvl w:ilvl="0">
      <w:lvlJc w:val="left"/>
      <w:lvlText w:val="•"/>
      <w:numFmt w:val="bullet"/>
      <w:start w:val="1"/>
    </w:lvl>
  </w:abstractNum>
  <w:abstractNum w:abstractNumId="38">
    <w:nsid w:val="2DF6D648"/>
    <w:multiLevelType w:val="hybridMultilevel"/>
    <w:lvl w:ilvl="0">
      <w:lvlJc w:val="left"/>
      <w:lvlText w:val="(%1)"/>
      <w:numFmt w:val="decimal"/>
      <w:start w:val="1"/>
    </w:lvl>
  </w:abstractNum>
  <w:abstractNum w:abstractNumId="39">
    <w:nsid w:val="46B7D447"/>
    <w:multiLevelType w:val="hybridMultilevel"/>
    <w:lvl w:ilvl="0">
      <w:lvlJc w:val="left"/>
      <w:lvlText w:val="(%1)"/>
      <w:numFmt w:val="lowerLetter"/>
      <w:start w:val="2"/>
    </w:lvl>
  </w:abstractNum>
  <w:abstractNum w:abstractNumId="40">
    <w:nsid w:val="4A2AC315"/>
    <w:multiLevelType w:val="hybridMultilevel"/>
    <w:lvl w:ilvl="0">
      <w:lvlJc w:val="left"/>
      <w:lvlText w:val="(%1)"/>
      <w:numFmt w:val="lowerRoman"/>
      <w:start w:val="3"/>
    </w:lvl>
  </w:abstractNum>
  <w:abstractNum w:abstractNumId="41">
    <w:nsid w:val="39EE015C"/>
    <w:multiLevelType w:val="hybridMultilevel"/>
    <w:lvl w:ilvl="0">
      <w:lvlJc w:val="left"/>
      <w:lvlText w:val="(%1)"/>
      <w:numFmt w:val="decimal"/>
      <w:start w:val="1"/>
    </w:lvl>
  </w:abstractNum>
  <w:abstractNum w:abstractNumId="42">
    <w:nsid w:val="57FC4FBB"/>
    <w:multiLevelType w:val="hybridMultilevel"/>
    <w:lvl w:ilvl="0">
      <w:lvlJc w:val="left"/>
      <w:lvlText w:val="%1)"/>
      <w:numFmt w:val="lowerLetter"/>
      <w:start w:val="1"/>
    </w:lvl>
  </w:abstractNum>
  <w:abstractNum w:abstractNumId="43">
    <w:nsid w:val="CC1016F"/>
    <w:multiLevelType w:val="hybridMultilevel"/>
    <w:lvl w:ilvl="0">
      <w:lvlJc w:val="left"/>
      <w:lvlText w:val="%1)"/>
      <w:numFmt w:val="lowerLetter"/>
      <w:start w:val="2"/>
    </w:lvl>
  </w:abstractNum>
  <w:abstractNum w:abstractNumId="44">
    <w:nsid w:val="43F18422"/>
    <w:multiLevelType w:val="hybridMultilevel"/>
    <w:lvl w:ilvl="0">
      <w:lvlJc w:val="left"/>
      <w:lvlText w:val="%1)"/>
      <w:numFmt w:val="lowerLetter"/>
      <w:start w:val="3"/>
    </w:lvl>
  </w:abstractNum>
  <w:abstractNum w:abstractNumId="45">
    <w:nsid w:val="60EF0119"/>
    <w:multiLevelType w:val="hybridMultilevel"/>
    <w:lvl w:ilvl="0">
      <w:lvlJc w:val="left"/>
      <w:lvlText w:val="%1)"/>
      <w:numFmt w:val="lowerLetter"/>
      <w:start w:val="4"/>
    </w:lvl>
  </w:abstractNum>
  <w:abstractNum w:abstractNumId="46">
    <w:nsid w:val="26F324BA"/>
    <w:multiLevelType w:val="hybridMultilevel"/>
    <w:lvl w:ilvl="0">
      <w:lvlJc w:val="left"/>
      <w:lvlText w:val="(%1)"/>
      <w:numFmt w:val="lowerLetter"/>
      <w:start w:val="2"/>
    </w:lvl>
  </w:abstractNum>
  <w:abstractNum w:abstractNumId="47">
    <w:nsid w:val="7F01579B"/>
    <w:multiLevelType w:val="hybridMultilevel"/>
    <w:lvl w:ilvl="0">
      <w:lvlJc w:val="left"/>
      <w:lvlText w:val="(%1)"/>
      <w:numFmt w:val="lowerLetter"/>
      <w:start w:val="1"/>
    </w:lvl>
  </w:abstractNum>
  <w:abstractNum w:abstractNumId="48">
    <w:nsid w:val="49DA307D"/>
    <w:multiLevelType w:val="hybridMultilevel"/>
    <w:lvl w:ilvl="0">
      <w:lvlJc w:val="left"/>
      <w:lvlText w:val="(%1)"/>
      <w:numFmt w:val="lowerLetter"/>
      <w:start w:val="2"/>
    </w:lvl>
  </w:abstractNum>
  <w:abstractNum w:abstractNumId="49">
    <w:nsid w:val="7055A5F5"/>
    <w:multiLevelType w:val="hybridMultilevel"/>
    <w:lvl w:ilvl="0">
      <w:lvlJc w:val="left"/>
      <w:lvlText w:val="(%1)"/>
      <w:numFmt w:val="lowerLetter"/>
      <w:start w:val="3"/>
    </w:lvl>
  </w:abstractNum>
  <w:abstractNum w:abstractNumId="50">
    <w:nsid w:val="5FB8370B"/>
    <w:multiLevelType w:val="hybridMultilevel"/>
    <w:lvl w:ilvl="0">
      <w:lvlJc w:val="left"/>
      <w:lvlText w:val="(%1)"/>
      <w:numFmt w:val="lowerLetter"/>
      <w:start w:val="4"/>
    </w:lvl>
  </w:abstractNum>
  <w:abstractNum w:abstractNumId="51">
    <w:nsid w:val="50801EE1"/>
    <w:multiLevelType w:val="hybridMultilevel"/>
    <w:lvl w:ilvl="0">
      <w:lvlJc w:val="left"/>
      <w:lvlText w:val="(%1)"/>
      <w:numFmt w:val="lowerLetter"/>
      <w:start w:val="2"/>
    </w:lvl>
  </w:abstractNum>
  <w:abstractNum w:abstractNumId="52">
    <w:nsid w:val="488AC1A"/>
    <w:multiLevelType w:val="hybridMultilevel"/>
    <w:lvl w:ilvl="0">
      <w:lvlJc w:val="left"/>
      <w:lvlText w:val="(%1)"/>
      <w:numFmt w:val="lowerLetter"/>
      <w:start w:val="6"/>
    </w:lvl>
  </w:abstractNum>
  <w:abstractNum w:abstractNumId="53">
    <w:nsid w:val="5FB8011C"/>
    <w:multiLevelType w:val="hybridMultilevel"/>
    <w:lvl w:ilvl="0">
      <w:lvlJc w:val="left"/>
      <w:lvlText w:val="(%1)"/>
      <w:numFmt w:val="lowerLetter"/>
      <w:start w:val="7"/>
    </w:lvl>
  </w:abstractNum>
  <w:abstractNum w:abstractNumId="54">
    <w:nsid w:val="6AA78F7F"/>
    <w:multiLevelType w:val="hybridMultilevel"/>
    <w:lvl w:ilvl="0">
      <w:lvlJc w:val="left"/>
      <w:lvlText w:val="(%1)"/>
      <w:numFmt w:val="lowerLetter"/>
      <w:start w:val="8"/>
    </w:lvl>
  </w:abstractNum>
  <w:abstractNum w:abstractNumId="55">
    <w:nsid w:val="7672BD23"/>
    <w:multiLevelType w:val="hybridMultilevel"/>
    <w:lvl w:ilvl="0">
      <w:lvlJc w:val="left"/>
      <w:lvlText w:val="•"/>
      <w:numFmt w:val="bullet"/>
      <w:start w:val="1"/>
    </w:lvl>
  </w:abstractNum>
  <w:abstractNum w:abstractNumId="56">
    <w:nsid w:val="6FC75AF8"/>
    <w:multiLevelType w:val="hybridMultilevel"/>
    <w:lvl w:ilvl="0">
      <w:lvlJc w:val="left"/>
      <w:lvlText w:val="•"/>
      <w:numFmt w:val="bullet"/>
      <w:start w:val="1"/>
    </w:lvl>
  </w:abstractNum>
  <w:abstractNum w:abstractNumId="57">
    <w:nsid w:val="6A5F7029"/>
    <w:multiLevelType w:val="hybridMultilevel"/>
    <w:lvl w:ilvl="0">
      <w:lvlJc w:val="left"/>
      <w:lvlText w:val="•"/>
      <w:numFmt w:val="bullet"/>
      <w:start w:val="1"/>
    </w:lvl>
  </w:abstractNum>
  <w:abstractNum w:abstractNumId="58">
    <w:nsid w:val="7D5E18F8"/>
    <w:multiLevelType w:val="hybridMultilevel"/>
    <w:lvl w:ilvl="0">
      <w:lvlJc w:val="left"/>
      <w:lvlText w:val="•"/>
      <w:numFmt w:val="bullet"/>
      <w:start w:val="1"/>
    </w:lvl>
  </w:abstractNum>
  <w:abstractNum w:abstractNumId="59">
    <w:nsid w:val="5F3534A4"/>
    <w:multiLevelType w:val="hybridMultilevel"/>
    <w:lvl w:ilvl="0">
      <w:lvlJc w:val="left"/>
      <w:lvlText w:val="•"/>
      <w:numFmt w:val="bullet"/>
      <w:start w:val="1"/>
    </w:lvl>
  </w:abstractNum>
  <w:abstractNum w:abstractNumId="60">
    <w:nsid w:val="73A1821B"/>
    <w:multiLevelType w:val="hybridMultilevel"/>
    <w:lvl w:ilvl="0">
      <w:lvlJc w:val="left"/>
      <w:lvlText w:val="•"/>
      <w:numFmt w:val="bullet"/>
      <w:start w:val="1"/>
    </w:lvl>
  </w:abstractNum>
  <w:abstractNum w:abstractNumId="61">
    <w:nsid w:val="7DE67713"/>
    <w:multiLevelType w:val="hybridMultilevel"/>
    <w:lvl w:ilvl="0">
      <w:lvlJc w:val="left"/>
      <w:lvlText w:val="•"/>
      <w:numFmt w:val="bullet"/>
      <w:start w:val="1"/>
    </w:lvl>
  </w:abstractNum>
  <w:abstractNum w:abstractNumId="62">
    <w:nsid w:val="555C55B5"/>
    <w:multiLevelType w:val="hybridMultilevel"/>
    <w:lvl w:ilvl="0">
      <w:lvlJc w:val="left"/>
      <w:lvlText w:val="*"/>
      <w:numFmt w:val="bullet"/>
      <w:start w:val="1"/>
    </w:lvl>
  </w:abstractNum>
  <w:abstractNum w:abstractNumId="63">
    <w:nsid w:val="3FA62ACA"/>
    <w:multiLevelType w:val="hybridMultilevel"/>
    <w:lvl w:ilvl="0">
      <w:lvlJc w:val="left"/>
      <w:lvlText w:val="(%1)"/>
      <w:numFmt w:val="decimal"/>
      <w:start w:val="1"/>
    </w:lvl>
  </w:abstractNum>
  <w:abstractNum w:abstractNumId="64">
    <w:nsid w:val="14FCE74E"/>
    <w:multiLevelType w:val="hybridMultilevel"/>
    <w:lvl w:ilvl="0">
      <w:lvlJc w:val="left"/>
      <w:lvlText w:val="*"/>
      <w:numFmt w:val="bullet"/>
      <w:start w:val="1"/>
    </w:lvl>
  </w:abstractNum>
  <w:abstractNum w:abstractNumId="65">
    <w:nsid w:val="6A3DD3E8"/>
    <w:multiLevelType w:val="hybridMultilevel"/>
    <w:lvl w:ilvl="0">
      <w:lvlJc w:val="left"/>
      <w:lvlText w:val="(%1)"/>
      <w:numFmt w:val="decimal"/>
      <w:start w:val="1"/>
    </w:lvl>
  </w:abstractNum>
  <w:abstractNum w:abstractNumId="66">
    <w:nsid w:val="71C91298"/>
    <w:multiLevelType w:val="hybridMultilevel"/>
    <w:lvl w:ilvl="0">
      <w:lvlJc w:val="left"/>
      <w:lvlText w:val="(%1)"/>
      <w:numFmt w:val="decimal"/>
      <w:start w:val="9"/>
    </w:lvl>
  </w:abstractNum>
  <w:abstractNum w:abstractNumId="67">
    <w:nsid w:val="9DAF632"/>
    <w:multiLevelType w:val="hybridMultilevel"/>
    <w:lvl w:ilvl="0">
      <w:lvlJc w:val="left"/>
      <w:lvlText w:val="(%1)"/>
      <w:numFmt w:val="lowerLetter"/>
      <w:start w:val="26"/>
    </w:lvl>
  </w:abstractNum>
  <w:abstractNum w:abstractNumId="68">
    <w:nsid w:val="53299938"/>
    <w:multiLevelType w:val="hybridMultilevel"/>
    <w:lvl w:ilvl="0">
      <w:lvlJc w:val="left"/>
      <w:lvlText w:val="(%1)"/>
      <w:numFmt w:val="lowerRoman"/>
      <w:start w:val="1"/>
    </w:lvl>
  </w:abstractNum>
  <w:abstractNum w:abstractNumId="69">
    <w:nsid w:val="1FBFE8E0"/>
    <w:multiLevelType w:val="hybridMultilevel"/>
    <w:lvl w:ilvl="0">
      <w:lvlJc w:val="left"/>
      <w:lvlText w:val="(%1)"/>
      <w:numFmt w:val="lowerRoman"/>
      <w:start w:val="4"/>
    </w:lvl>
  </w:abstractNum>
  <w:abstractNum w:abstractNumId="70">
    <w:nsid w:val="5092CA79"/>
    <w:multiLevelType w:val="hybridMultilevel"/>
    <w:lvl w:ilvl="0">
      <w:lvlJc w:val="left"/>
      <w:lvlText w:val="•"/>
      <w:numFmt w:val="bullet"/>
      <w:start w:val="1"/>
    </w:lvl>
  </w:abstractNum>
  <w:abstractNum w:abstractNumId="71">
    <w:nsid w:val="1D545C4D"/>
    <w:multiLevelType w:val="hybridMultilevel"/>
    <w:lvl w:ilvl="0">
      <w:lvlJc w:val="left"/>
      <w:lvlText w:val="•"/>
      <w:numFmt w:val="bullet"/>
      <w:start w:val="1"/>
    </w:lvl>
  </w:abstractNum>
  <w:abstractNum w:abstractNumId="72">
    <w:nsid w:val="59ADEA3D"/>
    <w:multiLevelType w:val="hybridMultilevel"/>
    <w:lvl w:ilvl="0">
      <w:lvlJc w:val="left"/>
      <w:lvlText w:val="•"/>
      <w:numFmt w:val="bullet"/>
      <w:start w:val="1"/>
    </w:lvl>
  </w:abstractNum>
  <w:abstractNum w:abstractNumId="73">
    <w:nsid w:val="288F1A34"/>
    <w:multiLevelType w:val="hybridMultilevel"/>
    <w:lvl w:ilvl="0">
      <w:lvlJc w:val="left"/>
      <w:lvlText w:val="(%1)"/>
      <w:numFmt w:val="decimal"/>
      <w:start w:val="1"/>
    </w:lvl>
  </w:abstractNum>
  <w:abstractNum w:abstractNumId="74">
    <w:nsid w:val="2A155DBC"/>
    <w:multiLevelType w:val="hybridMultilevel"/>
    <w:lvl w:ilvl="0">
      <w:lvlJc w:val="left"/>
      <w:lvlText w:val="•"/>
      <w:numFmt w:val="bullet"/>
      <w:start w:val="1"/>
    </w:lvl>
  </w:abstractNum>
  <w:abstractNum w:abstractNumId="75">
    <w:nsid w:val="1D9F6E5F"/>
    <w:multiLevelType w:val="hybridMultilevel"/>
    <w:lvl w:ilvl="0">
      <w:lvlJc w:val="left"/>
      <w:lvlText w:val="(%1)"/>
      <w:numFmt w:val="decimal"/>
      <w:start w:val="1"/>
    </w:lvl>
  </w:abstractNum>
  <w:abstractNum w:abstractNumId="76">
    <w:nsid w:val="97E1B4E"/>
    <w:multiLevelType w:val="hybridMultilevel"/>
    <w:lvl w:ilvl="0">
      <w:lvlJc w:val="left"/>
      <w:lvlText w:val="•"/>
      <w:numFmt w:val="bullet"/>
      <w:start w:val="1"/>
    </w:lvl>
  </w:abstractNum>
  <w:abstractNum w:abstractNumId="77">
    <w:nsid w:val="51088277"/>
    <w:multiLevelType w:val="hybridMultilevel"/>
    <w:lvl w:ilvl="0">
      <w:lvlJc w:val="left"/>
      <w:lvlText w:val="•"/>
      <w:numFmt w:val="bullet"/>
      <w:start w:val="1"/>
    </w:lvl>
  </w:abstractNum>
  <w:abstractNum w:abstractNumId="78">
    <w:nsid w:val="1CA0C5FA"/>
    <w:multiLevelType w:val="hybridMultilevel"/>
    <w:lvl w:ilvl="0">
      <w:lvlJc w:val="left"/>
      <w:lvlText w:val="•"/>
      <w:numFmt w:val="bullet"/>
      <w:start w:val="1"/>
    </w:lvl>
  </w:abstractNum>
  <w:abstractNum w:abstractNumId="79">
    <w:nsid w:val="53584BCB"/>
    <w:multiLevelType w:val="hybridMultilevel"/>
    <w:lvl w:ilvl="0">
      <w:lvlJc w:val="left"/>
      <w:lvlText w:val="•"/>
      <w:numFmt w:val="bullet"/>
      <w:start w:val="1"/>
    </w:lvl>
  </w:abstractNum>
  <w:abstractNum w:abstractNumId="80">
    <w:nsid w:val="415E286C"/>
    <w:multiLevelType w:val="hybridMultilevel"/>
    <w:lvl w:ilvl="0">
      <w:lvlJc w:val="left"/>
      <w:lvlText w:val="(%1)"/>
      <w:numFmt w:val="decimal"/>
      <w:start w:val="636"/>
    </w:lvl>
  </w:abstractNum>
  <w:abstractNum w:abstractNumId="81">
    <w:nsid w:val="7C58FD05"/>
    <w:multiLevelType w:val="hybridMultilevel"/>
    <w:lvl w:ilvl="0">
      <w:lvlJc w:val="left"/>
      <w:lvlText w:val="%1."/>
      <w:numFmt w:val="decimal"/>
      <w:start w:val="1"/>
    </w:lvl>
  </w:abstractNum>
  <w:abstractNum w:abstractNumId="82">
    <w:nsid w:val="23D86AAC"/>
    <w:multiLevelType w:val="hybridMultilevel"/>
    <w:lvl w:ilvl="0">
      <w:lvlJc w:val="left"/>
      <w:lvlText w:val="%1."/>
      <w:numFmt w:val="decimal"/>
      <w:start w:val="1"/>
    </w:lvl>
  </w:abstractNum>
  <w:abstractNum w:abstractNumId="83">
    <w:nsid w:val="45E6D486"/>
    <w:multiLevelType w:val="hybridMultilevel"/>
    <w:lvl w:ilvl="0">
      <w:lvlJc w:val="left"/>
      <w:lvlText w:val="%1."/>
      <w:numFmt w:val="decimal"/>
      <w:start w:val="2"/>
    </w:lvl>
  </w:abstractNum>
  <w:abstractNum w:abstractNumId="84">
    <w:nsid w:val="5C10FE21"/>
    <w:multiLevelType w:val="hybridMultilevel"/>
    <w:lvl w:ilvl="0">
      <w:lvlJc w:val="left"/>
      <w:lvlText w:val="%1."/>
      <w:numFmt w:val="decimal"/>
      <w:start w:val="2"/>
    </w:lvl>
  </w:abstractNum>
  <w:abstractNum w:abstractNumId="85">
    <w:nsid w:val="E7FFA2B"/>
    <w:multiLevelType w:val="hybridMultilevel"/>
    <w:lvl w:ilvl="0">
      <w:lvlJc w:val="left"/>
      <w:lvlText w:val="%1."/>
      <w:numFmt w:val="decimal"/>
      <w:start w:val="2"/>
    </w:lvl>
  </w:abstractNum>
  <w:abstractNum w:abstractNumId="86">
    <w:nsid w:val="3C5991AA"/>
    <w:multiLevelType w:val="hybridMultilevel"/>
    <w:lvl w:ilvl="0">
      <w:lvlJc w:val="left"/>
      <w:lvlText w:val="%1."/>
      <w:numFmt w:val="decimal"/>
      <w:start w:val="2"/>
    </w:lvl>
  </w:abstractNum>
  <w:abstractNum w:abstractNumId="87">
    <w:nsid w:val="4BD8591A"/>
    <w:multiLevelType w:val="hybridMultilevel"/>
    <w:lvl w:ilvl="0">
      <w:lvlJc w:val="left"/>
      <w:lvlText w:val="(%1)"/>
      <w:numFmt w:val="lowerRoman"/>
      <w:start w:val="1"/>
    </w:lvl>
  </w:abstractNum>
  <w:abstractNum w:abstractNumId="88">
    <w:nsid w:val="78DF6A55"/>
    <w:multiLevelType w:val="hybridMultilevel"/>
    <w:lvl w:ilvl="0">
      <w:lvlJc w:val="left"/>
      <w:lvlText w:val="%1."/>
      <w:numFmt w:val="decimal"/>
      <w:start w:val="2"/>
    </w:lvl>
  </w:abstractNum>
  <w:abstractNum w:abstractNumId="89">
    <w:nsid w:val="39B7AAA2"/>
    <w:multiLevelType w:val="hybridMultilevel"/>
    <w:lvl w:ilvl="0">
      <w:lvlJc w:val="left"/>
      <w:lvlText w:val="%1."/>
      <w:numFmt w:val="decimal"/>
      <w:start w:val="2"/>
    </w:lvl>
  </w:abstractNum>
  <w:abstractNum w:abstractNumId="90">
    <w:nsid w:val="2B0D8DBE"/>
    <w:multiLevelType w:val="hybridMultilevel"/>
    <w:lvl w:ilvl="0">
      <w:lvlJc w:val="left"/>
      <w:lvlText w:val="•"/>
      <w:numFmt w:val="bullet"/>
      <w:start w:val="1"/>
    </w:lvl>
  </w:abstractNum>
  <w:abstractNum w:abstractNumId="91">
    <w:nsid w:val="6C80EC70"/>
    <w:multiLevelType w:val="hybridMultilevel"/>
    <w:lvl w:ilvl="0">
      <w:lvlJc w:val="left"/>
      <w:lvlText w:val="%1."/>
      <w:numFmt w:val="decimal"/>
      <w:start w:val="2"/>
    </w:lvl>
  </w:abstractNum>
  <w:abstractNum w:abstractNumId="92">
    <w:nsid w:val="379E21B5"/>
    <w:multiLevelType w:val="hybridMultilevel"/>
    <w:lvl w:ilvl="0">
      <w:lvlJc w:val="left"/>
      <w:lvlText w:val="(%1)"/>
      <w:numFmt w:val="lowerRoman"/>
      <w:start w:val="3"/>
    </w:lvl>
  </w:abstractNum>
  <w:abstractNum w:abstractNumId="93">
    <w:nsid w:val="69E373"/>
    <w:multiLevelType w:val="hybridMultilevel"/>
    <w:lvl w:ilvl="0">
      <w:lvlJc w:val="left"/>
      <w:lvlText w:val="%1."/>
      <w:numFmt w:val="decimal"/>
      <w:start w:val="2"/>
    </w:lvl>
  </w:abstractNum>
  <w:abstractNum w:abstractNumId="94">
    <w:nsid w:val="2C27173B"/>
    <w:multiLevelType w:val="hybridMultilevel"/>
    <w:lvl w:ilvl="0">
      <w:lvlJc w:val="left"/>
      <w:lvlText w:val="•"/>
      <w:numFmt w:val="bullet"/>
      <w:start w:val="1"/>
    </w:lvl>
  </w:abstractNum>
  <w:abstractNum w:abstractNumId="95">
    <w:nsid w:val="4C9B0904"/>
    <w:multiLevelType w:val="hybridMultilevel"/>
    <w:lvl w:ilvl="0">
      <w:lvlJc w:val="left"/>
      <w:lvlText w:val="%1."/>
      <w:numFmt w:val="decimal"/>
      <w:start w:val="2"/>
    </w:lvl>
  </w:abstractNum>
  <w:abstractNum w:abstractNumId="96">
    <w:nsid w:val="6AA7B75C"/>
    <w:multiLevelType w:val="hybridMultilevel"/>
    <w:lvl w:ilvl="0">
      <w:lvlJc w:val="left"/>
      <w:lvlText w:val="%1."/>
      <w:numFmt w:val="decimal"/>
      <w:start w:val="3"/>
    </w:lvl>
  </w:abstractNum>
  <w:abstractNum w:abstractNumId="97">
    <w:nsid w:val="1DF029D3"/>
    <w:multiLevelType w:val="hybridMultilevel"/>
    <w:lvl w:ilvl="0">
      <w:lvlJc w:val="left"/>
      <w:lvlText w:val="%1."/>
      <w:numFmt w:val="decimal"/>
      <w:start w:val="3"/>
    </w:lvl>
  </w:abstractNum>
  <w:abstractNum w:abstractNumId="98">
    <w:nsid w:val="5675FF36"/>
    <w:multiLevelType w:val="hybridMultilevel"/>
    <w:lvl w:ilvl="0">
      <w:lvlJc w:val="left"/>
      <w:lvlText w:val="•"/>
      <w:numFmt w:val="bullet"/>
      <w:start w:val="1"/>
    </w:lvl>
  </w:abstractNum>
  <w:abstractNum w:abstractNumId="99">
    <w:nsid w:val="3DD15094"/>
    <w:multiLevelType w:val="hybridMultilevel"/>
    <w:lvl w:ilvl="0">
      <w:lvlJc w:val="left"/>
      <w:lvlText w:val="%1."/>
      <w:numFmt w:val="decimal"/>
      <w:start w:val="3"/>
    </w:lvl>
    <w:lvl w:ilvl="1">
      <w:lvlJc w:val="left"/>
      <w:lvlText w:val="•"/>
      <w:numFmt w:val="bullet"/>
      <w:start w:val="1"/>
    </w:lvl>
  </w:abstractNum>
  <w:abstractNum w:abstractNumId="100">
    <w:nsid w:val="3DB012B3"/>
    <w:multiLevelType w:val="hybridMultilevel"/>
    <w:lvl w:ilvl="0">
      <w:lvlJc w:val="left"/>
      <w:lvlText w:val="%1."/>
      <w:numFmt w:val="decimal"/>
      <w:start w:val="3"/>
    </w:lvl>
  </w:abstractNum>
  <w:abstractNum w:abstractNumId="101">
    <w:nsid w:val="2708C9AF"/>
    <w:multiLevelType w:val="hybridMultilevel"/>
    <w:lvl w:ilvl="0">
      <w:lvlJc w:val="left"/>
      <w:lvlText w:val="%1."/>
      <w:numFmt w:val="decimal"/>
      <w:start w:val="5"/>
    </w:lvl>
  </w:abstractNum>
  <w:abstractNum w:abstractNumId="102">
    <w:nsid w:val="5B25ACE2"/>
    <w:multiLevelType w:val="hybridMultilevel"/>
    <w:lvl w:ilvl="0">
      <w:lvlJc w:val="left"/>
      <w:lvlText w:val="%1."/>
      <w:numFmt w:val="decimal"/>
      <w:start w:val="6"/>
    </w:lvl>
  </w:abstractNum>
  <w:abstractNum w:abstractNumId="103">
    <w:nsid w:val="175DFCF0"/>
    <w:multiLevelType w:val="hybridMultilevel"/>
    <w:lvl w:ilvl="0">
      <w:lvlJc w:val="left"/>
      <w:lvlText w:val="%1."/>
      <w:numFmt w:val="decimal"/>
      <w:start w:val="6"/>
    </w:lvl>
  </w:abstractNum>
  <w:abstractNum w:abstractNumId="104">
    <w:nsid w:val="4F97E3E4"/>
    <w:multiLevelType w:val="hybridMultilevel"/>
    <w:lvl w:ilvl="0">
      <w:lvlJc w:val="left"/>
      <w:lvlText w:val="%1."/>
      <w:numFmt w:val="decimal"/>
      <w:start w:val="7"/>
    </w:lvl>
  </w:abstractNum>
  <w:abstractNum w:abstractNumId="105">
    <w:nsid w:val="53B0A9E"/>
    <w:multiLevelType w:val="hybridMultilevel"/>
    <w:lvl w:ilvl="0">
      <w:lvlJc w:val="left"/>
      <w:lvlText w:val="%1."/>
      <w:numFmt w:val="decimal"/>
      <w:start w:val="7"/>
    </w:lvl>
  </w:abstractNum>
  <w:abstractNum w:abstractNumId="106">
    <w:nsid w:val="34FD6B4F"/>
    <w:multiLevelType w:val="hybridMultilevel"/>
    <w:lvl w:ilvl="0">
      <w:lvlJc w:val="left"/>
      <w:lvlText w:val="%1."/>
      <w:numFmt w:val="decimal"/>
      <w:start w:val="8"/>
    </w:lvl>
  </w:abstractNum>
  <w:abstractNum w:abstractNumId="107">
    <w:nsid w:val="5915FF32"/>
    <w:multiLevelType w:val="hybridMultilevel"/>
    <w:lvl w:ilvl="0">
      <w:lvlJc w:val="left"/>
      <w:lvlText w:val="\emdash "/>
      <w:numFmt w:val="bullet"/>
      <w:start w:val="1"/>
    </w:lvl>
  </w:abstractNum>
  <w:abstractNum w:abstractNumId="108">
    <w:nsid w:val="56438D15"/>
    <w:multiLevelType w:val="hybridMultilevel"/>
    <w:lvl w:ilvl="0">
      <w:lvlJc w:val="left"/>
      <w:lvlText w:val="%1."/>
      <w:numFmt w:val="decimal"/>
      <w:start w:val="8"/>
    </w:lvl>
  </w:abstractNum>
  <w:abstractNum w:abstractNumId="109">
    <w:nsid w:val="519E3149"/>
    <w:multiLevelType w:val="hybridMultilevel"/>
    <w:lvl w:ilvl="0">
      <w:lvlJc w:val="left"/>
      <w:lvlText w:val="%1."/>
      <w:numFmt w:val="decimal"/>
      <w:start w:val="8"/>
    </w:lvl>
  </w:abstractNum>
  <w:abstractNum w:abstractNumId="110">
    <w:nsid w:val="2C6E4AFD"/>
    <w:multiLevelType w:val="hybridMultilevel"/>
    <w:lvl w:ilvl="0">
      <w:lvlJc w:val="left"/>
      <w:lvlText w:val="%1."/>
      <w:numFmt w:val="decimal"/>
      <w:start w:val="8"/>
    </w:lvl>
  </w:abstractNum>
  <w:abstractNum w:abstractNumId="111">
    <w:nsid w:val="17A1B582"/>
    <w:multiLevelType w:val="hybridMultilevel"/>
    <w:lvl w:ilvl="0">
      <w:lvlJc w:val="left"/>
      <w:lvlText w:val="%1."/>
      <w:numFmt w:val="decimal"/>
      <w:start w:val="9"/>
    </w:lvl>
  </w:abstractNum>
  <w:abstractNum w:abstractNumId="112">
    <w:nsid w:val="4DF72E4E"/>
    <w:multiLevelType w:val="hybridMultilevel"/>
    <w:lvl w:ilvl="0">
      <w:lvlJc w:val="left"/>
      <w:lvlText w:val="%1."/>
      <w:numFmt w:val="decimal"/>
      <w:start w:val="9"/>
    </w:lvl>
  </w:abstractNum>
  <w:abstractNum w:abstractNumId="113">
    <w:nsid w:val="5046B5A9"/>
    <w:multiLevelType w:val="hybridMultilevel"/>
    <w:lvl w:ilvl="0">
      <w:lvlJc w:val="left"/>
      <w:lvlText w:val="%1."/>
      <w:numFmt w:val="decimal"/>
      <w:start w:val="9"/>
    </w:lvl>
  </w:abstractNum>
  <w:abstractNum w:abstractNumId="114">
    <w:nsid w:val="5D888A08"/>
    <w:multiLevelType w:val="hybridMultilevel"/>
    <w:lvl w:ilvl="0">
      <w:lvlJc w:val="left"/>
      <w:lvlText w:val="%1."/>
      <w:numFmt w:val="decimal"/>
      <w:start w:val="9"/>
    </w:lvl>
  </w:abstractNum>
  <w:abstractNum w:abstractNumId="115">
    <w:nsid w:val="2A082C70"/>
    <w:multiLevelType w:val="hybridMultilevel"/>
    <w:lvl w:ilvl="0">
      <w:lvlJc w:val="left"/>
      <w:lvlText w:val="(%1)"/>
      <w:numFmt w:val="lowerRoman"/>
      <w:start w:val="2"/>
    </w:lvl>
  </w:abstractNum>
  <w:abstractNum w:abstractNumId="116">
    <w:nsid w:val="5EC6AFD4"/>
    <w:multiLevelType w:val="hybridMultilevel"/>
    <w:lvl w:ilvl="0">
      <w:lvlJc w:val="left"/>
      <w:lvlText w:val="(%1)"/>
      <w:numFmt w:val="lowerRoman"/>
      <w:start w:val="1"/>
    </w:lvl>
  </w:abstractNum>
  <w:abstractNum w:abstractNumId="117">
    <w:nsid w:val="19E21BB2"/>
    <w:multiLevelType w:val="hybridMultilevel"/>
    <w:lvl w:ilvl="0">
      <w:lvlJc w:val="left"/>
      <w:lvlText w:val="(%1)"/>
      <w:numFmt w:val="lowerRoman"/>
      <w:start w:val="2"/>
    </w:lvl>
  </w:abstractNum>
  <w:abstractNum w:abstractNumId="118">
    <w:nsid w:val="75E0858A"/>
    <w:multiLevelType w:val="hybridMultilevel"/>
    <w:lvl w:ilvl="0">
      <w:lvlJc w:val="left"/>
      <w:lvlText w:val="(%1)"/>
      <w:numFmt w:val="lowerRoman"/>
      <w:start w:val="2"/>
    </w:lvl>
  </w:abstractNum>
  <w:abstractNum w:abstractNumId="119">
    <w:nsid w:val="57A61A29"/>
    <w:multiLevelType w:val="hybridMultilevel"/>
    <w:lvl w:ilvl="0">
      <w:lvlJc w:val="left"/>
      <w:lvlText w:val="%1."/>
      <w:numFmt w:val="decimal"/>
      <w:start w:val="11"/>
    </w:lvl>
  </w:abstractNum>
  <w:abstractNum w:abstractNumId="120">
    <w:nsid w:val="5399C654"/>
    <w:multiLevelType w:val="hybridMultilevel"/>
    <w:lvl w:ilvl="0">
      <w:lvlJc w:val="left"/>
      <w:lvlText w:val="*"/>
      <w:numFmt w:val="bullet"/>
      <w:start w:val="1"/>
    </w:lvl>
  </w:abstractNum>
  <w:abstractNum w:abstractNumId="121">
    <w:nsid w:val="20EE1348"/>
    <w:multiLevelType w:val="hybridMultilevel"/>
    <w:lvl w:ilvl="0">
      <w:lvlJc w:val="left"/>
      <w:lvlText w:val="•"/>
      <w:numFmt w:val="bullet"/>
      <w:start w:val="1"/>
    </w:lvl>
  </w:abstractNum>
  <w:abstractNum w:abstractNumId="122">
    <w:nsid w:val="4427069A"/>
    <w:multiLevelType w:val="hybridMultilevel"/>
    <w:lvl w:ilvl="0">
      <w:lvlJc w:val="left"/>
      <w:lvlText w:val="•"/>
      <w:numFmt w:val="bullet"/>
      <w:start w:val="1"/>
    </w:lvl>
  </w:abstractNum>
  <w:abstractNum w:abstractNumId="123">
    <w:nsid w:val="B37E80A"/>
    <w:multiLevelType w:val="hybridMultilevel"/>
    <w:lvl w:ilvl="0">
      <w:lvlJc w:val="left"/>
      <w:lvlText w:val="%1"/>
      <w:numFmt w:val="decimal"/>
      <w:start w:val="104"/>
    </w:lvl>
  </w:abstractNum>
  <w:abstractNum w:abstractNumId="124">
    <w:nsid w:val="2157F6BC"/>
    <w:multiLevelType w:val="hybridMultilevel"/>
    <w:lvl w:ilvl="0">
      <w:lvlJc w:val="left"/>
      <w:lvlText w:val="*"/>
      <w:numFmt w:val="bullet"/>
      <w:start w:val="1"/>
    </w:lvl>
  </w:abstractNum>
  <w:abstractNum w:abstractNumId="125">
    <w:nsid w:val="704E1DD5"/>
    <w:multiLevelType w:val="hybridMultilevel"/>
    <w:lvl w:ilvl="0">
      <w:lvlJc w:val="left"/>
      <w:lvlText w:val="+"/>
      <w:numFmt w:val="bullet"/>
      <w:start w:val="1"/>
    </w:lvl>
  </w:abstractNum>
  <w:abstractNum w:abstractNumId="126">
    <w:nsid w:val="57D2F10E"/>
    <w:multiLevelType w:val="hybridMultilevel"/>
    <w:lvl w:ilvl="0">
      <w:lvlJc w:val="left"/>
      <w:lvlText w:val="#"/>
      <w:numFmt w:val="bullet"/>
      <w:start w:val="1"/>
    </w:lvl>
  </w:abstractNum>
  <w:abstractNum w:abstractNumId="127">
    <w:nsid w:val="BFFAE18"/>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128">
    <w:nsid w:val="E3E47A8"/>
    <w:multiLevelType w:val="hybridMultilevel"/>
    <w:lvl w:ilvl="0">
      <w:lvlJc w:val="left"/>
      <w:lvlText w:val="%1"/>
      <w:numFmt w:val="decimal"/>
      <w:start w:val="1"/>
    </w:lvl>
    <w:lvl w:ilvl="1">
      <w:lvlJc w:val="left"/>
      <w:lvlText w:val="(%2)"/>
      <w:numFmt w:val="lowerRoman"/>
      <w:start w:val="2"/>
    </w:lvl>
  </w:abstractNum>
  <w:abstractNum w:abstractNumId="129">
    <w:nsid w:val="2E48F044"/>
    <w:multiLevelType w:val="hybridMultilevel"/>
    <w:lvl w:ilvl="0">
      <w:lvlJc w:val="left"/>
      <w:lvlText w:val="%1."/>
      <w:numFmt w:val="decimal"/>
      <w:start w:val="5"/>
    </w:lvl>
    <w:lvl w:ilvl="1">
      <w:lvlJc w:val="left"/>
      <w:lvlText w:val="(%2)"/>
      <w:numFmt w:val="lowerRoman"/>
      <w:start w:val="1"/>
    </w:lvl>
  </w:abstractNum>
  <w:abstractNum w:abstractNumId="130">
    <w:nsid w:val="49D0FEAC"/>
    <w:multiLevelType w:val="hybridMultilevel"/>
    <w:lvl w:ilvl="0">
      <w:lvlJc w:val="left"/>
      <w:lvlText w:val="%1."/>
      <w:numFmt w:val="decimal"/>
      <w:start w:val="2"/>
    </w:lvl>
  </w:abstractNum>
  <w:abstractNum w:abstractNumId="131">
    <w:nsid w:val="4BEE5A5B"/>
    <w:multiLevelType w:val="hybridMultilevel"/>
    <w:lvl w:ilvl="0">
      <w:lvlJc w:val="left"/>
      <w:lvlText w:val="(%1)"/>
      <w:numFmt w:val="lowerLetter"/>
      <w:start w:val="1"/>
    </w:lvl>
  </w:abstractNum>
  <w:abstractNum w:abstractNumId="132">
    <w:nsid w:val="5551B9F3"/>
    <w:multiLevelType w:val="hybridMultilevel"/>
    <w:lvl w:ilvl="0">
      <w:lvlJc w:val="left"/>
      <w:lvlText w:val="(%1)"/>
      <w:numFmt w:val="lowerLetter"/>
      <w:start w:val="2"/>
    </w:lvl>
  </w:abstractNum>
  <w:abstractNum w:abstractNumId="133">
    <w:nsid w:val="24F6AB8E"/>
    <w:multiLevelType w:val="hybridMultilevel"/>
    <w:lvl w:ilvl="0">
      <w:lvlJc w:val="left"/>
      <w:lvlText w:val="(%1)"/>
      <w:numFmt w:val="lowerLetter"/>
      <w:start w:val="1"/>
    </w:lvl>
  </w:abstractNum>
  <w:abstractNum w:abstractNumId="134">
    <w:nsid w:val="634C574C"/>
    <w:multiLevelType w:val="hybridMultilevel"/>
    <w:lvl w:ilvl="0">
      <w:lvlJc w:val="left"/>
      <w:lvlText w:val="(%1)"/>
      <w:numFmt w:val="lowerLetter"/>
      <w:start w:val="1"/>
    </w:lvl>
  </w:abstractNum>
  <w:abstractNum w:abstractNumId="135">
    <w:nsid w:val="24E99DD7"/>
    <w:multiLevelType w:val="hybridMultilevel"/>
    <w:lvl w:ilvl="0">
      <w:lvlJc w:val="left"/>
      <w:lvlText w:val="%1."/>
      <w:numFmt w:val="decimal"/>
      <w:start w:val="3"/>
    </w:lvl>
  </w:abstractNum>
  <w:abstractNum w:abstractNumId="136">
    <w:nsid w:val="2A31B62D"/>
    <w:multiLevelType w:val="hybridMultilevel"/>
    <w:lvl w:ilvl="0">
      <w:lvlJc w:val="left"/>
      <w:lvlText w:val="(%1)"/>
      <w:numFmt w:val="lowerRoman"/>
      <w:start w:val="2"/>
    </w:lvl>
  </w:abstractNum>
  <w:abstractNum w:abstractNumId="137">
    <w:nsid w:val="1849C29B"/>
    <w:multiLevelType w:val="hybridMultilevel"/>
    <w:lvl w:ilvl="0">
      <w:lvlJc w:val="left"/>
      <w:lvlText w:val="%1."/>
      <w:numFmt w:val="decimal"/>
      <w:start w:val="4"/>
    </w:lvl>
  </w:abstractNum>
  <w:abstractNum w:abstractNumId="138">
    <w:nsid w:val="7DFF9D09"/>
    <w:multiLevelType w:val="hybridMultilevel"/>
    <w:lvl w:ilvl="0">
      <w:lvlJc w:val="left"/>
      <w:lvlText w:val="%1."/>
      <w:numFmt w:val="decimal"/>
      <w:start w:val="5"/>
    </w:lvl>
  </w:abstractNum>
  <w:abstractNum w:abstractNumId="139">
    <w:nsid w:val="754342"/>
    <w:multiLevelType w:val="hybridMultilevel"/>
    <w:lvl w:ilvl="0">
      <w:lvlJc w:val="left"/>
      <w:lvlText w:val="%1."/>
      <w:numFmt w:val="decimal"/>
      <w:start w:val="6"/>
    </w:lvl>
  </w:abstractNum>
  <w:abstractNum w:abstractNumId="140">
    <w:nsid w:val="69E7F3E5"/>
    <w:multiLevelType w:val="hybridMultilevel"/>
    <w:lvl w:ilvl="0">
      <w:lvlJc w:val="left"/>
      <w:lvlText w:val="(%1)"/>
      <w:numFmt w:val="lowerRoman"/>
      <w:start w:val="2"/>
    </w:lvl>
  </w:abstractNum>
  <w:abstractNum w:abstractNumId="141">
    <w:nsid w:val="2A6DE80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34" Type="http://schemas.openxmlformats.org/officeDocument/2006/relationships/image" Target="media/image213.png"/><Relationship Id="rId235" Type="http://schemas.openxmlformats.org/officeDocument/2006/relationships/image" Target="media/image214.png"/><Relationship Id="rId236" Type="http://schemas.openxmlformats.org/officeDocument/2006/relationships/image" Target="media/image215.png"/><Relationship Id="rId237" Type="http://schemas.openxmlformats.org/officeDocument/2006/relationships/image" Target="media/image216.png"/><Relationship Id="rId238" Type="http://schemas.openxmlformats.org/officeDocument/2006/relationships/image" Target="media/image217.png"/><Relationship Id="rId239" Type="http://schemas.openxmlformats.org/officeDocument/2006/relationships/image" Target="media/image218.png"/><Relationship Id="rId240" Type="http://schemas.openxmlformats.org/officeDocument/2006/relationships/image" Target="media/image219.png"/><Relationship Id="rId241" Type="http://schemas.openxmlformats.org/officeDocument/2006/relationships/image" Target="media/image220.png"/><Relationship Id="rId242" Type="http://schemas.openxmlformats.org/officeDocument/2006/relationships/image" Target="media/image221.png"/><Relationship Id="rId243" Type="http://schemas.openxmlformats.org/officeDocument/2006/relationships/image" Target="media/image222.png"/><Relationship Id="rId244" Type="http://schemas.openxmlformats.org/officeDocument/2006/relationships/image" Target="media/image223.png"/><Relationship Id="rId245" Type="http://schemas.openxmlformats.org/officeDocument/2006/relationships/image" Target="media/image224.png"/><Relationship Id="rId246" Type="http://schemas.openxmlformats.org/officeDocument/2006/relationships/image" Target="media/image225.png"/><Relationship Id="rId247" Type="http://schemas.openxmlformats.org/officeDocument/2006/relationships/image" Target="media/image226.png"/><Relationship Id="rId248" Type="http://schemas.openxmlformats.org/officeDocument/2006/relationships/image" Target="media/image227.png"/><Relationship Id="rId249" Type="http://schemas.openxmlformats.org/officeDocument/2006/relationships/image" Target="media/image228.png"/><Relationship Id="rId250" Type="http://schemas.openxmlformats.org/officeDocument/2006/relationships/image" Target="media/image229.png"/><Relationship Id="rId251" Type="http://schemas.openxmlformats.org/officeDocument/2006/relationships/image" Target="media/image230.png"/><Relationship Id="rId252" Type="http://schemas.openxmlformats.org/officeDocument/2006/relationships/image" Target="media/image231.png"/><Relationship Id="rId253" Type="http://schemas.openxmlformats.org/officeDocument/2006/relationships/image" Target="media/image232.png"/><Relationship Id="rId254" Type="http://schemas.openxmlformats.org/officeDocument/2006/relationships/image" Target="media/image233.png"/><Relationship Id="rId255" Type="http://schemas.openxmlformats.org/officeDocument/2006/relationships/image" Target="media/image234.png"/><Relationship Id="rId256" Type="http://schemas.openxmlformats.org/officeDocument/2006/relationships/image" Target="media/image235.png"/><Relationship Id="rId257" Type="http://schemas.openxmlformats.org/officeDocument/2006/relationships/image" Target="media/image236.png"/><Relationship Id="rId258" Type="http://schemas.openxmlformats.org/officeDocument/2006/relationships/image" Target="media/image237.png"/><Relationship Id="rId259" Type="http://schemas.openxmlformats.org/officeDocument/2006/relationships/image" Target="media/image238.png"/><Relationship Id="rId260" Type="http://schemas.openxmlformats.org/officeDocument/2006/relationships/image" Target="media/image239.png"/><Relationship Id="rId261" Type="http://schemas.openxmlformats.org/officeDocument/2006/relationships/image" Target="media/image240.png"/><Relationship Id="rId262" Type="http://schemas.openxmlformats.org/officeDocument/2006/relationships/image" Target="media/image241.png"/><Relationship Id="rId263" Type="http://schemas.openxmlformats.org/officeDocument/2006/relationships/image" Target="media/image242.png"/><Relationship Id="rId264" Type="http://schemas.openxmlformats.org/officeDocument/2006/relationships/image" Target="media/image243.png"/><Relationship Id="rId265" Type="http://schemas.openxmlformats.org/officeDocument/2006/relationships/image" Target="media/image244.png"/><Relationship Id="rId266" Type="http://schemas.openxmlformats.org/officeDocument/2006/relationships/image" Target="media/image245.png"/><Relationship Id="rId267" Type="http://schemas.openxmlformats.org/officeDocument/2006/relationships/image" Target="media/image246.png"/><Relationship Id="rId268" Type="http://schemas.openxmlformats.org/officeDocument/2006/relationships/image" Target="media/image247.png"/><Relationship Id="rId269" Type="http://schemas.openxmlformats.org/officeDocument/2006/relationships/image" Target="media/image248.png"/><Relationship Id="rId270" Type="http://schemas.openxmlformats.org/officeDocument/2006/relationships/image" Target="media/image249.png"/><Relationship Id="rId271" Type="http://schemas.openxmlformats.org/officeDocument/2006/relationships/image" Target="media/image250.png"/><Relationship Id="rId272" Type="http://schemas.openxmlformats.org/officeDocument/2006/relationships/image" Target="media/image251.png"/><Relationship Id="rId273" Type="http://schemas.openxmlformats.org/officeDocument/2006/relationships/image" Target="media/image252.png"/><Relationship Id="rId274" Type="http://schemas.openxmlformats.org/officeDocument/2006/relationships/image" Target="media/image253.png"/><Relationship Id="rId275" Type="http://schemas.openxmlformats.org/officeDocument/2006/relationships/image" Target="media/image254.png"/><Relationship Id="rId276" Type="http://schemas.openxmlformats.org/officeDocument/2006/relationships/image" Target="media/image255.png"/><Relationship Id="rId277" Type="http://schemas.openxmlformats.org/officeDocument/2006/relationships/image" Target="media/image256.png"/><Relationship Id="rId278" Type="http://schemas.openxmlformats.org/officeDocument/2006/relationships/image" Target="media/image257.png"/><Relationship Id="rId279" Type="http://schemas.openxmlformats.org/officeDocument/2006/relationships/image" Target="media/image258.png"/><Relationship Id="rId280" Type="http://schemas.openxmlformats.org/officeDocument/2006/relationships/image" Target="media/image259.png"/><Relationship Id="rId281" Type="http://schemas.openxmlformats.org/officeDocument/2006/relationships/image" Target="media/image260.png"/><Relationship Id="rId282" Type="http://schemas.openxmlformats.org/officeDocument/2006/relationships/image" Target="media/image261.png"/><Relationship Id="rId283" Type="http://schemas.openxmlformats.org/officeDocument/2006/relationships/image" Target="media/image262.png"/><Relationship Id="rId284" Type="http://schemas.openxmlformats.org/officeDocument/2006/relationships/image" Target="media/image263.png"/><Relationship Id="rId285" Type="http://schemas.openxmlformats.org/officeDocument/2006/relationships/image" Target="media/image264.png"/><Relationship Id="rId286" Type="http://schemas.openxmlformats.org/officeDocument/2006/relationships/image" Target="media/image265.png"/><Relationship Id="rId287" Type="http://schemas.openxmlformats.org/officeDocument/2006/relationships/image" Target="media/image266.png"/><Relationship Id="rId288" Type="http://schemas.openxmlformats.org/officeDocument/2006/relationships/image" Target="media/image267.png"/><Relationship Id="rId289" Type="http://schemas.openxmlformats.org/officeDocument/2006/relationships/image" Target="media/image268.png"/><Relationship Id="rId290" Type="http://schemas.openxmlformats.org/officeDocument/2006/relationships/image" Target="media/image269.png"/><Relationship Id="rId291" Type="http://schemas.openxmlformats.org/officeDocument/2006/relationships/image" Target="media/image270.png"/><Relationship Id="rId292" Type="http://schemas.openxmlformats.org/officeDocument/2006/relationships/image" Target="media/image271.png"/><Relationship Id="rId293" Type="http://schemas.openxmlformats.org/officeDocument/2006/relationships/image" Target="media/image272.png"/><Relationship Id="rId294" Type="http://schemas.openxmlformats.org/officeDocument/2006/relationships/image" Target="media/image273.png"/><Relationship Id="rId295" Type="http://schemas.openxmlformats.org/officeDocument/2006/relationships/image" Target="media/image274.png"/><Relationship Id="rId296" Type="http://schemas.openxmlformats.org/officeDocument/2006/relationships/image" Target="media/image275.png"/><Relationship Id="rId297" Type="http://schemas.openxmlformats.org/officeDocument/2006/relationships/image" Target="media/image276.png"/><Relationship Id="rId298" Type="http://schemas.openxmlformats.org/officeDocument/2006/relationships/image" Target="media/image277.png"/><Relationship Id="rId299" Type="http://schemas.openxmlformats.org/officeDocument/2006/relationships/image" Target="media/image278.png"/><Relationship Id="rId300" Type="http://schemas.openxmlformats.org/officeDocument/2006/relationships/image" Target="media/image279.png"/><Relationship Id="rId301" Type="http://schemas.openxmlformats.org/officeDocument/2006/relationships/image" Target="media/image280.png"/><Relationship Id="rId302" Type="http://schemas.openxmlformats.org/officeDocument/2006/relationships/image" Target="media/image281.png"/><Relationship Id="rId303" Type="http://schemas.openxmlformats.org/officeDocument/2006/relationships/image" Target="media/image282.png"/><Relationship Id="rId304" Type="http://schemas.openxmlformats.org/officeDocument/2006/relationships/image" Target="media/image283.png"/><Relationship Id="rId305" Type="http://schemas.openxmlformats.org/officeDocument/2006/relationships/image" Target="media/image284.png"/><Relationship Id="rId306" Type="http://schemas.openxmlformats.org/officeDocument/2006/relationships/image" Target="media/image285.png"/><Relationship Id="rId307" Type="http://schemas.openxmlformats.org/officeDocument/2006/relationships/image" Target="media/image286.png"/><Relationship Id="rId308" Type="http://schemas.openxmlformats.org/officeDocument/2006/relationships/image" Target="media/image287.jpeg"/><Relationship Id="rId309" Type="http://schemas.openxmlformats.org/officeDocument/2006/relationships/image" Target="media/image288.jpeg"/><Relationship Id="rId220" Type="http://schemas.openxmlformats.org/officeDocument/2006/relationships/hyperlink" Target="http://www.sec.gov/Archives/edgar/data/1840856/000121390021059752/ea150505ex2-1_archimedes.htm" TargetMode="External"/><Relationship Id="rId221" Type="http://schemas.openxmlformats.org/officeDocument/2006/relationships/hyperlink" Target="http://www.sec.gov/Archives/edgar/data/1840856/000121390022023274/ea159193ex3-1_soundhound.htm" TargetMode="External"/><Relationship Id="rId222" Type="http://schemas.openxmlformats.org/officeDocument/2006/relationships/hyperlink" Target="http://www.sec.gov/Archives/edgar/data/1840856/000121390022023274/ea159193ex3-2_soundhound.htm" TargetMode="External"/><Relationship Id="rId223" Type="http://schemas.openxmlformats.org/officeDocument/2006/relationships/hyperlink" Target="http://www.sec.gov/Archives/edgar/data/1840856/000121390022023274/ea159193ex4-1_soundhound.htm" TargetMode="External"/><Relationship Id="rId224" Type="http://schemas.openxmlformats.org/officeDocument/2006/relationships/hyperlink" Target="http://www.sec.gov/Archives/edgar/data/1840856/000121390021059752/ea150505ex10-3_archimedes.htm" TargetMode="External"/><Relationship Id="rId225" Type="http://schemas.openxmlformats.org/officeDocument/2006/relationships/hyperlink" Target="http://www.sec.gov/Archives/edgar/data/1840856/000121390021059752/ea150505ex10-4_archimedes.htm" TargetMode="External"/><Relationship Id="rId226" Type="http://schemas.openxmlformats.org/officeDocument/2006/relationships/hyperlink" Target="http://www.sec.gov/Archives/edgar/data/1840856/000121390022001443/fs42021_archimedestech.htm#T601" TargetMode="External"/><Relationship Id="rId227" Type="http://schemas.openxmlformats.org/officeDocument/2006/relationships/hyperlink" Target="http://www.sec.gov/Archives/edgar/data/1840856/000121390022001443/fs42021_archimedestech.htm#T602" TargetMode="External"/><Relationship Id="rId228" Type="http://schemas.openxmlformats.org/officeDocument/2006/relationships/hyperlink" Target="http://www.sec.gov/Archives/edgar/data/1840856/000121390022023274/ea159193ex10-8_soundhound.htm" TargetMode="External"/><Relationship Id="rId229" Type="http://schemas.openxmlformats.org/officeDocument/2006/relationships/hyperlink" Target="http://www.sec.gov/Archives/edgar/data/1840856/000121390022023274/ea159193ex10-9_soundhound.htm" TargetMode="External"/><Relationship Id="rId230" Type="http://schemas.openxmlformats.org/officeDocument/2006/relationships/hyperlink" Target="http://www.sec.gov/Archives/edgar/data/1840856/000121390022023274/ea159193ex10-10_soundhound.htm" TargetMode="External"/><Relationship Id="rId231" Type="http://schemas.openxmlformats.org/officeDocument/2006/relationships/hyperlink" Target="http://www.sec.gov/Archives/edgar/data/1840856/000121390022023274/ea159193ex21-1_soundhound.htm" TargetMode="External"/><Relationship Id="rId232" Type="http://schemas.openxmlformats.org/officeDocument/2006/relationships/hyperlink" Target="http://www.sec.gov/Archives/edgar/data/1840856/000121390022023274/ea159193ex99-1_soundhound.htm" TargetMode="External"/><Relationship Id="rId233" Type="http://schemas.openxmlformats.org/officeDocument/2006/relationships/hyperlink" Target="http://www.sec.gov/Archives/edgar/data/1840856/000121390022023274/ea159193ex99-2_soundhou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2022-05-16T10:08:44Z</dcterms:created>
  <dcterms:modified xsi:type="dcterms:W3CDTF">2022-05-16T10:08:44Z</dcterms:modified>
</cp:coreProperties>
</file>