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24, 2023</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6"/>
          <w:szCs w:val="16"/>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7"/>
              </w:rPr>
              <w:t>FORM S-3</w:t>
            </w:r>
          </w:p>
        </w:tc>
        <w:tc>
          <w:tcPr>
            <w:tcW w:w="2660" w:type="dxa"/>
            <w:vAlign w:val="bottom"/>
          </w:tcPr>
          <w:p>
            <w:pPr>
              <w:spacing w:after="0"/>
              <w:rPr>
                <w:sz w:val="20"/>
                <w:szCs w:val="20"/>
                <w:color w:val="auto"/>
              </w:rPr>
            </w:pPr>
          </w:p>
        </w:tc>
      </w:tr>
      <w:tr>
        <w:trPr>
          <w:trHeight w:val="432"/>
        </w:trPr>
        <w:tc>
          <w:tcPr>
            <w:tcW w:w="8580" w:type="dxa"/>
            <w:vAlign w:val="bottom"/>
            <w:gridSpan w:val="5"/>
          </w:tcPr>
          <w:p>
            <w:pPr>
              <w:jc w:val="center"/>
              <w:ind w:left="2570"/>
              <w:spacing w:after="0"/>
              <w:rPr>
                <w:sz w:val="20"/>
                <w:szCs w:val="20"/>
                <w:color w:val="auto"/>
              </w:rPr>
            </w:pPr>
            <w:r>
              <w:rPr>
                <w:rFonts w:ascii="Arial" w:cs="Arial" w:eastAsia="Arial" w:hAnsi="Arial"/>
                <w:sz w:val="18"/>
                <w:szCs w:val="18"/>
                <w:b w:val="1"/>
                <w:bCs w:val="1"/>
                <w:color w:val="auto"/>
                <w:w w:val="99"/>
              </w:rPr>
              <w:t>REGISTRATION STATEMENT UNDER THE SECURITIES ACT OF 1933</w:t>
            </w:r>
          </w:p>
        </w:tc>
        <w:tc>
          <w:tcPr>
            <w:tcW w:w="2660" w:type="dxa"/>
            <w:vAlign w:val="bottom"/>
          </w:tcPr>
          <w:p>
            <w:pPr>
              <w:spacing w:after="0"/>
              <w:rPr>
                <w:sz w:val="24"/>
                <w:szCs w:val="24"/>
                <w:color w:val="auto"/>
              </w:rPr>
            </w:pPr>
          </w:p>
        </w:tc>
      </w:tr>
      <w:tr>
        <w:trPr>
          <w:trHeight w:val="41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9"/>
              </w:rPr>
              <w:t>SOUNDHOUND AI, INC.</w:t>
            </w:r>
          </w:p>
        </w:tc>
        <w:tc>
          <w:tcPr>
            <w:tcW w:w="266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4980" w:type="dxa"/>
            <w:vAlign w:val="bottom"/>
            <w:gridSpan w:val="4"/>
          </w:tcPr>
          <w:p>
            <w:pPr>
              <w:jc w:val="center"/>
              <w:ind w:right="940"/>
              <w:spacing w:after="0"/>
              <w:rPr>
                <w:sz w:val="20"/>
                <w:szCs w:val="20"/>
                <w:color w:val="auto"/>
              </w:rPr>
            </w:pPr>
            <w:r>
              <w:rPr>
                <w:rFonts w:ascii="Arial" w:cs="Arial" w:eastAsia="Arial" w:hAnsi="Arial"/>
                <w:sz w:val="18"/>
                <w:szCs w:val="18"/>
                <w:color w:val="auto"/>
                <w:w w:val="90"/>
              </w:rPr>
              <w:t>(Exact name of registrant as specified in its charter)</w:t>
            </w:r>
          </w:p>
        </w:tc>
        <w:tc>
          <w:tcPr>
            <w:tcW w:w="2660" w:type="dxa"/>
            <w:vAlign w:val="bottom"/>
          </w:tcPr>
          <w:p>
            <w:pPr>
              <w:spacing w:after="0"/>
              <w:rPr>
                <w:sz w:val="20"/>
                <w:szCs w:val="20"/>
                <w:color w:val="auto"/>
              </w:rPr>
            </w:pPr>
          </w:p>
        </w:tc>
      </w:tr>
      <w:tr>
        <w:trPr>
          <w:trHeight w:val="439"/>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7372</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6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86-1286799</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jc w:val="center"/>
              <w:ind w:right="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4760" w:type="dxa"/>
            <w:vAlign w:val="bottom"/>
            <w:gridSpan w:val="3"/>
          </w:tcPr>
          <w:p>
            <w:pPr>
              <w:jc w:val="center"/>
              <w:ind w:right="1160"/>
              <w:spacing w:after="0"/>
              <w:rPr>
                <w:sz w:val="20"/>
                <w:szCs w:val="20"/>
                <w:color w:val="auto"/>
              </w:rPr>
            </w:pPr>
            <w:r>
              <w:rPr>
                <w:rFonts w:ascii="Arial" w:cs="Arial" w:eastAsia="Arial" w:hAnsi="Arial"/>
                <w:sz w:val="18"/>
                <w:szCs w:val="18"/>
                <w:color w:val="auto"/>
                <w:w w:val="92"/>
              </w:rPr>
              <w:t>Classification Code Number)</w:t>
            </w:r>
          </w:p>
        </w:tc>
        <w:tc>
          <w:tcPr>
            <w:tcW w:w="2660" w:type="dxa"/>
            <w:vAlign w:val="bottom"/>
          </w:tcPr>
          <w:p>
            <w:pPr>
              <w:jc w:val="center"/>
              <w:ind w:right="87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5400 Betsy Ross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Dr. Keyvan Mohajer</w:t>
      </w:r>
    </w:p>
    <w:p>
      <w:pPr>
        <w:spacing w:after="0" w:line="27"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SoundHound AI, Inc.</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Santa Clara, CA 95054</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Telephone: (408) 441-3200</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Please send a copy of all communications to:</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Douglas Ellenoff,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jc w:val="center"/>
        <w:spacing w:after="0" w:line="201" w:lineRule="auto"/>
        <w:rPr>
          <w:sz w:val="20"/>
          <w:szCs w:val="20"/>
          <w:color w:val="auto"/>
        </w:rPr>
      </w:pPr>
      <w:r>
        <w:rPr>
          <w:rFonts w:ascii="Arial" w:cs="Arial" w:eastAsia="Arial" w:hAnsi="Arial"/>
          <w:sz w:val="18"/>
          <w:szCs w:val="18"/>
          <w:b w:val="1"/>
          <w:bCs w:val="1"/>
          <w:color w:val="auto"/>
        </w:rPr>
        <w:t>1345 Avenue of the Americas,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10105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 370-7889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proposed sale to the public: From time to time after the effective date of this Registration Statement.</w:t>
      </w:r>
    </w:p>
    <w:p>
      <w:pPr>
        <w:spacing w:after="0" w:line="18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74"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spacing w:after="0" w:line="23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4" w:lineRule="exact"/>
        <w:rPr>
          <w:sz w:val="20"/>
          <w:szCs w:val="20"/>
          <w:color w:val="auto"/>
        </w:rPr>
      </w:pPr>
    </w:p>
    <w:p>
      <w:pPr>
        <w:jc w:val="both"/>
        <w:spacing w:after="0" w:line="237"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08" w:right="339" w:bottom="1440" w:gutter="0" w:footer="0" w:header="0"/>
        </w:sectPr>
      </w:pPr>
    </w:p>
    <w:p>
      <w:pPr>
        <w:spacing w:after="0" w:line="13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920" w:space="720"/>
            <w:col w:w="3600"/>
          </w:cols>
          <w:pgMar w:left="320" w:top="908" w:right="339" w:bottom="1440" w:gutter="0" w:footer="0" w:header="0"/>
          <w:type w:val="continuous"/>
        </w:sectPr>
      </w:pPr>
    </w:p>
    <w:p>
      <w:pPr>
        <w:spacing w:after="0" w:line="32" w:lineRule="exact"/>
        <w:rPr>
          <w:sz w:val="20"/>
          <w:szCs w:val="20"/>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registration statement contains two prospectuses:</w:t>
      </w:r>
    </w:p>
    <w:p>
      <w:pPr>
        <w:spacing w:after="0" w:line="225" w:lineRule="exact"/>
        <w:rPr>
          <w:sz w:val="20"/>
          <w:szCs w:val="20"/>
          <w:color w:val="auto"/>
        </w:rPr>
      </w:pPr>
    </w:p>
    <w:p>
      <w:pPr>
        <w:ind w:left="1260" w:hanging="420"/>
        <w:spacing w:after="0" w:line="277"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us of up to $400,000,000 of our Class A common stock, preferred stock, purchase contracts, warrants, subscriptions rights, depositary shares, debt securities and/or units; and</w:t>
      </w:r>
    </w:p>
    <w:p>
      <w:pPr>
        <w:spacing w:after="0" w:line="170" w:lineRule="exact"/>
        <w:rPr>
          <w:rFonts w:ascii="Arial" w:cs="Arial" w:eastAsia="Arial" w:hAnsi="Arial"/>
          <w:sz w:val="18"/>
          <w:szCs w:val="18"/>
          <w:color w:val="auto"/>
        </w:rPr>
      </w:pPr>
    </w:p>
    <w:p>
      <w:pPr>
        <w:jc w:val="both"/>
        <w:ind w:left="1260" w:hanging="420"/>
        <w:spacing w:after="0" w:line="263"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sales agreement prospectus covering the offering, issuance and sale by the Registrant of up to $150,000,000 of our Class A common stock that may be issued and sold under a sales agreement with Cantor Fitzgerald &amp; Co., H.C. Wainwright &amp; Co., LLC, and D.A. Davidson &amp; Co.</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base prospectus immediately follows this explanatory note. The sales agreement prospectus immediately follows the base prospectus. The $150,000,000 of Class A common stock that may be offered, issued and sold by us under the sales agreement prospectus is included in the $400,000,000 of securities that may be offered, issued and sold by us under the base prospectus. The sales agreement prospectus includes the base prospectus, except that the sales agreement prospectus contains a different front and back cover page, and sets forth additional information in the sections titled “About this Prospectus,” “The Offering,” “Risk Factors,” “Use of Proceeds,” “Dilution,” “Plan of Distribution” and “Legal Matters.” The cover pages and such additional information contained in the sales agreement prospectus are set forth in the pages following the base prospectus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89" w:lineRule="auto"/>
        <w:rPr>
          <w:sz w:val="20"/>
          <w:szCs w:val="20"/>
          <w:color w:val="auto"/>
        </w:rPr>
      </w:pPr>
      <w:r>
        <w:rPr>
          <w:rFonts w:ascii="Arial" w:cs="Arial" w:eastAsia="Arial" w:hAnsi="Arial"/>
          <w:sz w:val="17"/>
          <w:szCs w:val="17"/>
          <w:b w:val="1"/>
          <w:bCs w:val="1"/>
          <w:color w:val="FF0000"/>
        </w:rPr>
        <w:t>The information in this prospectus is not complete and may be changed. We may not sell the securities until the Registration Statement filed with the Securities and Exchange Commission, of which this prospectus is a part, is effective. This prospectus is not an offer to sell these securities and is not soliciting an offer to buy these securities in any state where the offer or sale is not permitted.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0000"/>
        </w:rPr>
        <w:t>SUBJECT TO COMPLETION, DATED JULY 24,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$400,000,000</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CLASS A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offer and sell from time to time, in one or more series, any one of the following securities of SoundHound AI, Inc. (“SoundHound AI,” the “Company,” “we,” “us” or “our”), for total gross proceeds of up to $400,000,000:</w:t>
      </w:r>
    </w:p>
    <w:p>
      <w:pPr>
        <w:spacing w:after="0" w:line="170" w:lineRule="exact"/>
        <w:rPr>
          <w:sz w:val="20"/>
          <w:szCs w:val="20"/>
          <w:color w:val="auto"/>
        </w:rPr>
      </w:pPr>
    </w:p>
    <w:p>
      <w:pPr>
        <w:ind w:left="1000" w:hanging="344"/>
        <w:spacing w:after="0"/>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Class A common stock, par value $0.0001 per share (the “Class A Shares,” the “Class A Common Stock” or the “Common Stock”);</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securities;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rights to purchase any of the foregoing securities;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225" w:lineRule="exact"/>
        <w:rPr>
          <w:rFonts w:ascii="Arial" w:cs="Arial" w:eastAsia="Arial" w:hAnsi="Arial"/>
          <w:sz w:val="18"/>
          <w:szCs w:val="18"/>
          <w:color w:val="auto"/>
        </w:rPr>
      </w:pPr>
    </w:p>
    <w:p>
      <w:pPr>
        <w:ind w:left="1000" w:right="20" w:hanging="344"/>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23" w:lineRule="exact"/>
        <w:rPr>
          <w:rFonts w:ascii="Arial" w:cs="Arial" w:eastAsia="Arial" w:hAnsi="Arial"/>
          <w:sz w:val="16"/>
          <w:szCs w:val="16"/>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 comprised of, or other combinations of, the foregoing securities.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or directly to purchasers.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Each time our securities are offered, we will provide a prospectus supplement containing more specific information about the particular offering and attach it to this prospectus. The prospectus supplements may also add, update or change information contained in this prospectus.</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This prospectus may not be used to offer or sell securities without a prospectus supplement which includes a description of the method and terms of this offering.</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Class A Common Stock is listed on the Global Market of The Nasdaq Stock Market LLC (“Nasdaq”) under the symbol “SOUN.” The last reported sale price of our Class A Common Stock on July 11, 2023 was $3.53 per share. Our listed redeemable warrants are listed on the Nasdaq Global Market under the symbol “SOUNW.”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648"/>
        <w:spacing w:after="0" w:line="263" w:lineRule="auto"/>
        <w:rPr>
          <w:sz w:val="20"/>
          <w:szCs w:val="20"/>
          <w:color w:val="auto"/>
        </w:rPr>
      </w:pPr>
      <w:r>
        <w:rPr>
          <w:rFonts w:ascii="Arial" w:cs="Arial" w:eastAsia="Arial" w:hAnsi="Arial"/>
          <w:sz w:val="18"/>
          <w:szCs w:val="18"/>
          <w:color w:val="auto"/>
        </w:rPr>
        <w:t>If we decide to seek a listing of any preferred stock, purchase contracts, warrants, subscriptions rights, depositary shares, debt securities or units offered by this prospectus, the related prospectus supplement will disclose the exchange or market on which the securities will be listed, if any, or where we have made an application for listing, if any.</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certain risks. See “Risk Factors” beginning on page 5 and the risk factors in our most recent Annual Report on Form 10-K, which is incorporated by reference herein, as well as in any other recently filed quarterly or current reports and, if any, in the relevant prospectus supplement. We urge you to carefully read this prospectus and the accompanying prospectus supplement, together with the documents we incorporate by reference, describing the terms of these securities before investing.</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The date of this Prospectus is _____________,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76"/>
        </w:trPr>
        <w:tc>
          <w:tcPr>
            <w:tcW w:w="452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About This Prospectus</w:t>
            </w:r>
          </w:p>
        </w:tc>
        <w:tc>
          <w:tcPr>
            <w:tcW w:w="56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520" w:type="dxa"/>
            <w:vAlign w:val="bottom"/>
            <w:tcBorders>
              <w:bottom w:val="single" w:sz="8" w:color="0000EE"/>
            </w:tcBorders>
            <w:gridSpan w:val="12"/>
          </w:tcPr>
          <w:p>
            <w:pPr>
              <w:spacing w:after="0" w:line="176" w:lineRule="exact"/>
              <w:rPr>
                <w:sz w:val="20"/>
                <w:szCs w:val="20"/>
                <w:color w:val="auto"/>
              </w:rPr>
            </w:pPr>
            <w:r>
              <w:rPr>
                <w:rFonts w:ascii="Arial" w:cs="Arial" w:eastAsia="Arial" w:hAnsi="Arial"/>
                <w:sz w:val="18"/>
                <w:szCs w:val="18"/>
                <w:color w:val="0000EE"/>
                <w:w w:val="90"/>
              </w:rPr>
              <w:t>Cautionary Statement Regarding Forward-Looking Statements</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rPr>
              <w:t>iii</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Prospectus Summary</w:t>
            </w:r>
          </w:p>
        </w:tc>
        <w:tc>
          <w:tcPr>
            <w:tcW w:w="2980" w:type="dxa"/>
            <w:vAlign w:val="bottom"/>
            <w:tcBorders>
              <w:bottom w:val="single" w:sz="8" w:color="CCEEFF"/>
            </w:tcBorders>
            <w:gridSpan w:val="5"/>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Arial" w:cs="Arial" w:eastAsia="Arial" w:hAnsi="Arial"/>
                <w:sz w:val="18"/>
                <w:szCs w:val="18"/>
                <w:color w:val="auto"/>
                <w:w w:val="99"/>
              </w:rPr>
              <w:t>1</w:t>
            </w:r>
          </w:p>
        </w:tc>
      </w:tr>
      <w:tr>
        <w:trPr>
          <w:trHeight w:val="175"/>
        </w:trPr>
        <w:tc>
          <w:tcPr>
            <w:tcW w:w="4520" w:type="dxa"/>
            <w:vAlign w:val="bottom"/>
            <w:gridSpan w:val="12"/>
          </w:tcPr>
          <w:p>
            <w:pPr>
              <w:spacing w:after="0" w:line="176" w:lineRule="exact"/>
              <w:rPr>
                <w:sz w:val="20"/>
                <w:szCs w:val="20"/>
                <w:color w:val="auto"/>
              </w:rPr>
            </w:pPr>
            <w:r>
              <w:rPr>
                <w:rFonts w:ascii="Arial" w:cs="Arial" w:eastAsia="Arial" w:hAnsi="Arial"/>
                <w:sz w:val="18"/>
                <w:szCs w:val="18"/>
                <w:color w:val="0000EE"/>
              </w:rPr>
              <w:t>Risk Factors</w:t>
            </w:r>
          </w:p>
        </w:tc>
        <w:tc>
          <w:tcPr>
            <w:tcW w:w="6720" w:type="dxa"/>
            <w:vAlign w:val="bottom"/>
            <w:gridSpan w:val="2"/>
          </w:tcPr>
          <w:p>
            <w:pPr>
              <w:jc w:val="center"/>
              <w:ind w:left="5490"/>
              <w:spacing w:after="0" w:line="176" w:lineRule="exact"/>
              <w:rPr>
                <w:sz w:val="20"/>
                <w:szCs w:val="20"/>
                <w:color w:val="auto"/>
              </w:rPr>
            </w:pPr>
            <w:r>
              <w:rPr>
                <w:rFonts w:ascii="Arial" w:cs="Arial" w:eastAsia="Arial" w:hAnsi="Arial"/>
                <w:sz w:val="18"/>
                <w:szCs w:val="18"/>
                <w:color w:val="auto"/>
                <w:w w:val="99"/>
              </w:rPr>
              <w:t>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87"/>
              </w:rPr>
              <w:t>Use of Proceeds</w:t>
            </w:r>
          </w:p>
        </w:tc>
        <w:tc>
          <w:tcPr>
            <w:tcW w:w="3340" w:type="dxa"/>
            <w:vAlign w:val="bottom"/>
            <w:tcBorders>
              <w:bottom w:val="single" w:sz="8" w:color="CCEEFF"/>
            </w:tcBorders>
            <w:gridSpan w:val="8"/>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Arial" w:cs="Arial" w:eastAsia="Arial" w:hAnsi="Arial"/>
                <w:sz w:val="18"/>
                <w:szCs w:val="18"/>
                <w:color w:val="auto"/>
                <w:w w:val="99"/>
              </w:rPr>
              <w:t>6</w:t>
            </w:r>
          </w:p>
        </w:tc>
      </w:tr>
      <w:tr>
        <w:trPr>
          <w:trHeight w:val="176"/>
        </w:trPr>
        <w:tc>
          <w:tcPr>
            <w:tcW w:w="4520" w:type="dxa"/>
            <w:vAlign w:val="bottom"/>
            <w:gridSpan w:val="12"/>
          </w:tcPr>
          <w:p>
            <w:pPr>
              <w:spacing w:after="0" w:line="176" w:lineRule="exact"/>
              <w:rPr>
                <w:sz w:val="20"/>
                <w:szCs w:val="20"/>
                <w:color w:val="auto"/>
              </w:rPr>
            </w:pPr>
            <w:r>
              <w:rPr>
                <w:rFonts w:ascii="Arial" w:cs="Arial" w:eastAsia="Arial" w:hAnsi="Arial"/>
                <w:sz w:val="18"/>
                <w:szCs w:val="18"/>
                <w:color w:val="0000EE"/>
              </w:rPr>
              <w:t>Plan of Distribution</w:t>
            </w:r>
          </w:p>
        </w:tc>
        <w:tc>
          <w:tcPr>
            <w:tcW w:w="6720" w:type="dxa"/>
            <w:vAlign w:val="bottom"/>
            <w:gridSpan w:val="2"/>
          </w:tcPr>
          <w:p>
            <w:pPr>
              <w:jc w:val="center"/>
              <w:ind w:left="5490"/>
              <w:spacing w:after="0" w:line="176" w:lineRule="exact"/>
              <w:rPr>
                <w:sz w:val="20"/>
                <w:szCs w:val="20"/>
                <w:color w:val="auto"/>
              </w:rPr>
            </w:pPr>
            <w:r>
              <w:rPr>
                <w:rFonts w:ascii="Arial" w:cs="Arial" w:eastAsia="Arial" w:hAnsi="Arial"/>
                <w:sz w:val="18"/>
                <w:szCs w:val="18"/>
                <w:color w:val="auto"/>
                <w:w w:val="99"/>
              </w:rPr>
              <w:t>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2"/>
              </w:rPr>
              <w:t>Description of Securities We May Offer</w:t>
            </w:r>
          </w:p>
        </w:tc>
        <w:tc>
          <w:tcPr>
            <w:tcW w:w="1640" w:type="dxa"/>
            <w:vAlign w:val="bottom"/>
            <w:tcBorders>
              <w:bottom w:val="single" w:sz="8" w:color="CCEEFF"/>
            </w:tcBorders>
            <w:gridSpan w:val="3"/>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4520" w:type="dxa"/>
            <w:vAlign w:val="bottom"/>
            <w:gridSpan w:val="12"/>
          </w:tcPr>
          <w:p>
            <w:pPr>
              <w:spacing w:after="0" w:line="176" w:lineRule="exact"/>
              <w:rPr>
                <w:sz w:val="20"/>
                <w:szCs w:val="20"/>
                <w:color w:val="auto"/>
              </w:rPr>
            </w:pPr>
            <w:r>
              <w:rPr>
                <w:rFonts w:ascii="Arial" w:cs="Arial" w:eastAsia="Arial" w:hAnsi="Arial"/>
                <w:sz w:val="18"/>
                <w:szCs w:val="18"/>
                <w:color w:val="0000EE"/>
              </w:rPr>
              <w:t>Forms of Securities</w:t>
            </w:r>
          </w:p>
        </w:tc>
        <w:tc>
          <w:tcPr>
            <w:tcW w:w="6720" w:type="dxa"/>
            <w:vAlign w:val="bottom"/>
            <w:gridSpan w:val="2"/>
          </w:tcPr>
          <w:p>
            <w:pPr>
              <w:jc w:val="center"/>
              <w:ind w:left="5490"/>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Legal Matters</w:t>
            </w:r>
          </w:p>
        </w:tc>
        <w:tc>
          <w:tcPr>
            <w:tcW w:w="3500" w:type="dxa"/>
            <w:vAlign w:val="bottom"/>
            <w:tcBorders>
              <w:bottom w:val="single" w:sz="8" w:color="CCEEFF"/>
            </w:tcBorders>
            <w:gridSpan w:val="9"/>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4520" w:type="dxa"/>
            <w:vAlign w:val="bottom"/>
            <w:gridSpan w:val="12"/>
          </w:tcPr>
          <w:p>
            <w:pPr>
              <w:spacing w:after="0" w:line="176" w:lineRule="exact"/>
              <w:rPr>
                <w:sz w:val="20"/>
                <w:szCs w:val="20"/>
                <w:color w:val="auto"/>
              </w:rPr>
            </w:pPr>
            <w:r>
              <w:rPr>
                <w:rFonts w:ascii="Arial" w:cs="Arial" w:eastAsia="Arial" w:hAnsi="Arial"/>
                <w:sz w:val="18"/>
                <w:szCs w:val="18"/>
                <w:color w:val="0000EE"/>
              </w:rPr>
              <w:t>Experts</w:t>
            </w:r>
          </w:p>
        </w:tc>
        <w:tc>
          <w:tcPr>
            <w:tcW w:w="6720" w:type="dxa"/>
            <w:vAlign w:val="bottom"/>
            <w:gridSpan w:val="2"/>
          </w:tcPr>
          <w:p>
            <w:pPr>
              <w:jc w:val="center"/>
              <w:ind w:left="5490"/>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2"/>
              </w:rPr>
              <w:t>Where You Can Find Additional Information</w:t>
            </w:r>
          </w:p>
        </w:tc>
        <w:tc>
          <w:tcPr>
            <w:tcW w:w="128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3080" w:type="dxa"/>
            <w:vAlign w:val="bottom"/>
            <w:tcBorders>
              <w:bottom w:val="single" w:sz="8" w:color="0000EE"/>
            </w:tcBorders>
            <w:gridSpan w:val="10"/>
          </w:tcPr>
          <w:p>
            <w:pPr>
              <w:spacing w:after="0" w:line="176" w:lineRule="exact"/>
              <w:rPr>
                <w:sz w:val="20"/>
                <w:szCs w:val="20"/>
                <w:color w:val="auto"/>
              </w:rPr>
            </w:pPr>
            <w:r>
              <w:rPr>
                <w:rFonts w:ascii="Arial" w:cs="Arial" w:eastAsia="Arial" w:hAnsi="Arial"/>
                <w:sz w:val="18"/>
                <w:szCs w:val="18"/>
                <w:color w:val="0000EE"/>
                <w:w w:val="91"/>
              </w:rPr>
              <w:t>Incorporation of Documents By Reference</w:t>
            </w:r>
          </w:p>
        </w:tc>
        <w:tc>
          <w:tcPr>
            <w:tcW w:w="1440" w:type="dxa"/>
            <w:vAlign w:val="bottom"/>
            <w:gridSpan w:val="2"/>
          </w:tcPr>
          <w:p>
            <w:pPr>
              <w:spacing w:after="0"/>
              <w:rPr>
                <w:sz w:val="15"/>
                <w:szCs w:val="15"/>
                <w:color w:val="auto"/>
              </w:rPr>
            </w:pPr>
          </w:p>
        </w:tc>
        <w:tc>
          <w:tcPr>
            <w:tcW w:w="6720" w:type="dxa"/>
            <w:vAlign w:val="bottom"/>
            <w:gridSpan w:val="2"/>
          </w:tcPr>
          <w:p>
            <w:pPr>
              <w:jc w:val="center"/>
              <w:ind w:left="5490"/>
              <w:spacing w:after="0" w:line="176" w:lineRule="exact"/>
              <w:rPr>
                <w:sz w:val="20"/>
                <w:szCs w:val="20"/>
                <w:color w:val="auto"/>
              </w:rPr>
            </w:pPr>
            <w:r>
              <w:rPr>
                <w:rFonts w:ascii="Arial" w:cs="Arial" w:eastAsia="Arial" w:hAnsi="Arial"/>
                <w:sz w:val="18"/>
                <w:szCs w:val="18"/>
                <w:color w:val="auto"/>
                <w:w w:val="89"/>
              </w:rPr>
              <w:t>25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60"/>
        <w:spacing w:after="0" w:line="25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SEC, utilizing a “shelf” registration process. Under this shelf registration process, we may offer and sell, either individually or in combination, in one or more offerings, any of the securities described in this prospectus, for total gross proceeds of up to $400,000,000. This prospectus provides you with a general description of the securities we may offer. Each time we offer securities under this prospectus, we will provide a prospectus supplement to this prospectus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w:t>
      </w:r>
    </w:p>
    <w:p>
      <w:pPr>
        <w:spacing w:after="0" w:line="192" w:lineRule="exact"/>
        <w:rPr>
          <w:sz w:val="20"/>
          <w:szCs w:val="20"/>
          <w:color w:val="auto"/>
        </w:rPr>
      </w:pPr>
    </w:p>
    <w:p>
      <w:pPr>
        <w:jc w:val="both"/>
        <w:ind w:firstLine="660"/>
        <w:spacing w:after="0" w:line="293" w:lineRule="auto"/>
        <w:rPr>
          <w:sz w:val="20"/>
          <w:szCs w:val="20"/>
          <w:color w:val="auto"/>
        </w:rPr>
      </w:pPr>
      <w:r>
        <w:rPr>
          <w:rFonts w:ascii="Arial" w:cs="Arial" w:eastAsia="Arial" w:hAnsi="Arial"/>
          <w:sz w:val="16"/>
          <w:szCs w:val="16"/>
          <w:color w:val="auto"/>
        </w:rPr>
        <w:t>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Documents by Reference,” before investing in any of the securities being offered. 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157" w:lineRule="exact"/>
        <w:rPr>
          <w:sz w:val="20"/>
          <w:szCs w:val="20"/>
          <w:color w:val="auto"/>
        </w:rPr>
      </w:pPr>
    </w:p>
    <w:p>
      <w:pPr>
        <w:jc w:val="both"/>
        <w:ind w:firstLine="660"/>
        <w:spacing w:after="0" w:line="277" w:lineRule="auto"/>
        <w:rPr>
          <w:sz w:val="20"/>
          <w:szCs w:val="20"/>
          <w:color w:val="auto"/>
        </w:rPr>
      </w:pPr>
      <w:r>
        <w:rPr>
          <w:rFonts w:ascii="Arial" w:cs="Arial" w:eastAsia="Arial" w:hAnsi="Arial"/>
          <w:sz w:val="18"/>
          <w:szCs w:val="18"/>
          <w:color w:val="auto"/>
        </w:rPr>
        <w:t>This prospectus contains, or incorporates by reference, trademarks, tradenames, service marks and service names of SoundHound AI and its subsidiaries.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and the documents incorporated by reference herein contain or may contain forward 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spacing w:after="0" w:line="12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execution of our business strategy, including launching new product offerings and expanding information and technology capabilities;</w:t>
      </w:r>
    </w:p>
    <w:p>
      <w:pPr>
        <w:spacing w:after="0" w:line="155"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impact of our growth initiatives on our future financial performance;</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trade secrets;</w:t>
      </w:r>
    </w:p>
    <w:p>
      <w:pPr>
        <w:spacing w:after="0" w:line="14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additional capital, including equity or debt financing, on terms that are acceptable to us, if at all, particularly in light of inflationary pressures and resulting increases in the cost of borrowing;</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applicable laws or regulations and extensive and evolving government regulations that impact our operations and business;</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 particularly following our recent restructuring efforts;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our customers to use competitors’ services;</w:t>
      </w:r>
    </w:p>
    <w:p>
      <w:pPr>
        <w:spacing w:after="0" w:line="15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 including with respect to our AI technology;</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and the COVID-19 pandemic or any similar public health developments on our business;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uncertainty of our estimates of market opportunity and forecasts of market growth;</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Global Market;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titled “Risk Factors” in this prospectus.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and the documents incorporated by reference herein,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in particular, the risks discussed below and under the heading “Risk Factors” and those discussed in other documents we file with the SEC. The following discussion should be read in conjunction with the consolidated financial statements for the fiscal years ended December 31, 2022 and 2021 and notes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forward-looking statement you read in this prospectus, any prospectus supplement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36130" cy="6450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45033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used herein, and any amendment or supplement hereto, unless otherwise indicated, “we,” “us,” “our,” the “Company,” or “SoundHound AI” means SoundHound AI, Inc. and its subsidiaries. Unless otherwise indicated, all references in this prospectus to “dollars” or “$” refer to US dollars.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Collective AI, Dynamic Interaction and Chat AI breakthrough technologies developed over the past 17 years, our advanced Voice AI platform provides exceptional speed and accuracy and enables humans to interact with products and services like they interact with each other — by speaking naturally.</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SoundHound’s technology is live in production and at scale with companies around the globe, including Hyundai, Pandora, Snap, VIZIO, Square, Toast, Oracle, KIA and Stellantis. We have seen significant inflection in customer adoption of our technology, as measured through activity on our platform, which surpassed 1 billion annual queries in 2021 and experienced over 85% growth during 2022.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partners span multiple industries and geographies, and together have a combined reach of over 2 billion end users.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6" w:right="439" w:bottom="1440" w:gutter="0" w:footer="0" w:header="0"/>
        </w:sectPr>
      </w:pPr>
    </w:p>
    <w:bookmarkStart w:id="10" w:name="page11"/>
    <w:bookmarkEnd w:id="10"/>
    <w:p>
      <w:pPr>
        <w:jc w:val="both"/>
        <w:ind w:firstLine="64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450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450330"/>
                    </a:xfrm>
                    <a:prstGeom prst="rect">
                      <a:avLst/>
                    </a:prstGeom>
                    <a:noFill/>
                  </pic:spPr>
                </pic:pic>
              </a:graphicData>
            </a:graphic>
          </wp:anchor>
        </w:drawing>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by enabling them to offer disruptive technologies to their users while maintaining control of their brand and user experience.</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48895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30" w:right="4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439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4392930"/>
                    </a:xfrm>
                    <a:prstGeom prst="rect">
                      <a:avLst/>
                    </a:prstGeom>
                    <a:noFill/>
                  </pic:spPr>
                </pic:pic>
              </a:graphicData>
            </a:graphic>
          </wp:anchor>
        </w:drawing>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Houndify platform, SoundHound Ai’s Voice AI platform, </w:t>
      </w:r>
      <w:r>
        <w:rPr>
          <w:rFonts w:ascii="Arial" w:cs="Arial" w:eastAsia="Arial" w:hAnsi="Arial"/>
          <w:sz w:val="18"/>
          <w:szCs w:val="18"/>
          <w:color w:val="auto"/>
        </w:rPr>
        <w:t>combines advanced AI with engineering expertise to help brands build conversational</w:t>
      </w:r>
      <w:r>
        <w:rPr>
          <w:rFonts w:ascii="Arial" w:cs="Arial" w:eastAsia="Arial" w:hAnsi="Arial"/>
          <w:sz w:val="18"/>
          <w:szCs w:val="18"/>
          <w:i w:val="1"/>
          <w:iCs w:val="1"/>
          <w:color w:val="auto"/>
        </w:rPr>
        <w:t xml:space="preserve"> </w:t>
      </w:r>
      <w:r>
        <w:rPr>
          <w:rFonts w:ascii="Arial" w:cs="Arial" w:eastAsia="Arial" w:hAnsi="Arial"/>
          <w:sz w:val="18"/>
          <w:szCs w:val="18"/>
          <w:color w:val="auto"/>
        </w:rPr>
        <w:t>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Automatic Speech Recognition, </w:t>
      </w:r>
      <w:r>
        <w:rPr>
          <w:rFonts w:ascii="Arial" w:cs="Arial" w:eastAsia="Arial" w:hAnsi="Arial"/>
          <w:sz w:val="18"/>
          <w:szCs w:val="18"/>
          <w:color w:val="auto"/>
        </w:rPr>
        <w:t>our highly optimized, tunable, and scalable ASR engine, supports vocabulary sizes containing millions of</w:t>
      </w:r>
      <w:r>
        <w:rPr>
          <w:rFonts w:ascii="Arial" w:cs="Arial" w:eastAsia="Arial" w:hAnsi="Arial"/>
          <w:sz w:val="18"/>
          <w:szCs w:val="18"/>
          <w:i w:val="1"/>
          <w:iCs w:val="1"/>
          <w:color w:val="auto"/>
        </w:rPr>
        <w:t xml:space="preserve"> </w:t>
      </w:r>
      <w:r>
        <w:rPr>
          <w:rFonts w:ascii="Arial" w:cs="Arial" w:eastAsia="Arial" w:hAnsi="Arial"/>
          <w:sz w:val="18"/>
          <w:szCs w:val="18"/>
          <w:color w:val="auto"/>
        </w:rPr>
        <w:t>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Natural Language Understanding (“NLU”)</w:t>
      </w:r>
      <w:r>
        <w:rPr>
          <w:rFonts w:ascii="Arial" w:cs="Arial" w:eastAsia="Arial" w:hAnsi="Arial"/>
          <w:sz w:val="17"/>
          <w:szCs w:val="17"/>
          <w:color w:val="auto"/>
        </w:rPr>
        <w:t>,</w:t>
      </w:r>
      <w:r>
        <w:rPr>
          <w:rFonts w:ascii="Arial" w:cs="Arial" w:eastAsia="Arial" w:hAnsi="Arial"/>
          <w:sz w:val="17"/>
          <w:szCs w:val="17"/>
          <w:i w:val="1"/>
          <w:iCs w:val="1"/>
          <w:color w:val="auto"/>
        </w:rPr>
        <w:t xml:space="preserve"> o</w:t>
      </w:r>
      <w:r>
        <w:rPr>
          <w:rFonts w:ascii="Arial" w:cs="Arial" w:eastAsia="Arial" w:hAnsi="Arial"/>
          <w:sz w:val="17"/>
          <w:szCs w:val="17"/>
          <w:color w:val="auto"/>
        </w:rPr>
        <w:t>ur proprietary Speech-to-Meaning technology, tracks speech in real-time and understands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30" w:right="439" w:bottom="1440" w:gutter="0" w:footer="0" w:header="0"/>
        </w:sectPr>
      </w:pPr>
    </w:p>
    <w:bookmarkStart w:id="12" w:name="page13"/>
    <w:bookmarkEnd w:id="12"/>
    <w:p>
      <w:pPr>
        <w:jc w:val="both"/>
        <w:ind w:firstLine="648"/>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425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4255770"/>
                    </a:xfrm>
                    <a:prstGeom prst="rect">
                      <a:avLst/>
                    </a:prstGeom>
                    <a:noFill/>
                  </pic:spPr>
                </pic:pic>
              </a:graphicData>
            </a:graphic>
          </wp:anchor>
        </w:drawing>
        <w:t xml:space="preserve">Wake Words </w:t>
      </w:r>
      <w:r>
        <w:rPr>
          <w:rFonts w:ascii="Arial" w:cs="Arial" w:eastAsia="Arial" w:hAnsi="Arial"/>
          <w:sz w:val="17"/>
          <w:szCs w:val="17"/>
          <w:color w:val="auto"/>
        </w:rPr>
        <w:t>are the entry point into branded voice experiences, allowing users to invoke the assistant by literally speaking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Custom Domains, </w:t>
      </w:r>
      <w:r>
        <w:rPr>
          <w:rFonts w:ascii="Arial" w:cs="Arial" w:eastAsia="Arial" w:hAnsi="Arial"/>
          <w:sz w:val="17"/>
          <w:szCs w:val="17"/>
          <w:color w:val="auto"/>
        </w:rPr>
        <w:t>a library of over 100 public domains, is available with a free Houndify account. Houndify public domains give developers</w:t>
      </w:r>
      <w:r>
        <w:rPr>
          <w:rFonts w:ascii="Arial" w:cs="Arial" w:eastAsia="Arial" w:hAnsi="Arial"/>
          <w:sz w:val="17"/>
          <w:szCs w:val="17"/>
          <w:i w:val="1"/>
          <w:iCs w:val="1"/>
          <w:color w:val="auto"/>
        </w:rPr>
        <w:t xml:space="preserve"> </w:t>
      </w:r>
      <w:r>
        <w:rPr>
          <w:rFonts w:ascii="Arial" w:cs="Arial" w:eastAsia="Arial" w:hAnsi="Arial"/>
          <w:sz w:val="17"/>
          <w:szCs w:val="17"/>
          <w:color w:val="auto"/>
        </w:rPr>
        <w:t>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Text-to-speech (“TTS”). </w:t>
      </w:r>
      <w:r>
        <w:rPr>
          <w:rFonts w:ascii="Arial" w:cs="Arial" w:eastAsia="Arial" w:hAnsi="Arial"/>
          <w:sz w:val="18"/>
          <w:szCs w:val="18"/>
          <w:color w:val="auto"/>
        </w:rPr>
        <w:t>A high-quality TTS helps companies create a unique voice that differentiates them from the competition. Brands can</w:t>
      </w:r>
      <w:r>
        <w:rPr>
          <w:rFonts w:ascii="Arial" w:cs="Arial" w:eastAsia="Arial" w:hAnsi="Arial"/>
          <w:sz w:val="18"/>
          <w:szCs w:val="18"/>
          <w:i w:val="1"/>
          <w:iCs w:val="1"/>
          <w:color w:val="auto"/>
        </w:rPr>
        <w:t xml:space="preserve"> </w:t>
      </w:r>
      <w:r>
        <w:rPr>
          <w:rFonts w:ascii="Arial" w:cs="Arial" w:eastAsia="Arial" w:hAnsi="Arial"/>
          <w:sz w:val="18"/>
          <w:szCs w:val="18"/>
          <w:color w:val="auto"/>
        </w:rPr>
        <w:t>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0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Edge (Embedded) </w:t>
      </w:r>
      <w:r>
        <w:rPr>
          <w:rFonts w:ascii="Arial" w:cs="Arial" w:eastAsia="Arial" w:hAnsi="Arial"/>
          <w:sz w:val="16"/>
          <w:szCs w:val="16"/>
          <w:color w:val="auto"/>
        </w:rPr>
        <w:t>is a fully-embedded voice solution for brands seeking the convenience of a voice user interface without the privacy or</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concerns of the internet. Edge includes full access to custom commands and the ability to instantly update commands during development.</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To harness the capabilities of full cloud connectivity with the reliability of embedded voice technology. </w:t>
      </w:r>
      <w:r>
        <w:rPr>
          <w:rFonts w:ascii="Arial" w:cs="Arial" w:eastAsia="Arial" w:hAnsi="Arial"/>
          <w:sz w:val="18"/>
          <w:szCs w:val="18"/>
          <w:i w:val="1"/>
          <w:iCs w:val="1"/>
          <w:color w:val="auto"/>
        </w:rPr>
        <w:t>Houndify Edge Hybrid</w:t>
      </w:r>
      <w:r>
        <w:rPr>
          <w:rFonts w:ascii="Arial" w:cs="Arial" w:eastAsia="Arial" w:hAnsi="Arial"/>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executive offices are located at 5400 Betsy Ross Drive, Santa Clara, CA 95054, and our telephone number is (408) 441-3200.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corporate website address is </w:t>
      </w:r>
      <w:r>
        <w:rPr>
          <w:rFonts w:ascii="Arial" w:cs="Arial" w:eastAsia="Arial" w:hAnsi="Arial"/>
          <w:sz w:val="16"/>
          <w:szCs w:val="16"/>
          <w:i w:val="1"/>
          <w:iCs w:val="1"/>
          <w:color w:val="auto"/>
        </w:rPr>
        <w:t>www.soundhound.com</w:t>
      </w:r>
      <w:r>
        <w:rPr>
          <w:rFonts w:ascii="Arial" w:cs="Arial" w:eastAsia="Arial" w:hAnsi="Arial"/>
          <w:sz w:val="16"/>
          <w:szCs w:val="16"/>
          <w:color w:val="auto"/>
        </w:rPr>
        <w:t>. The information contained on or accessible through our website is not a part of this prospectus.</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49"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carefully consider the risk factors we describe in any prospectus supplement and in any related free writing prospectus for a specific offering of securities, as well as those incorporated by reference into this prospectus and any prospectus supplement.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 incorporated by reference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otherwise indicated in a prospectus supplement, we intend to use the net proceeds from these sales for general corporate purposes, which may include, without limitation, investing in or acquiring companies that are synergistic with or complementary to our business and working capital. The amounts and timing of these expenditures will depend on numerous factors, including the development of our current business initiatives. We have no specific acquisition contemplated at this time. Pending use of the net proceeds, we intend to invest the net proceeds in short-term, interest-bearing, investment-grade securities or in cash or money market funds.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rights to purchase and subscriptions. In addition, the manner in which we may sell some or all of the securities covered by this prospectus includes, without limitation, through:</w:t>
      </w:r>
    </w:p>
    <w:p>
      <w:pPr>
        <w:spacing w:after="0" w:line="187" w:lineRule="exact"/>
        <w:rPr>
          <w:sz w:val="20"/>
          <w:szCs w:val="20"/>
          <w:color w:val="auto"/>
        </w:rPr>
      </w:pPr>
    </w:p>
    <w:p>
      <w:pPr>
        <w:ind w:left="1000" w:right="20" w:hanging="344"/>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 or</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prospectus supplement or supplements with respect to each series of securities will describe the terms of the offering, including, to the extent applicable:</w:t>
      </w:r>
    </w:p>
    <w:p>
      <w:pPr>
        <w:spacing w:after="0" w:line="170" w:lineRule="exact"/>
        <w:rPr>
          <w:sz w:val="20"/>
          <w:szCs w:val="20"/>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name or names of the underwriters or agents and the amounts of securities underwritten or purchased by each of them, if any;</w:t>
      </w:r>
    </w:p>
    <w:p>
      <w:pPr>
        <w:spacing w:after="0" w:line="236" w:lineRule="exact"/>
        <w:rPr>
          <w:rFonts w:ascii="Arial" w:cs="Arial" w:eastAsia="Arial" w:hAnsi="Arial"/>
          <w:sz w:val="17"/>
          <w:szCs w:val="17"/>
          <w:color w:val="auto"/>
        </w:rPr>
      </w:pPr>
    </w:p>
    <w:p>
      <w:pPr>
        <w:ind w:left="1000" w:right="20" w:hanging="344"/>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or other consideration therefor, and the proceeds to be received by us from the sale;</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delayed delivery requirements;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70" w:lineRule="exact"/>
        <w:rPr>
          <w:sz w:val="20"/>
          <w:szCs w:val="20"/>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an “at the market” offering within the meaning of Rule 415(a)(4) of the Securities Act of 1933, as amended, or the Securities Act;</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and Agents; Direct Sales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sell the offered securities to dealers as principals. The dealer may then resell such securities to the public either at varying prices to be determined by the dealer or at a fixed offering price agreed to with us at the time of resale.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Other Relationships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This includes commercial banking and investment banking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is currently no market for any of the offered securities, other than our Class A common stock and redeemable listed warrants, which are quoted on the Nasdaq Global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54"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Securities Exchange Act of 1934, as amended, or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underwriters or agents that are qualified market makers on the Nasdaq Global Market may engage in passive market making transactions in our Class A Common Stock or redeemable listed warrants on the Nasdaq Global Market in accordance with Regulation M under the Exchange Act, during the business day prior to the pricing of the offering, before the commencement of offers or sales of our Class A Common Stock or redeemable listed warrants.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Commissions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DESCRIPTION OF SECURITIES WE MAY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prospectus describes the general terms of our capital stock. The following description is not complete and may not contain all the information you should consider before investing in our capital stock. For a more detailed description of these securities, you should read the applicable provisions of Delaware law and our second amended and restated certificate of incorporation, referred to herein as our charter, and our amended and restated bylaws, referred to herein as our bylaws.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directly or through agents, dealers or underwriters designated from time to time, may offer, issue and sell, together or separately, up to $400,000,000 in the aggregate of:</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subscription rights to purchase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units comprised of, or other combinations of, the foregoing securities.</w:t>
      </w:r>
    </w:p>
    <w:p>
      <w:pPr>
        <w:spacing w:after="0" w:line="225" w:lineRule="exact"/>
        <w:rPr>
          <w:sz w:val="20"/>
          <w:szCs w:val="20"/>
          <w:color w:val="auto"/>
        </w:rPr>
      </w:pPr>
    </w:p>
    <w:p>
      <w:pPr>
        <w:jc w:val="both"/>
        <w:ind w:firstLine="660"/>
        <w:spacing w:after="0" w:line="257" w:lineRule="auto"/>
        <w:rPr>
          <w:sz w:val="20"/>
          <w:szCs w:val="20"/>
          <w:color w:val="auto"/>
        </w:rPr>
      </w:pPr>
      <w:r>
        <w:rPr>
          <w:rFonts w:ascii="Arial" w:cs="Arial" w:eastAsia="Arial" w:hAnsi="Arial"/>
          <w:sz w:val="18"/>
          <w:szCs w:val="18"/>
          <w:color w:val="auto"/>
        </w:rPr>
        <w:t>We may issue the debt securities exchangeable for or convertible into shares of common stock, preferred stock or other securities that may be sold by us pursuant to this prospectus or any combination of the foregoing. The preferred stock may also be exchangeable for and/or convertible into shares of common stock, another series of preferred stock or other securities that may be sold by us pursuant to this prospectus or any combination of the foregoing. When a particular series of securities is offered, a supplement to this prospectus will be delivered with this prospectus, which will set forth the terms of the offering and sale of the offered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June 30, 2023, there were 194,064,576 shares of the Company’s Class A Common Stock issued and outstanding. In addition, there were 6,967,532 shares of Class A Common Stock issuable upon exercise of outstanding warrants, 19,260,877 shares of Class A Common Stock issuable upon exercise of outstanding stock options, and 11,779,718 shares of Class A Common Stock issuable upon vesting of restricted stock units.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88" w:lineRule="auto"/>
        <w:rPr>
          <w:sz w:val="20"/>
          <w:szCs w:val="20"/>
          <w:color w:val="auto"/>
        </w:rPr>
      </w:pPr>
      <w:r>
        <w:rPr>
          <w:rFonts w:ascii="Arial" w:cs="Arial" w:eastAsia="Arial" w:hAnsi="Arial"/>
          <w:sz w:val="16"/>
          <w:szCs w:val="16"/>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June 30, 2023, we have 1,000,000 shares of Series A Preferred Stock designated and 835,011 shares of Series A Preferred Stock outstanding (see below for a description of these securities). While all of our authorized shares of preferred stock are designated as Series A Preferred Stock, if any shares of Series A Preferred Stock are converted, redeemed or reacquired by us, such shares shall be deemed to be retired and cancelled and will resume the status of authorized but unissued shares of preferred stock and will no longer be designated as Series A Preferred Stock. Pursuant to our charter, our undesignated shares of preferred stock are “blank check” preferred stock which means that our board of directors are authorized, without further action by the stockholders, to establish one or more class or series, and fix the relative rights and preferences of the Company’s undesignated preferred stock.</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any offering of undesignated preferred stock, we will fix the rights, preferences, privileges and restrictions of the preferred stock of each series in the certificate of designation relating to that series. We will file as an exhibit to the registration statement of which this prospectus is a part, or will incorporate by reference from a current report on Form 8-K that we file with the SEC, the form of any certificate of designation that describes the terms of the series of preferred stock we are offering before the issuance of the related series of preferred stock. This description will include any or all of the following, as required:</w:t>
      </w:r>
    </w:p>
    <w:p>
      <w:pPr>
        <w:spacing w:after="0" w:line="18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contractual limitations on our ability to declare, set aside or pay any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for redemption or repurchase, if applicable, and any restrictions on our ability to exercise those redemption and repurchase rights;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the exchange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403" w:gutter="0" w:footer="0" w:header="0"/>
        </w:sectPr>
      </w:pPr>
    </w:p>
    <w:bookmarkStart w:id="20" w:name="page21"/>
    <w:bookmarkEnd w:id="20"/>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discussion of any material or special United States federal income tax considerations applicable to the preferred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issue shares of preferred stock under this prospectus, after receipt of payment therefor, the shares will be fully paid and non-assessable.</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Delaware General Corporation Law provides that the holders of preferred stock will have the right to vote separately as a class on any proposal involving fundamental changes in the rights of holders of that preferred stock. This right is in addition to any voting rights provided for in the applicable certificate of designation.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could have the effect of decreasing the market price of our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A Preferred Stock</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or around January 20, 2023 (the “PIPE Closing Date”), SoundHound AI entered into Preferred Stock Purchase Agreements with certain investors pursuant to which the Company issued and sold to the investors an aggregate of 835,011 shares of its newly designated Series A Convertible Preferred Stock, par value $0.0001 per share (the “Series A Preferred Stock”) for an aggregate issue price of approximately $25 million (the “Transaction”). On January 20, 2023, in connection with the Transaction,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w:t>
      </w:r>
    </w:p>
    <w:p>
      <w:pPr>
        <w:spacing w:after="0" w:line="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Each share of Series A Preferred Stock is convertible, at the option of the holder thereof, at any time on or after May 2, 2023 into such number of shares of Common Stock equal to the Liquidation Preference per share at the time of conversion divided by $1.00 (the “Conversion Price”) (the “Conversion Ratio”).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PIPE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1" w:name="page22"/>
    <w:bookmarkEnd w:id="21"/>
    <w:p>
      <w:pPr>
        <w:jc w:val="both"/>
        <w:ind w:firstLine="648"/>
        <w:spacing w:after="0" w:line="269" w:lineRule="auto"/>
        <w:rPr>
          <w:sz w:val="20"/>
          <w:szCs w:val="20"/>
          <w:color w:val="auto"/>
        </w:rPr>
      </w:pPr>
      <w:r>
        <w:rPr>
          <w:rFonts w:ascii="Arial" w:cs="Arial" w:eastAsia="Arial" w:hAnsi="Arial"/>
          <w:sz w:val="17"/>
          <w:szCs w:val="17"/>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1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Series A Preferred Stock will have preference over the Common Stock and the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Contracts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issue purchase contracts, representing contracts obligating holders to purchase from us, and us to sell to the holders, a specific or varying number of Class A Common Stock, preferred stock, warrants, depositary shares, debt securities, or any combination of the above, at a future date or dates. Alternatively, the purchase contracts may obligate us to purchase from holders, and obligate holders to sell to us, a specific or varying number of Class A Common Stock, preferred stock, warrants, depositary shares, debt securities, or any combination of the above. The price of the securities and other property subject to the purchase contracts may be fixed at the time the purchase contracts are issued or may be determined by reference to a specific formula set forth in the purchase contracts. The purchase contracts may be issued separately or as a part of a unit that consists of (a) a purchase contract and (b) one or more of the other securities that may be sold by us pursuant to this prospectus or any combination of the foregoing, which may secure the holders’ obligations to purchase the securities under the purchase contract. The purchase contracts may require us to make periodic payments to the holders or require the holders to make periodic payments to us. These payments may be unsecured or prefunded and may be paid on a current or on a deferred basis. The purchase contracts may require holders to secure their obligations under the contracts in a manner specified in the applicable prospectus supplement.</w:t>
      </w:r>
    </w:p>
    <w:p>
      <w:pPr>
        <w:spacing w:after="0" w:line="16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will file as exhibits to the registration statement of which this prospectus is a part, or will incorporate by reference from a current report on Form 8-K that we file with the SEC, forms of the purchase contracts and purchase contract agreement, if any. The applicable prospectus supplement will describe the terms of any purchase contracts in respect of which this prospectus is being delivered, including, to the extent applicable, the following:</w:t>
      </w:r>
    </w:p>
    <w:p>
      <w:pPr>
        <w:spacing w:after="0" w:line="149" w:lineRule="exact"/>
        <w:rPr>
          <w:sz w:val="20"/>
          <w:szCs w:val="20"/>
          <w:color w:val="auto"/>
        </w:rPr>
      </w:pPr>
    </w:p>
    <w:p>
      <w:pPr>
        <w:ind w:left="98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purchase contracts are to be prepaid or not;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warrants to purchase our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file as exhibits to the registration statement of which this prospectus is a part, or will incorporate by reference from a current report on Form 8-K that we file with the SEC, forms of the warrant and warrant agreement, if any. The prospectus supplement relating to any warrants that we may offer will contain the specific terms of the warrants and a description of the material provisions of the applicable warrant agreement, if any. These terms may include the following:</w:t>
      </w:r>
    </w:p>
    <w:p>
      <w:pPr>
        <w:spacing w:after="0" w:line="18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or other rights for which the warrants are exercisable;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or prices at which the securities or other rights purchasable upon exercise of the warrants may be purchased;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securities or other rights purchasable upon exercise of the warrants will be separately transferable;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Exercise of Warrants. Each warrant will entitle the holder of warrants to purchase the amount of securities or other rights,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i w:val="1"/>
          <w:iCs w:val="1"/>
          <w:color w:val="auto"/>
        </w:rPr>
        <w:t>Currently Outstanding Warrants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of June 30, 2023, there were 3,457,996 public warrants and 3,509,536 warrants that were issued in private placement transactions outstanding, including 208,000 warrants issued in connection with our Business Combination (as hereinafter defined) (the “private warrants”) and 3,301,536 warrants issued in connection with our Senior Secured Term Loan Credit Agreement with ACP Post Oak Credit II LLC, as Administrative Agent and Collateral Agent for the lenders thereto (the “loan warrants”). The terms of our private warrants and the terms of our public warrants are identical. Each whole warrant entitles the registered holder to purchase one share of Class A Common Stock at a price of $11.50 per share, subject to adjustment as discussed below, at any time commencing 30 days after the completion of our business combination with Archimedes Tech SPAC Partners Co. on April 26, 2022 (the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the Business Combination, warrant holders may, until such time as there is an effective registration statement and during any period when we shall have failed to maintain an effective registration statement, exercise the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1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10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public warrants are listed on The Nasdaq Global Market under the trading symbol “SOUNW”. The warrant agent is Continental Stock Transfer &amp; Trust Company.</w:t>
      </w:r>
    </w:p>
    <w:p>
      <w:pPr>
        <w:spacing w:after="0" w:line="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loan warrants have a per share exercise price of $2.59 and may be exercised, including on a cashless basis, by the holder at any time prior to the 10-year anniversary of the issue date. The loan warrants will be automatically cashless exercised immediately prior to a change in control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Rights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capital stock a prospectus supplement will be distributed to such holders on the record date for receiving rights in the rights offering set by us.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spacing w:after="0" w:line="16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number of rights issued and the aggregate amount of securities purchasable upon exercise of the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applicable federal income tax considerations.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8"/>
          <w:szCs w:val="18"/>
          <w:color w:val="auto"/>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may offer fractional shares of preferred stock, rather than full shares of preferred stock. If we decide to offer fractional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we will issue receipts for depositary shares. Each depositary share will represent a fraction of a share of a particular series of our preferred stock, and the applicable prospectus supplement will indicate that fraction. The shares of preferred stock represented by depositary shares will be deposited under a deposit agreement between us and a depositary that is a bank or trust company that meets certain requirements and is selected by us.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our preferred stock in accordance with the terms of the offering. We will file as exhibits to the registration statement of which this prospectus is a part, or will incorporate by reference from a current report on Form 8-K that we file with the SEC, forms of the deposit agreement, form of certificate of designation of underlying preferred stock, form of depositary receipts and any other related agreements.</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Dividends and Other Distributions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will distribute all cash dividends or other cash distributions received by it in respect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to the record holders of depositary shares relating to such preferred shares in proportion to the numbers of depositary shares held on the relevant record date.</w:t>
      </w:r>
    </w:p>
    <w:p>
      <w:pPr>
        <w:spacing w:after="0" w:line="1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spacing w:after="0" w:line="15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i w:val="1"/>
          <w:iCs w:val="1"/>
          <w:color w:val="auto"/>
        </w:rPr>
        <w:t>Redemption of Depositary Shares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Whenever we redeem the preferred stock, the depositary will redeem a number of depositary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Voting of Underlying Shares</w:t>
      </w:r>
      <w:r>
        <w:rPr>
          <w:rFonts w:ascii="Arial" w:cs="Arial" w:eastAsia="Arial" w:hAnsi="Arial"/>
          <w:sz w:val="18"/>
          <w:szCs w:val="18"/>
          <w:color w:val="auto"/>
        </w:rPr>
        <w:t>. Upon receipt of notice of any meeting at which the holders of our preferred stock of any series are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We will agree to take all action that the depositary may deem reasonably necessary in order to enable the depositary to do so. To the extent the depositary does not receive specific instructions from the holders of depositary shares relating to such preferred shares, it will abstain from voting such shares of preferred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54" w:lineRule="auto"/>
        <w:rPr>
          <w:sz w:val="20"/>
          <w:szCs w:val="20"/>
          <w:color w:val="auto"/>
        </w:rPr>
      </w:pPr>
      <w:r>
        <w:rPr>
          <w:rFonts w:ascii="Arial" w:cs="Arial" w:eastAsia="Arial" w:hAnsi="Arial"/>
          <w:sz w:val="18"/>
          <w:szCs w:val="18"/>
          <w:i w:val="1"/>
          <w:iCs w:val="1"/>
          <w:color w:val="auto"/>
        </w:rPr>
        <w:t>Withdrawal of Shares</w:t>
      </w:r>
      <w:r>
        <w:rPr>
          <w:rFonts w:ascii="Arial" w:cs="Arial" w:eastAsia="Arial" w:hAnsi="Arial"/>
          <w:sz w:val="18"/>
          <w:szCs w:val="18"/>
          <w:color w:val="auto"/>
        </w:rPr>
        <w:t>. Upon surrender of depositary receipts representing any number of whole shares at the depositary’s office, unless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Amendment and Termination of Depositary Agreement</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depositary receipt evidencing the depositary shares and any provision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depositary agreement may at any time be amended by agreement between us and the depositary. We may, with the consent of the depositary, amend the depositary agreement from time to time in any manner that we desire. However, if the amendment would materially and adversely alter the rights of the existing holders of depositary shares, the amendment would need to be approved by the holders of at least a majority of the depositary shares then outstanding.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depositary agreement may be terminated by us or the depositary if:</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has been a final distribution in respect of the shares of preferred stock of the applicable series in connection with our liquidation, dissolution or winding up and such distribution has been made to the holders of depositary receipts.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Resignation and Removal of Depositary. </w:t>
      </w:r>
      <w:r>
        <w:rPr>
          <w:rFonts w:ascii="Arial" w:cs="Arial" w:eastAsia="Arial" w:hAnsi="Arial"/>
          <w:sz w:val="16"/>
          <w:szCs w:val="16"/>
          <w:color w:val="auto"/>
        </w:rPr>
        <w:t>The depositary may resign at any time by delivering to us notice of its election to do so. We may remove</w:t>
      </w:r>
      <w:r>
        <w:rPr>
          <w:rFonts w:ascii="Arial" w:cs="Arial" w:eastAsia="Arial" w:hAnsi="Arial"/>
          <w:sz w:val="16"/>
          <w:szCs w:val="16"/>
          <w:i w:val="1"/>
          <w:iCs w:val="1"/>
          <w:color w:val="auto"/>
        </w:rPr>
        <w:t xml:space="preserve"> </w:t>
      </w:r>
      <w:r>
        <w:rPr>
          <w:rFonts w:ascii="Arial" w:cs="Arial" w:eastAsia="Arial" w:hAnsi="Arial"/>
          <w:sz w:val="16"/>
          <w:szCs w:val="16"/>
          <w:color w:val="auto"/>
        </w:rPr>
        <w:t>a depositary at any time. Any resignation or removal will take effect upon the appointment of a successor depositary and its acceptance of appointment.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any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will pay all charges of each depositary in connection with the initial deposit of the preferred shares of any series, the initial issuance of the depositary shares, any redemption of such preferred shares and any withdrawals of such preferred shares by holders of depositary shares. Holders of depositary shares will be required to pay any other transfer taxes.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Each depositary will forward to the holders of the applicable depositary shares all notices, reports and communications from us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to such depositary and which we are required to furnish the holders of the preferred stock represented by such depositary shares.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Miscellaneous</w:t>
      </w:r>
      <w:r>
        <w:rPr>
          <w:rFonts w:ascii="Arial" w:cs="Arial" w:eastAsia="Arial" w:hAnsi="Arial"/>
          <w:sz w:val="18"/>
          <w:szCs w:val="18"/>
          <w:color w:val="auto"/>
        </w:rPr>
        <w:t>. The depositary agreement may contain provisions that limit our liability and the liability of the depositary to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depositary shares. Both the depositary and we are also entitled to an indemnity from the holders of the depositary shares prior to bringing, or defending against, any legal proceeding. We or any depositary may rely upon written advice of counsel or accountants, or information provided by persons presenting preferred shares for deposit, holders of depositary shares or other persons believed by us to be competent and on documents believed by us or them to be genuine.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may be issued under an indenture (which we refer to herein as an Indenture), which are contracts entered into between us and a trustee to be named therein. The Indenture has been filed as an exhibit to the registration statement of which this prospectus forms a part. We may issue debt securities and incur additional indebtedness other than through the offering of debt securities pursuant to this prospectus. It is likely that convertible debt securities will not be issued under an Indenture.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79" w:lineRule="auto"/>
        <w:rPr>
          <w:sz w:val="20"/>
          <w:szCs w:val="20"/>
          <w:color w:val="auto"/>
        </w:rPr>
      </w:pPr>
      <w:r>
        <w:rPr>
          <w:rFonts w:ascii="Arial" w:cs="Arial" w:eastAsia="Arial" w:hAnsi="Arial"/>
          <w:sz w:val="17"/>
          <w:szCs w:val="17"/>
          <w:color w:val="auto"/>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 issued under an Indenture.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prospectus supplement will describe the terms relating to the specific series of debt securities. These terms will include some or all of the following:</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of debt securities and 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limit on the aggregate principal amount of debt securities of such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debt securities of any series will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issue additional debt securities of the same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price for the debt securities and the denominations of the debt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designation of the series of debt securities being offered;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basis for calculating interest;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by which such date or dates will be determined;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of any deferral period, including the period during which interest payment periods may be extended;</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324"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we will pay interest on the debt securities and the regular record date for determining who is entitled to the interest payable on any interest payment date;</w:t>
      </w:r>
    </w:p>
    <w:p>
      <w:pPr>
        <w:spacing w:after="0" w:line="170"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or rates of amortization of the debt securities;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terms for the attachment to the debt securities of warrants, options or other rights to purchase or sell our securities;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debt securities will be secured by any collateral and, if so, a general description of the collateral and the terms and provisions of such collateral security, pledge or other agreements;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70"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86"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and conditions, if any, regarding the option or mandatory conversion or exchange of debt securities;</w:t>
      </w:r>
    </w:p>
    <w:p>
      <w:pPr>
        <w:spacing w:after="0" w:line="225"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restriction or condition on the transferability of the debt securities of a particular series;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portion, or methods of determining the portion, of the principal amount of the debt securities which we must pay upon the acceleration of the maturity of the debt securities in connection with any event of default;</w:t>
      </w:r>
    </w:p>
    <w:p>
      <w:pPr>
        <w:spacing w:after="0" w:line="170"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23" w:lineRule="exact"/>
        <w:rPr>
          <w:rFonts w:ascii="Arial" w:cs="Arial" w:eastAsia="Arial" w:hAnsi="Arial"/>
          <w:sz w:val="16"/>
          <w:szCs w:val="16"/>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of the debt securities upon the occurrence of specified events;</w:t>
      </w:r>
    </w:p>
    <w:p>
      <w:pPr>
        <w:spacing w:after="0" w:line="225" w:lineRule="exact"/>
        <w:rPr>
          <w:rFonts w:ascii="Arial" w:cs="Arial" w:eastAsia="Arial" w:hAnsi="Arial"/>
          <w:sz w:val="18"/>
          <w:szCs w:val="18"/>
          <w:color w:val="auto"/>
        </w:rPr>
      </w:pPr>
    </w:p>
    <w:p>
      <w:pPr>
        <w:ind w:left="324" w:hanging="324"/>
        <w:spacing w:after="0" w:line="308" w:lineRule="auto"/>
        <w:tabs>
          <w:tab w:leader="none" w:pos="3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46" w:lineRule="exact"/>
        <w:rPr>
          <w:rFonts w:ascii="Arial" w:cs="Arial" w:eastAsia="Arial" w:hAnsi="Arial"/>
          <w:sz w:val="17"/>
          <w:szCs w:val="17"/>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limitation on our ability to incur debt, redeem stock, sell our assets or other restrictions;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application, if any, of the terms of the applicable Indenture relating to defeasance and covenant defeasance (which terms are described below) to the debt securities;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what subordination provisions will apply to the debt securities;</w:t>
      </w:r>
    </w:p>
    <w:p>
      <w:pPr>
        <w:spacing w:after="0" w:line="200" w:lineRule="exact"/>
        <w:rPr>
          <w:sz w:val="20"/>
          <w:szCs w:val="20"/>
          <w:color w:val="auto"/>
        </w:rPr>
      </w:pPr>
    </w:p>
    <w:p>
      <w:pPr>
        <w:spacing w:after="0" w:line="26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35" w:right="339" w:bottom="1440" w:gutter="0" w:footer="0" w:header="0"/>
        </w:sectPr>
      </w:pPr>
    </w:p>
    <w:bookmarkStart w:id="29" w:name="page30"/>
    <w:bookmarkEnd w:id="29"/>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if any, upon which the holders may convert or exchange the debt securities into or for our securities or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issuing the debt securities in whole or in part in global form;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 in the right of the trustee or the requisite holders of debt securities to declare the principal amount thereof due and payable because of an event of default;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depositary for global or certificated debt securities, if any;</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names of any trustees, depositories, authenticating or paying agents, transfer agents or registrars or other agents with respect to the debt securities;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p>
      <w:pPr>
        <w:spacing w:after="0" w:line="123"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portion of the principal amount of any debt securities which shall be payable upon declaration of acceleration of the maturity of the debt securities pursuant to the applicable Indenture;</w:t>
      </w:r>
    </w:p>
    <w:p>
      <w:pPr>
        <w:spacing w:after="0" w:line="170"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0" w:name="page31"/>
    <w:bookmarkEnd w:id="30"/>
    <w:p>
      <w:pPr>
        <w:jc w:val="both"/>
        <w:ind w:firstLine="648"/>
        <w:spacing w:after="0" w:line="254"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material terms of the units and their constituent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security may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Registered Global Securities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the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75" w:lineRule="auto"/>
        <w:rPr>
          <w:sz w:val="20"/>
          <w:szCs w:val="20"/>
          <w:color w:val="auto"/>
        </w:rPr>
      </w:pPr>
      <w:r>
        <w:rPr>
          <w:rFonts w:ascii="Arial" w:cs="Arial" w:eastAsia="Arial" w:hAnsi="Arial"/>
          <w:sz w:val="17"/>
          <w:szCs w:val="17"/>
          <w:color w:val="auto"/>
        </w:rPr>
        <w:t>Payments to holders with respect to securities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payment or distribution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otherwise indicated in the applicable prospectus supplement, the validity of the securities offered by this prospectus will be passed upon for us by Ellenoff Grossman &amp; Schole LLP, New York, New York. If legal matters in connection with offerings made by this prospectus are passed on by counsel for the underwriters, dealers or agents, if any, that counsel will be named in the applicable prospectus supplement.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of SoundHound, Inc. as of and for the years ended December 31, 2022 and 2021,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file annual, quarter and periodic reports, proxy statements and other information with the SEC using the its EDGAR system. The SEC maintains a web site that contains reports, proxy and information statements and other information regarding registrants that file electronically with the SEC. The address of such site is http//www.sec.gov.</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spacing w:after="0" w:line="178" w:lineRule="exact"/>
        <w:rPr>
          <w:sz w:val="20"/>
          <w:szCs w:val="20"/>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28, 2023;</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12, 2023;</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w:t>
      </w:r>
      <w:hyperlink r:id="rId53">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30, 2023; and</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Our Current Reports on Form 8-K filed with the SEC on </w:t>
      </w:r>
      <w:hyperlink r:id="rId54">
        <w:r>
          <w:rPr>
            <w:rFonts w:ascii="Arial" w:cs="Arial" w:eastAsia="Arial" w:hAnsi="Arial"/>
            <w:sz w:val="16"/>
            <w:szCs w:val="16"/>
            <w:u w:val="single" w:color="auto"/>
            <w:color w:val="0000EE"/>
          </w:rPr>
          <w:t>January 11, 2023</w:t>
        </w:r>
      </w:hyperlink>
      <w:r>
        <w:rPr>
          <w:rFonts w:ascii="Arial" w:cs="Arial" w:eastAsia="Arial" w:hAnsi="Arial"/>
          <w:sz w:val="16"/>
          <w:szCs w:val="16"/>
          <w:color w:val="auto"/>
        </w:rPr>
        <w:t xml:space="preserve">, </w:t>
      </w:r>
      <w:hyperlink r:id="rId55">
        <w:r>
          <w:rPr>
            <w:rFonts w:ascii="Arial" w:cs="Arial" w:eastAsia="Arial" w:hAnsi="Arial"/>
            <w:sz w:val="16"/>
            <w:szCs w:val="16"/>
            <w:u w:val="single" w:color="auto"/>
            <w:color w:val="0000EE"/>
          </w:rPr>
          <w:t>January 24, 2023</w:t>
        </w:r>
      </w:hyperlink>
      <w:r>
        <w:rPr>
          <w:rFonts w:ascii="Arial" w:cs="Arial" w:eastAsia="Arial" w:hAnsi="Arial"/>
          <w:sz w:val="16"/>
          <w:szCs w:val="16"/>
          <w:color w:val="auto"/>
        </w:rPr>
        <w:t xml:space="preserve">, </w:t>
      </w:r>
      <w:hyperlink r:id="rId56">
        <w:r>
          <w:rPr>
            <w:rFonts w:ascii="Arial" w:cs="Arial" w:eastAsia="Arial" w:hAnsi="Arial"/>
            <w:sz w:val="16"/>
            <w:szCs w:val="16"/>
            <w:u w:val="single" w:color="auto"/>
            <w:color w:val="0000EE"/>
          </w:rPr>
          <w:t xml:space="preserve">April 17, 2023 </w:t>
        </w:r>
      </w:hyperlink>
      <w:hyperlink r:id="rId57">
        <w:r>
          <w:rPr>
            <w:rFonts w:ascii="Arial" w:cs="Arial" w:eastAsia="Arial" w:hAnsi="Arial"/>
            <w:sz w:val="16"/>
            <w:szCs w:val="16"/>
            <w:u w:val="single" w:color="auto"/>
            <w:color w:val="auto"/>
          </w:rPr>
          <w:t xml:space="preserve">May </w:t>
        </w:r>
        <w:r>
          <w:rPr>
            <w:rFonts w:ascii="Arial" w:cs="Arial" w:eastAsia="Arial" w:hAnsi="Arial"/>
            <w:sz w:val="16"/>
            <w:szCs w:val="16"/>
            <w:u w:val="single" w:color="auto"/>
            <w:color w:val="0000EE"/>
          </w:rPr>
          <w:t>5, 2023</w:t>
        </w:r>
      </w:hyperlink>
      <w:r>
        <w:rPr>
          <w:rFonts w:ascii="Arial" w:cs="Arial" w:eastAsia="Arial" w:hAnsi="Arial"/>
          <w:sz w:val="16"/>
          <w:szCs w:val="16"/>
          <w:color w:val="auto"/>
        </w:rPr>
        <w:t xml:space="preserve">, and </w:t>
      </w:r>
      <w:hyperlink r:id="rId58">
        <w:r>
          <w:rPr>
            <w:rFonts w:ascii="Arial" w:cs="Arial" w:eastAsia="Arial" w:hAnsi="Arial"/>
            <w:sz w:val="16"/>
            <w:szCs w:val="16"/>
            <w:u w:val="single" w:color="auto"/>
            <w:color w:val="0000EE"/>
          </w:rPr>
          <w:t>July 5, 2023</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7" w:lineRule="exact"/>
        <w:rPr>
          <w:rFonts w:ascii="Arial" w:cs="Arial" w:eastAsia="Arial" w:hAnsi="Arial"/>
          <w:sz w:val="16"/>
          <w:szCs w:val="16"/>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78" w:lineRule="exact"/>
        <w:rPr>
          <w:rFonts w:ascii="Arial" w:cs="Arial" w:eastAsia="Arial" w:hAnsi="Arial"/>
          <w:sz w:val="16"/>
          <w:szCs w:val="16"/>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You may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Information about us is also available at our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However, the information in our website is not a part of this prospectus and is not incorporated by reference.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89" w:lineRule="auto"/>
        <w:rPr>
          <w:sz w:val="20"/>
          <w:szCs w:val="20"/>
          <w:color w:val="auto"/>
        </w:rPr>
      </w:pPr>
      <w:r>
        <w:rPr>
          <w:rFonts w:ascii="Arial" w:cs="Arial" w:eastAsia="Arial" w:hAnsi="Arial"/>
          <w:sz w:val="17"/>
          <w:szCs w:val="17"/>
          <w:b w:val="1"/>
          <w:bCs w:val="1"/>
          <w:color w:val="FF0000"/>
        </w:rPr>
        <w:t>The information in this prospectus is not complete and may be changed. We may not sell the securities until the Registration Statement filed with the Securities and Exchange Commission, of which this prospectus is a part, is effective. This prospectus is not an offer to sell these securities and is not soliciting an offer to buy these securities in any state where the offer or sale is not permitted.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JULY 24,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$150,000,000 of Class A Common Stock</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We have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with Cantor Fitzgerald &amp; Co., H.C. Wainwright &amp; Co., LLC, and D.A. Davidson &amp; Co. (each a “Sales Agent” and collectively, the “Sales Agents”) relating to the sale of our Class A common stock, par value $0.0001 per share</w:t>
      </w:r>
    </w:p>
    <w:p>
      <w:pPr>
        <w:jc w:val="both"/>
        <w:spacing w:after="0" w:line="225" w:lineRule="auto"/>
        <w:rPr>
          <w:sz w:val="20"/>
          <w:szCs w:val="20"/>
          <w:color w:val="auto"/>
        </w:rPr>
      </w:pPr>
      <w:r>
        <w:rPr>
          <w:rFonts w:ascii="Arial" w:cs="Arial" w:eastAsia="Arial" w:hAnsi="Arial"/>
          <w:sz w:val="18"/>
          <w:szCs w:val="18"/>
          <w:color w:val="auto"/>
        </w:rPr>
        <w:t>(the “common stock” or the “Class A Common Stock”), offered by this prospectus. In accordance with the terms of the Controlled Equity Offering</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Sales Agreement, we may offer and sell up to $150,000,000 of shares of our common stock from time to time through or to the Sales Agents acting as agent or principal.</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Class A Common Stock is listed on the Global Market of The Nasdaq Stock Market LLC (“Nasdaq”) under the symbol “SOUN.” Our listed redeemable warrants are listed on the Nasdaq Global Market under the symbol “SOUNW.”</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of our common stock, if any, under this prospectus may be made in sales deemed to be “at the market equity offerings” as defined in Rule 415 promulgated under the Securities Act of 1933, as amended, or the Securities Act. The Sales Agents are not required to sell any specific dollar amount of shares, but will use commercially reasonable efforts to sell on our behalf all of the shares of common stock requested to be sold by us, consistent with its normal trading and sales practices, on mutually agreed terms between us and the Sales Agents. There is no arrangement for funds to be received in any escrow, trust or similar arrangement.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Sales Agents will be entitled to aggregate compensation at a fixed commission rate of 2.5% of the gross sales price per share sold. In connection with the sale of our common stock on our behalf, the Sales Agents will be deemed to be “underwriters” within the meaning of the Securities Act and the compensation of the Sales Agents will be deemed to be underwriting commissions or discounts. See “Plan of Distribution” beginning on page S-10 for additional information regarding underwriting compensation. We have also agreed to provide indemnification and contribution to the Sales Agents with respect to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128270</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Investing in our securities involves a high degree of risk. You should read this prospectus and the information incorporated herein by reference carefully before you make your investment decision. See “Risk Factors” beginning on page S-5 of this prospectus.</w:t>
      </w:r>
    </w:p>
    <w:p>
      <w:pPr>
        <w:spacing w:after="0" w:line="14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100330</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780" w:type="dxa"/>
            <w:vAlign w:val="bottom"/>
          </w:tcPr>
          <w:p>
            <w:pPr>
              <w:spacing w:after="0"/>
              <w:rPr>
                <w:sz w:val="24"/>
                <w:szCs w:val="24"/>
                <w:color w:val="auto"/>
              </w:rPr>
            </w:pPr>
          </w:p>
        </w:tc>
        <w:tc>
          <w:tcPr>
            <w:tcW w:w="8460" w:type="dxa"/>
            <w:vAlign w:val="bottom"/>
          </w:tcPr>
          <w:p>
            <w:pPr>
              <w:ind w:left="2580"/>
              <w:spacing w:after="0"/>
              <w:rPr>
                <w:sz w:val="20"/>
                <w:szCs w:val="20"/>
                <w:color w:val="auto"/>
              </w:rPr>
            </w:pPr>
            <w:r>
              <w:rPr>
                <w:rFonts w:ascii="Arial" w:cs="Arial" w:eastAsia="Arial" w:hAnsi="Arial"/>
                <w:sz w:val="22"/>
                <w:szCs w:val="22"/>
                <w:b w:val="1"/>
                <w:bCs w:val="1"/>
                <w:color w:val="auto"/>
              </w:rPr>
              <w:t>Cantor</w:t>
            </w:r>
          </w:p>
        </w:tc>
      </w:tr>
      <w:tr>
        <w:trPr>
          <w:trHeight w:val="422"/>
        </w:trPr>
        <w:tc>
          <w:tcPr>
            <w:tcW w:w="2780" w:type="dxa"/>
            <w:vAlign w:val="bottom"/>
          </w:tcPr>
          <w:p>
            <w:pPr>
              <w:spacing w:after="0"/>
              <w:rPr>
                <w:sz w:val="20"/>
                <w:szCs w:val="20"/>
                <w:color w:val="auto"/>
              </w:rPr>
            </w:pPr>
            <w:r>
              <w:rPr>
                <w:rFonts w:ascii="Arial" w:cs="Arial" w:eastAsia="Arial" w:hAnsi="Arial"/>
                <w:sz w:val="18"/>
                <w:szCs w:val="18"/>
                <w:b w:val="1"/>
                <w:bCs w:val="1"/>
                <w:color w:val="auto"/>
              </w:rPr>
              <w:t>H.C. Wainwright &amp; Co.</w:t>
            </w:r>
          </w:p>
        </w:tc>
        <w:tc>
          <w:tcPr>
            <w:tcW w:w="8460" w:type="dxa"/>
            <w:vAlign w:val="bottom"/>
          </w:tcPr>
          <w:p>
            <w:pPr>
              <w:ind w:left="6840"/>
              <w:spacing w:after="0"/>
              <w:rPr>
                <w:sz w:val="20"/>
                <w:szCs w:val="20"/>
                <w:color w:val="auto"/>
              </w:rPr>
            </w:pPr>
            <w:r>
              <w:rPr>
                <w:rFonts w:ascii="Arial" w:cs="Arial" w:eastAsia="Arial" w:hAnsi="Arial"/>
                <w:sz w:val="18"/>
                <w:szCs w:val="18"/>
                <w:b w:val="1"/>
                <w:bCs w:val="1"/>
                <w:color w:val="auto"/>
                <w:w w:val="91"/>
              </w:rPr>
              <w:t>D.A. Davidson &amp; Co.</w:t>
            </w:r>
          </w:p>
        </w:tc>
      </w:tr>
      <w:tr>
        <w:trPr>
          <w:trHeight w:val="432"/>
        </w:trPr>
        <w:tc>
          <w:tcPr>
            <w:tcW w:w="2780" w:type="dxa"/>
            <w:vAlign w:val="bottom"/>
          </w:tcPr>
          <w:p>
            <w:pPr>
              <w:spacing w:after="0"/>
              <w:rPr>
                <w:sz w:val="24"/>
                <w:szCs w:val="24"/>
                <w:color w:val="auto"/>
              </w:rPr>
            </w:pPr>
          </w:p>
        </w:tc>
        <w:tc>
          <w:tcPr>
            <w:tcW w:w="8460" w:type="dxa"/>
            <w:vAlign w:val="bottom"/>
          </w:tcPr>
          <w:p>
            <w:pPr>
              <w:ind w:left="940"/>
              <w:spacing w:after="0"/>
              <w:rPr>
                <w:sz w:val="20"/>
                <w:szCs w:val="20"/>
                <w:color w:val="auto"/>
              </w:rPr>
            </w:pPr>
            <w:r>
              <w:rPr>
                <w:rFonts w:ascii="Arial" w:cs="Arial" w:eastAsia="Arial" w:hAnsi="Arial"/>
                <w:sz w:val="18"/>
                <w:szCs w:val="18"/>
                <w:b w:val="1"/>
                <w:bCs w:val="1"/>
                <w:color w:val="auto"/>
              </w:rPr>
              <w:t>The date of this prospectus is ____________, 2023</w:t>
            </w:r>
          </w:p>
        </w:tc>
      </w:tr>
      <w:tr>
        <w:trPr>
          <w:trHeight w:val="682"/>
        </w:trPr>
        <w:tc>
          <w:tcPr>
            <w:tcW w:w="27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gridSpan w:val="2"/>
          </w:tcPr>
          <w:p>
            <w:pPr>
              <w:ind w:left="500"/>
              <w:spacing w:after="0"/>
              <w:rPr>
                <w:sz w:val="20"/>
                <w:szCs w:val="20"/>
                <w:color w:val="auto"/>
              </w:rPr>
            </w:pPr>
            <w:r>
              <w:rPr>
                <w:rFonts w:ascii="Arial" w:cs="Arial" w:eastAsia="Arial" w:hAnsi="Arial"/>
                <w:sz w:val="18"/>
                <w:szCs w:val="18"/>
                <w:b w:val="1"/>
                <w:bCs w:val="1"/>
                <w:color w:val="auto"/>
              </w:rPr>
              <w:t>TABLE OF CONTENTS</w:t>
            </w:r>
          </w:p>
        </w:tc>
      </w:tr>
      <w:tr>
        <w:trPr>
          <w:trHeight w:val="45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6"/>
        </w:trPr>
        <w:tc>
          <w:tcPr>
            <w:tcW w:w="41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About This Prospectus</w:t>
            </w:r>
          </w:p>
        </w:tc>
        <w:tc>
          <w:tcPr>
            <w:tcW w:w="620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160" w:type="dxa"/>
            <w:vAlign w:val="bottom"/>
            <w:tcBorders>
              <w:bottom w:val="single" w:sz="8" w:color="0000EE"/>
            </w:tcBorders>
            <w:gridSpan w:val="13"/>
          </w:tcPr>
          <w:p>
            <w:pPr>
              <w:spacing w:after="0" w:line="176" w:lineRule="exact"/>
              <w:rPr>
                <w:sz w:val="20"/>
                <w:szCs w:val="20"/>
                <w:color w:val="auto"/>
              </w:rPr>
            </w:pPr>
            <w:r>
              <w:rPr>
                <w:rFonts w:ascii="Arial" w:cs="Arial" w:eastAsia="Arial" w:hAnsi="Arial"/>
                <w:sz w:val="18"/>
                <w:szCs w:val="18"/>
                <w:color w:val="0000EE"/>
                <w:w w:val="91"/>
              </w:rPr>
              <w:t>Cautionary Note Regarding Forward-Looking Statements</w:t>
            </w:r>
          </w:p>
        </w:tc>
        <w:tc>
          <w:tcPr>
            <w:tcW w:w="62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rPr>
              <w:t>iii</w:t>
            </w:r>
          </w:p>
        </w:tc>
      </w:tr>
      <w:tr>
        <w:trPr>
          <w:trHeight w:val="21"/>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8"/>
              </w:rPr>
              <w:t>Prospectus Summary</w:t>
            </w:r>
          </w:p>
        </w:tc>
        <w:tc>
          <w:tcPr>
            <w:tcW w:w="2620" w:type="dxa"/>
            <w:vAlign w:val="bottom"/>
            <w:tcBorders>
              <w:bottom w:val="single" w:sz="8" w:color="CCEEFF"/>
            </w:tcBorders>
            <w:gridSpan w:val="5"/>
            <w:shd w:val="clear" w:color="auto" w:fill="CCEEFF"/>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S-1</w:t>
            </w:r>
          </w:p>
        </w:tc>
      </w:tr>
      <w:tr>
        <w:trPr>
          <w:trHeight w:val="176"/>
        </w:trPr>
        <w:tc>
          <w:tcPr>
            <w:tcW w:w="4160" w:type="dxa"/>
            <w:vAlign w:val="bottom"/>
            <w:gridSpan w:val="13"/>
          </w:tcPr>
          <w:p>
            <w:pPr>
              <w:spacing w:after="0" w:line="176" w:lineRule="exact"/>
              <w:rPr>
                <w:sz w:val="20"/>
                <w:szCs w:val="20"/>
                <w:color w:val="auto"/>
              </w:rPr>
            </w:pPr>
            <w:r>
              <w:rPr>
                <w:rFonts w:ascii="Arial" w:cs="Arial" w:eastAsia="Arial" w:hAnsi="Arial"/>
                <w:sz w:val="18"/>
                <w:szCs w:val="18"/>
                <w:color w:val="0000EE"/>
              </w:rPr>
              <w:t>The Offering</w:t>
            </w:r>
          </w:p>
        </w:tc>
        <w:tc>
          <w:tcPr>
            <w:tcW w:w="62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5"/>
              </w:rPr>
              <w:t>S-4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89"/>
              </w:rPr>
              <w:t>Risk Factors</w:t>
            </w:r>
          </w:p>
        </w:tc>
        <w:tc>
          <w:tcPr>
            <w:tcW w:w="3240" w:type="dxa"/>
            <w:vAlign w:val="bottom"/>
            <w:tcBorders>
              <w:bottom w:val="single" w:sz="8" w:color="CCEEFF"/>
            </w:tcBorders>
            <w:gridSpan w:val="10"/>
            <w:shd w:val="clear" w:color="auto" w:fill="CCEEFF"/>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S-5</w:t>
            </w:r>
          </w:p>
        </w:tc>
      </w:tr>
      <w:tr>
        <w:trPr>
          <w:trHeight w:val="176"/>
        </w:trPr>
        <w:tc>
          <w:tcPr>
            <w:tcW w:w="4160" w:type="dxa"/>
            <w:vAlign w:val="bottom"/>
            <w:gridSpan w:val="13"/>
          </w:tcPr>
          <w:p>
            <w:pPr>
              <w:spacing w:after="0" w:line="176" w:lineRule="exact"/>
              <w:rPr>
                <w:sz w:val="20"/>
                <w:szCs w:val="20"/>
                <w:color w:val="auto"/>
              </w:rPr>
            </w:pPr>
            <w:r>
              <w:rPr>
                <w:rFonts w:ascii="Arial" w:cs="Arial" w:eastAsia="Arial" w:hAnsi="Arial"/>
                <w:sz w:val="18"/>
                <w:szCs w:val="18"/>
                <w:color w:val="0000EE"/>
              </w:rPr>
              <w:t>Use of Proceeds</w:t>
            </w:r>
          </w:p>
        </w:tc>
        <w:tc>
          <w:tcPr>
            <w:tcW w:w="62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5"/>
              </w:rPr>
              <w:t>S-7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41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620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S-8</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160" w:type="dxa"/>
            <w:vAlign w:val="bottom"/>
            <w:gridSpan w:val="13"/>
          </w:tcPr>
          <w:p>
            <w:pPr>
              <w:spacing w:after="0" w:line="176" w:lineRule="exact"/>
              <w:rPr>
                <w:sz w:val="20"/>
                <w:szCs w:val="20"/>
                <w:color w:val="auto"/>
              </w:rPr>
            </w:pPr>
            <w:r>
              <w:rPr>
                <w:rFonts w:ascii="Arial" w:cs="Arial" w:eastAsia="Arial" w:hAnsi="Arial"/>
                <w:sz w:val="18"/>
                <w:szCs w:val="18"/>
                <w:color w:val="0000EE"/>
              </w:rPr>
              <w:t>Description of Securities</w:t>
            </w:r>
          </w:p>
        </w:tc>
        <w:tc>
          <w:tcPr>
            <w:tcW w:w="62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5"/>
              </w:rPr>
              <w:t>S-9</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3"/>
              </w:rPr>
              <w:t>Plan of Distribution</w:t>
            </w:r>
          </w:p>
        </w:tc>
        <w:tc>
          <w:tcPr>
            <w:tcW w:w="2720" w:type="dxa"/>
            <w:vAlign w:val="bottom"/>
            <w:tcBorders>
              <w:bottom w:val="single" w:sz="8" w:color="CCEEFF"/>
            </w:tcBorders>
            <w:gridSpan w:val="6"/>
            <w:shd w:val="clear" w:color="auto" w:fill="CCEEFF"/>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S-10</w:t>
            </w:r>
          </w:p>
        </w:tc>
      </w:tr>
      <w:tr>
        <w:trPr>
          <w:trHeight w:val="176"/>
        </w:trPr>
        <w:tc>
          <w:tcPr>
            <w:tcW w:w="4160" w:type="dxa"/>
            <w:vAlign w:val="bottom"/>
            <w:gridSpan w:val="13"/>
          </w:tcPr>
          <w:p>
            <w:pPr>
              <w:spacing w:after="0" w:line="176" w:lineRule="exact"/>
              <w:rPr>
                <w:sz w:val="20"/>
                <w:szCs w:val="20"/>
                <w:color w:val="auto"/>
              </w:rPr>
            </w:pPr>
            <w:r>
              <w:rPr>
                <w:rFonts w:ascii="Arial" w:cs="Arial" w:eastAsia="Arial" w:hAnsi="Arial"/>
                <w:sz w:val="18"/>
                <w:szCs w:val="18"/>
                <w:color w:val="0000EE"/>
              </w:rPr>
              <w:t>Legal Matters</w:t>
            </w:r>
          </w:p>
        </w:tc>
        <w:tc>
          <w:tcPr>
            <w:tcW w:w="62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S-11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8"/>
              </w:rPr>
              <w:t>Experts</w:t>
            </w:r>
          </w:p>
        </w:tc>
        <w:tc>
          <w:tcPr>
            <w:tcW w:w="3600" w:type="dxa"/>
            <w:vAlign w:val="bottom"/>
            <w:tcBorders>
              <w:bottom w:val="single" w:sz="8" w:color="CCEEFF"/>
            </w:tcBorders>
            <w:gridSpan w:val="12"/>
            <w:shd w:val="clear" w:color="auto" w:fill="CCEEFF"/>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S-11</w:t>
            </w:r>
          </w:p>
        </w:tc>
      </w:tr>
      <w:tr>
        <w:trPr>
          <w:trHeight w:val="175"/>
        </w:trPr>
        <w:tc>
          <w:tcPr>
            <w:tcW w:w="4160" w:type="dxa"/>
            <w:vAlign w:val="bottom"/>
            <w:gridSpan w:val="13"/>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62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9"/>
              </w:rPr>
              <w:t>S-11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41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Information By Reference</w:t>
            </w:r>
          </w:p>
        </w:tc>
        <w:tc>
          <w:tcPr>
            <w:tcW w:w="620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S-11</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You should rely only on the information we have provided or incorporated by reference in this prospectus or in any prospectus supplement. We have not authorized anyone to provide you with information different from that contained or incorporated by reference in this prospectus or in any prospectus supplement.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This prospectus and any prospectus supplement is an offer to sell only the securities offered hereby, but only under circumstances and in jurisdictions where it is lawful to do so.</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You should assume that the information contained in this prospectus and in any prospectus supplement is accurate only as of their respective dates and that any information we have incorporated by reference is accurate only as of the date of the document incorporated by reference, regardless of the time of delivery of this prospectus or any prospective supplement for any sale of securities.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the shelf registration process, we may offer shares of our common stock having an aggregate offering price of up to $150,000,000 from time to time under this prospectus at prices and on terms to be determined by market conditions at the time of offering.</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prospectus describes the specific terms of the common stock we are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in any free writing prospectus that we may authorize for use in connection with this offering. We have not, and the Sales Agents have not, authorized any other person to provide you with different information. If anyone provides you with different or inconsistent information, you should not rely on it. We are not, and the Sales Agents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by Reference.”</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into the prospectus and accompanying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jc w:val="both"/>
        <w:ind w:firstLine="660"/>
        <w:spacing w:after="0" w:line="277" w:lineRule="auto"/>
        <w:rPr>
          <w:sz w:val="20"/>
          <w:szCs w:val="20"/>
          <w:color w:val="auto"/>
        </w:rPr>
      </w:pPr>
      <w:r>
        <w:rPr>
          <w:rFonts w:ascii="Arial" w:cs="Arial" w:eastAsia="Arial" w:hAnsi="Arial"/>
          <w:sz w:val="18"/>
          <w:szCs w:val="18"/>
          <w:color w:val="auto"/>
        </w:rPr>
        <w:t>This prospectus contains, or incorporates by reference, trademarks, tradenames, service marks and service names of SoundHound AI and its subsidiaries.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prospectus and the documents incorporated by reference herein contain or may contain forward 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spacing w:after="0" w:line="11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execution of our business strategy, including launching new product offerings and expanding information and technology capabilities;</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impact of our growth initiatives on our future financial performance;</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protect intellectual property and trade secrets;</w:t>
      </w:r>
    </w:p>
    <w:p>
      <w:pPr>
        <w:spacing w:after="0" w:line="15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obtain additional capital, including equity or debt financing, on terms that are acceptable to us, if at all, particularly in light of inflationary pressures and resulting increases in the cost of borrowing;</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applicable laws or regulations and extensive and evolving government regulations that impact our operations and business;</w:t>
      </w:r>
    </w:p>
    <w:p>
      <w:pPr>
        <w:spacing w:after="0" w:line="155"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 particularly following our recent restructuring efforts;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our customers to use competitors’ services;</w:t>
      </w:r>
    </w:p>
    <w:p>
      <w:pPr>
        <w:spacing w:after="0" w:line="15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 including with respect to our AI technology;</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effects of the COVID-19 pandemic or any similar and public health developments (such as the COVID-19 pandemic) on our business;</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relating to uncertainty of our estimates of market opportunity and forecasts of market growth;</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Global Market;</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titled “Risk Factors” in this prospectus.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and the documents incorporated by reference herein, including but not limited to our most recent Annual Report on Form 10-K, which may cause our or our industry’s actual results, levels of activity, performance or achievements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in particular, the risks discussed below and under the heading “Risk Factors” and those discussed in other documents we file with the SEC. The following discussion should be read in conjunction with the consolidated financial statements for the fiscal years ended December 31, 2022 and 2021 and notes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forward-looking statement you read in this prospectus, any prospectus supplement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6544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6130" cy="6544945"/>
                    </a:xfrm>
                    <a:prstGeom prst="rect">
                      <a:avLst/>
                    </a:prstGeom>
                    <a:noFill/>
                  </pic:spPr>
                </pic:pic>
              </a:graphicData>
            </a:graphic>
          </wp:anchor>
        </w:drawing>
        <w:t>PROSPECTUS SUMMARY</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As used herein, and any amendment or supplement hereto, unless otherwise indicated, “we,” “us,” “our,” the “Company,” or “SoundHound AI” means SoundHound AI, Inc. and its subsidiaries. Unless otherwise indicated, all references in this prospectus to “dollars” or “$” refer to US dollars.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Collective AI, Dynamic Interaction and Chat AI breakthrough technologies developed over the past 17 years, our advanced Voice AI platform provides exceptional speed and accuracy and enables humans to interact with products and services like they interact with each other — by speaking naturally.</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SoundHound’s technology is live in production and at scale with companies around the globe, including Hyundai, Mercedes-Benz, Pandora, Snap, VIZIO, Square, Toast, Oracle, KIA and Stellantis. We have seen significant inflection in customer adoption of our technology, as measured through activity on our platform, which surpassed 1 billion annual queries in 2021 and experienced over 85% growth during 2022.</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partners span multiple industries and geographies, and together have a combined reach of over 2 billion end users.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120 patents granted and over 140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has extensive technical expertise and a proven track record of innovation and value creation for us to continue to attract customers in the growing market for Voice AI transactions, which is estimated to grow to $160 billion per year by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62230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6" w:right="439" w:bottom="1440" w:gutter="0" w:footer="0" w:header="0"/>
        </w:sectPr>
      </w:pPr>
    </w:p>
    <w:bookmarkStart w:id="40" w:name="page41"/>
    <w:bookmarkEnd w:id="40"/>
    <w:p>
      <w:pPr>
        <w:jc w:val="both"/>
        <w:ind w:firstLine="64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136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6130" cy="7136130"/>
                    </a:xfrm>
                    <a:prstGeom prst="rect">
                      <a:avLst/>
                    </a:prstGeom>
                    <a:noFill/>
                  </pic:spPr>
                </pic:pic>
              </a:graphicData>
            </a:graphic>
          </wp:anchor>
        </w:drawing>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5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59055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30"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36130" cy="7684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6130" cy="7684770"/>
                    </a:xfrm>
                    <a:prstGeom prst="rect">
                      <a:avLst/>
                    </a:prstGeom>
                    <a:noFill/>
                  </pic:spPr>
                </pic:pic>
              </a:graphicData>
            </a:graphic>
          </wp:anchor>
        </w:drawing>
        <w:t>Our Products</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Houndify platform, SoundHound Ai’s Voice AI platform, </w:t>
      </w:r>
      <w:r>
        <w:rPr>
          <w:rFonts w:ascii="Arial" w:cs="Arial" w:eastAsia="Arial" w:hAnsi="Arial"/>
          <w:sz w:val="18"/>
          <w:szCs w:val="18"/>
          <w:color w:val="auto"/>
        </w:rPr>
        <w:t>combines advanced AI with engineering expertise to help brands build conversational</w:t>
      </w:r>
      <w:r>
        <w:rPr>
          <w:rFonts w:ascii="Arial" w:cs="Arial" w:eastAsia="Arial" w:hAnsi="Arial"/>
          <w:sz w:val="18"/>
          <w:szCs w:val="18"/>
          <w:i w:val="1"/>
          <w:iCs w:val="1"/>
          <w:color w:val="auto"/>
        </w:rPr>
        <w:t xml:space="preserve"> </w:t>
      </w:r>
      <w:r>
        <w:rPr>
          <w:rFonts w:ascii="Arial" w:cs="Arial" w:eastAsia="Arial" w:hAnsi="Arial"/>
          <w:sz w:val="18"/>
          <w:szCs w:val="18"/>
          <w:color w:val="auto"/>
        </w:rPr>
        <w:t>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Automatic Speech Recognition, </w:t>
      </w:r>
      <w:r>
        <w:rPr>
          <w:rFonts w:ascii="Arial" w:cs="Arial" w:eastAsia="Arial" w:hAnsi="Arial"/>
          <w:sz w:val="18"/>
          <w:szCs w:val="18"/>
          <w:color w:val="auto"/>
        </w:rPr>
        <w:t>our highly optimized, tunable, and scalable ASR engine, supports vocabulary sizes containing millions of</w:t>
      </w:r>
      <w:r>
        <w:rPr>
          <w:rFonts w:ascii="Arial" w:cs="Arial" w:eastAsia="Arial" w:hAnsi="Arial"/>
          <w:sz w:val="18"/>
          <w:szCs w:val="18"/>
          <w:i w:val="1"/>
          <w:iCs w:val="1"/>
          <w:color w:val="auto"/>
        </w:rPr>
        <w:t xml:space="preserve"> </w:t>
      </w:r>
      <w:r>
        <w:rPr>
          <w:rFonts w:ascii="Arial" w:cs="Arial" w:eastAsia="Arial" w:hAnsi="Arial"/>
          <w:sz w:val="18"/>
          <w:szCs w:val="18"/>
          <w:color w:val="auto"/>
        </w:rPr>
        <w:t>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Natural Language Understanding (“NLU”)</w:t>
      </w:r>
      <w:r>
        <w:rPr>
          <w:rFonts w:ascii="Arial" w:cs="Arial" w:eastAsia="Arial" w:hAnsi="Arial"/>
          <w:sz w:val="17"/>
          <w:szCs w:val="17"/>
          <w:color w:val="auto"/>
        </w:rPr>
        <w:t>,</w:t>
      </w:r>
      <w:r>
        <w:rPr>
          <w:rFonts w:ascii="Arial" w:cs="Arial" w:eastAsia="Arial" w:hAnsi="Arial"/>
          <w:sz w:val="17"/>
          <w:szCs w:val="17"/>
          <w:i w:val="1"/>
          <w:iCs w:val="1"/>
          <w:color w:val="auto"/>
        </w:rPr>
        <w:t xml:space="preserve"> o</w:t>
      </w:r>
      <w:r>
        <w:rPr>
          <w:rFonts w:ascii="Arial" w:cs="Arial" w:eastAsia="Arial" w:hAnsi="Arial"/>
          <w:sz w:val="17"/>
          <w:szCs w:val="17"/>
          <w:color w:val="auto"/>
        </w:rPr>
        <w:t>ur proprietary Speech-to-Meaning technology, tracks speech in real-time and understands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Wake Words </w:t>
      </w:r>
      <w:r>
        <w:rPr>
          <w:rFonts w:ascii="Arial" w:cs="Arial" w:eastAsia="Arial" w:hAnsi="Arial"/>
          <w:sz w:val="17"/>
          <w:szCs w:val="17"/>
          <w:color w:val="auto"/>
        </w:rPr>
        <w:t>are the entry point into branded voice experiences, allowing users to invoke the assistant by literally speaking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Custom Domains, </w:t>
      </w:r>
      <w:r>
        <w:rPr>
          <w:rFonts w:ascii="Arial" w:cs="Arial" w:eastAsia="Arial" w:hAnsi="Arial"/>
          <w:sz w:val="17"/>
          <w:szCs w:val="17"/>
          <w:color w:val="auto"/>
        </w:rPr>
        <w:t>a library of over 100 public domains, is available with a free Houndify account. Houndify public domains give developers</w:t>
      </w:r>
      <w:r>
        <w:rPr>
          <w:rFonts w:ascii="Arial" w:cs="Arial" w:eastAsia="Arial" w:hAnsi="Arial"/>
          <w:sz w:val="17"/>
          <w:szCs w:val="17"/>
          <w:i w:val="1"/>
          <w:iCs w:val="1"/>
          <w:color w:val="auto"/>
        </w:rPr>
        <w:t xml:space="preserve"> </w:t>
      </w:r>
      <w:r>
        <w:rPr>
          <w:rFonts w:ascii="Arial" w:cs="Arial" w:eastAsia="Arial" w:hAnsi="Arial"/>
          <w:sz w:val="17"/>
          <w:szCs w:val="17"/>
          <w:color w:val="auto"/>
        </w:rPr>
        <w:t>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Text-to-speech (“TTS”). </w:t>
      </w:r>
      <w:r>
        <w:rPr>
          <w:rFonts w:ascii="Arial" w:cs="Arial" w:eastAsia="Arial" w:hAnsi="Arial"/>
          <w:sz w:val="18"/>
          <w:szCs w:val="18"/>
          <w:color w:val="auto"/>
        </w:rPr>
        <w:t>A high-quality TTS helps companies create a unique voice that differentiates them from the competition. Brands can</w:t>
      </w:r>
      <w:r>
        <w:rPr>
          <w:rFonts w:ascii="Arial" w:cs="Arial" w:eastAsia="Arial" w:hAnsi="Arial"/>
          <w:sz w:val="18"/>
          <w:szCs w:val="18"/>
          <w:i w:val="1"/>
          <w:iCs w:val="1"/>
          <w:color w:val="auto"/>
        </w:rPr>
        <w:t xml:space="preserve"> </w:t>
      </w:r>
      <w:r>
        <w:rPr>
          <w:rFonts w:ascii="Arial" w:cs="Arial" w:eastAsia="Arial" w:hAnsi="Arial"/>
          <w:sz w:val="18"/>
          <w:szCs w:val="18"/>
          <w:color w:val="auto"/>
        </w:rPr>
        <w:t>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0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Edge (Embedded) </w:t>
      </w:r>
      <w:r>
        <w:rPr>
          <w:rFonts w:ascii="Arial" w:cs="Arial" w:eastAsia="Arial" w:hAnsi="Arial"/>
          <w:sz w:val="16"/>
          <w:szCs w:val="16"/>
          <w:color w:val="auto"/>
        </w:rPr>
        <w:t>is a fully-embedded voice solution for brands seeking the convenience of a voice user interface without the privacy or</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connectivity concerns of the internet. Edge includes full access to custom commands and the ability to instantly update commands during development.</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To harness the capabilities of full cloud connectivity with the reliability of embedded voice technology. </w:t>
      </w:r>
      <w:r>
        <w:rPr>
          <w:rFonts w:ascii="Arial" w:cs="Arial" w:eastAsia="Arial" w:hAnsi="Arial"/>
          <w:sz w:val="18"/>
          <w:szCs w:val="18"/>
          <w:i w:val="1"/>
          <w:iCs w:val="1"/>
          <w:color w:val="auto"/>
        </w:rPr>
        <w:t>Houndify Edge Hybrid</w:t>
      </w:r>
      <w:r>
        <w:rPr>
          <w:rFonts w:ascii="Arial" w:cs="Arial" w:eastAsia="Arial" w:hAnsi="Arial"/>
          <w:sz w:val="18"/>
          <w:szCs w:val="18"/>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executive offices are located at 5400 Betsy Ross Drive, Santa Clara, CA 95054, and our telephone number is (408) 441-3200.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corporate website address is </w:t>
      </w:r>
      <w:r>
        <w:rPr>
          <w:rFonts w:ascii="Arial" w:cs="Arial" w:eastAsia="Arial" w:hAnsi="Arial"/>
          <w:sz w:val="16"/>
          <w:szCs w:val="16"/>
          <w:i w:val="1"/>
          <w:iCs w:val="1"/>
          <w:color w:val="auto"/>
        </w:rPr>
        <w:t>www.soundhound.com</w:t>
      </w:r>
      <w:r>
        <w:rPr>
          <w:rFonts w:ascii="Arial" w:cs="Arial" w:eastAsia="Arial" w:hAnsi="Arial"/>
          <w:sz w:val="16"/>
          <w:szCs w:val="16"/>
          <w:color w:val="auto"/>
        </w:rPr>
        <w:t>. The information contained on or accessible through our website is not a part of this prospectus.</w:t>
      </w: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026" w:right="439" w:bottom="1440" w:gutter="0" w:footer="0" w:header="0"/>
        </w:sectPr>
      </w:pPr>
    </w:p>
    <w:bookmarkStart w:id="42" w:name="page43"/>
    <w:bookmarkEnd w:id="42"/>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Common stock offered by us: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Manner of offering</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-331470</wp:posOffset>
            </wp:positionV>
            <wp:extent cx="7136130" cy="27470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6130" cy="274701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having an aggregate offering price of up to $150,000,000.</w:t>
      </w:r>
    </w:p>
    <w:p>
      <w:pPr>
        <w:spacing w:after="0" w:line="22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Agents. See “Plan of Distribution” on page S-10 of this prospectus.</w:t>
      </w:r>
    </w:p>
    <w:p>
      <w:pPr>
        <w:spacing w:after="0" w:line="17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intend to use the net proceeds from these sales, if any, general corporate purposes, which may include, without limitation, investing in or acquiring companies that are synergistic with or complementary to our business and working capital. See “Use of Proceeds” on page S-7 of this prospectus.</w:t>
      </w:r>
    </w:p>
    <w:p>
      <w:pPr>
        <w:spacing w:after="0" w:line="145" w:lineRule="exact"/>
        <w:rPr>
          <w:sz w:val="20"/>
          <w:szCs w:val="20"/>
          <w:color w:val="auto"/>
        </w:rPr>
      </w:pPr>
    </w:p>
    <w:p>
      <w:pPr>
        <w:sectPr>
          <w:pgSz w:w="11900" w:h="16838" w:orient="portrait"/>
          <w:cols w:equalWidth="0" w:num="2">
            <w:col w:w="2700" w:space="720"/>
            <w:col w:w="7840"/>
          </w:cols>
          <w:pgMar w:left="320" w:top="1026" w:right="319" w:bottom="1440" w:gutter="0" w:footer="0" w:header="0"/>
        </w:sect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Risk Factors</w:t>
            </w: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w w:val="95"/>
              </w:rPr>
              <w:t>Your investment in our securities involves substantial risks. You should consider the “Risk Factors” and</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w w:val="93"/>
              </w:rPr>
              <w:t>the “Cautionary Note Regarding Forward-Looking Statements” included and incorporated by reference in</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w w:val="96"/>
              </w:rPr>
              <w:t>this prospectus and the accompanying prospectus, including the risk factors incorporated by reference</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rPr>
              <w:t>from our filings with the SEC.</w:t>
            </w:r>
          </w:p>
        </w:tc>
      </w:tr>
      <w:tr>
        <w:trPr>
          <w:trHeight w:val="432"/>
        </w:trPr>
        <w:tc>
          <w:tcPr>
            <w:tcW w:w="20" w:type="dxa"/>
            <w:vAlign w:val="bottom"/>
          </w:tcPr>
          <w:p>
            <w:pPr>
              <w:spacing w:after="0"/>
              <w:rPr>
                <w:sz w:val="24"/>
                <w:szCs w:val="24"/>
                <w:color w:val="auto"/>
              </w:rPr>
            </w:pP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Nasdaq Global Market symbol</w:t>
            </w: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rPr>
              <w:t>“SOUN”</w:t>
            </w:r>
          </w:p>
        </w:tc>
      </w:tr>
      <w:tr>
        <w:trPr>
          <w:trHeight w:val="300"/>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443"/>
        </w:trPr>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S-4</w:t>
            </w:r>
          </w:p>
        </w:tc>
        <w:tc>
          <w:tcPr>
            <w:tcW w:w="20" w:type="dxa"/>
            <w:vAlign w:val="bottom"/>
          </w:tcPr>
          <w:p>
            <w:pPr>
              <w:spacing w:after="0"/>
              <w:rPr>
                <w:sz w:val="24"/>
                <w:szCs w:val="24"/>
                <w:color w:val="auto"/>
              </w:rPr>
            </w:pPr>
          </w:p>
        </w:tc>
      </w:tr>
    </w:tbl>
    <w:p>
      <w:pPr>
        <w:sectPr>
          <w:pgSz w:w="11900" w:h="16838" w:orient="portrait"/>
          <w:cols w:equalWidth="0" w:num="1">
            <w:col w:w="11260"/>
          </w:cols>
          <w:pgMar w:left="320" w:top="1026" w:right="31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Investing in our securities involves a high degree of risk. Before deciding whether to invest in our securities, you should carefully consider the risk factors we describe in this prospectus and in any related free writing prospectus that we may authorize to be provided to you or in any report incorporated by reference into this prospectus, including our Annual Report on Form 10-K for the year ended December 31, 2022, our Quarterly Report on Form 10-Q for the quarter ended March 31, 2023, or any Annual Report on Form 10-K or Quarterly Report on Form 10-Q that is incorporated by reference into this prospectus after the date of this prospectus. Although we discuss key risks in those risk factor descriptions, additional risks not currently known to us or that we currently deem immaterial also may impair our business. Our subsequent filings with the SEC may contain amended and updated discussions of significant risks. We cannot predict future risks or estimate the extent to which they may affect our financial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Since we have some discretion in how we use the proceeds from this offering, we may use the proceeds in ways with which you disagree.</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allocated specific amounts of the net proceeds from this offering for any specific purpose. Accordingly, our management will have some flexibility in applying the net proceeds of this offering. You will be relying on the judgment of our management with regard to the use of these net proceeds and you will not have the opportunity, as part of your investment decision, to assess whether the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immediate and substantial dilution.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offering price per share in this offering may exceed the net tangible book value per share of our common stock outstanding prior to this</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offering. Assuming that an aggregate of $150,000,000 of shares of our common stock are sold during the term of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with the Sales Agents at a price of $3.53 per share, the last reported sale price of our common stock on The Nasdaq Global Market on July 11, 2023, for aggregate net proceeds of approximately $146 million after deducting commissions and estimated aggregate offering expenses payable by us, and after giving effect to our sales in the Equity Line Program (as defined below), you will experience immediate dilution of $2.76 per share, representing the difference between our as adjusted pro forma net tangible book value per share as of March 31, 2023 after giving effect to this offering and the assumed offering price. The exercise of outstanding stock options and warrants may result in further dilution of your investment. See the section entitled “Dilution” below for a more detailed illustration of the dilution you would incur if you participate in this offering.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17" w:lineRule="auto"/>
        <w:rPr>
          <w:sz w:val="20"/>
          <w:szCs w:val="20"/>
          <w:color w:val="auto"/>
        </w:rPr>
      </w:pPr>
      <w:r>
        <w:rPr>
          <w:rFonts w:ascii="Arial" w:cs="Arial" w:eastAsia="Arial" w:hAnsi="Arial"/>
          <w:sz w:val="18"/>
          <w:szCs w:val="18"/>
          <w:b w:val="1"/>
          <w:bCs w:val="1"/>
          <w:i w:val="1"/>
          <w:iCs w:val="1"/>
          <w:color w:val="auto"/>
        </w:rPr>
        <w:t>It is not possible to predict the actual number of shares we will sell under the Controlled Equity Offering</w:t>
      </w:r>
      <w:r>
        <w:rPr>
          <w:rFonts w:ascii="Arial" w:cs="Arial" w:eastAsia="Arial" w:hAnsi="Arial"/>
          <w:sz w:val="29"/>
          <w:szCs w:val="29"/>
          <w:b w:val="1"/>
          <w:bCs w:val="1"/>
          <w:i w:val="1"/>
          <w:iCs w:val="1"/>
          <w:color w:val="auto"/>
          <w:vertAlign w:val="superscript"/>
        </w:rPr>
        <w:t>SM</w:t>
      </w:r>
      <w:r>
        <w:rPr>
          <w:rFonts w:ascii="Arial" w:cs="Arial" w:eastAsia="Arial" w:hAnsi="Arial"/>
          <w:sz w:val="18"/>
          <w:szCs w:val="18"/>
          <w:b w:val="1"/>
          <w:bCs w:val="1"/>
          <w:i w:val="1"/>
          <w:iCs w:val="1"/>
          <w:color w:val="auto"/>
        </w:rPr>
        <w:t xml:space="preserve"> Sales Agreement, or the gross proceeds resulting from those sales.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certain limitations in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and compliance with applicable law, we have the discretion to</w:t>
      </w:r>
    </w:p>
    <w:p>
      <w:pPr>
        <w:jc w:val="both"/>
        <w:spacing w:after="0" w:line="244" w:lineRule="auto"/>
        <w:rPr>
          <w:sz w:val="20"/>
          <w:szCs w:val="20"/>
          <w:color w:val="auto"/>
        </w:rPr>
      </w:pPr>
      <w:r>
        <w:rPr>
          <w:rFonts w:ascii="Arial" w:cs="Arial" w:eastAsia="Arial" w:hAnsi="Arial"/>
          <w:sz w:val="17"/>
          <w:szCs w:val="17"/>
          <w:color w:val="auto"/>
        </w:rPr>
        <w:t>deliver a placement notice to the sales agent at any time throughout the term of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number of shares that are sold through the sales agent after delivering a placement notice will fluctuate based on a number of factors, including the market price of the common stock during the sales period, the limits we set with the sales agent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w:t>
      </w:r>
    </w:p>
    <w:p>
      <w:pPr>
        <w:spacing w:after="0" w:line="19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i w:val="1"/>
          <w:iCs w:val="1"/>
          <w:color w:val="auto"/>
        </w:rPr>
        <w:t xml:space="preserve">The common stock offered hereby will be sold in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at the market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and investors who buy shares at different times will likely pay different prices.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do not anticipate declaring any cash dividends on our common stock which may adversely impact the market price of our stock.</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never declared or paid cash dividends on our common stock and do not plan to pay any cash dividends in the near future. Our current policy is to retain all funds and any earnings for use in the operation and expansion of our business. If we do not pay dividends, our stock may be less valuable to you because a return on your investment will only occur if our stock price appreciates.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Sales of a significant number of shares of our common stock in the public markets, or the perception that such sales could occur, could depress the market price of our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of a significant number of shares of our common stock in the public markets, or the perception that such sales could occur as a result of our</w:t>
      </w:r>
    </w:p>
    <w:p>
      <w:pPr>
        <w:spacing w:after="0" w:line="4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utilization of a universal shelf registration statement, our Controlled Equity Offering</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Sales Agreement with the Sales Agents or otherwise could depress the market price of our common stock and impair our ability to raise capital through the sale of additional equity securities. We cannot predict the effect that future sales of our common stock or the market perception that we are permitted to sell a significant number of our securities would have on the market price of our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use the net proceeds of this offering, if any, for general corporate purposes, which may include, without limitation, investing in or acquiring companies that are synergistic with or complementary to our business and working capital. The amounts and timing of these expenditures will depend on numerous factors, including the development of our current business initiatives. We have no specific acquisition contemplated at this time. Pending use of the net proceeds, we intend to invest the net proceeds in short-term, interest-bearing, investment-grade securities or in cash or money market funds.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Class A common stock, your interest will be diluted immediately to the extent of the difference between the public offering price per share and the adjusted net tangible book value per share of our Class A common stock after this offering.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tangible book value on March 31, 2023 was approximately $2.4 million, or $0.01 per share of Class A common stock. “Net tangible book value” is total assets minus the sum of liabilities and intangible assets. “Net tangible book value per share” is net tangible book value divided by the total number of shares outstanding.</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 giving effect to the issuance of 13,967,373 shares of our common stock for net proceeds of approximately $41.9 million in our equity line of credit from the period beginning on April 1, 2023 through June 15, 2023 (the “Equity Line Program”), our pro forma net tangible book value as of March 31, 2023 was $44.3 million, or $0.23 per share of common stock.</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After giving effect to the sale of shares of our common stock in the aggregate amount of $150,000,000 in this offering at an assumed offering price of $3.53 per share, which was the last reported sale price of our common stock on The Nasdaq Global Market on July 11, 2023, and after deducting estimated offering commissions and expenses payable by us, our pro forma, as adjusted net tangible book value as of March 31, 2023 would have been approximately $190.3 million, or $0.82 per share of common stock. This represents an immediate increase in net tangible book value of $0.81 per share to our existing stockholders and an immediate dilution in net tangible book value of $2.71 per share to investors participating in this offering. The following table illustrates this dilution per share to investors participating in this offering: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Net tangible book value per share as of March 31, 2023</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0.01</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increase in net tangible book value per share attributable to the Equity Line Program</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0.22</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0.60</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1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1"/>
                <w:szCs w:val="21"/>
                <w:color w:val="auto"/>
              </w:rPr>
            </w:pPr>
          </w:p>
        </w:tc>
      </w:tr>
      <w:tr>
        <w:trPr>
          <w:trHeight w:val="217"/>
        </w:trPr>
        <w:tc>
          <w:tcPr>
            <w:tcW w:w="7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Dilution per share to new investors</w:t>
            </w:r>
          </w:p>
        </w:tc>
        <w:tc>
          <w:tcPr>
            <w:tcW w:w="13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above assumes, for illustrative purposes, that an aggregate of 42,492,917 shares of our common stock are sold at a price of $3.53 per share, the last reported sale price of our common stock on The NASDAQ Capital Market on July 11, 2023, for aggregate gross proceeds of $150,000,000. The shares sold in this offering, if any, will be sold from time to time at various prices.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number of shares of our common stock that will be outstanding immediately after this offering as shown above is based on 174,714,741 shares outstanding as of March 31, 2023. The number of shares outstanding excludes the following as of March 31, 2023:</w:t>
      </w:r>
    </w:p>
    <w:p>
      <w:pPr>
        <w:spacing w:after="0" w:line="170" w:lineRule="exact"/>
        <w:rPr>
          <w:sz w:val="20"/>
          <w:szCs w:val="20"/>
          <w:color w:val="auto"/>
        </w:rPr>
      </w:pPr>
    </w:p>
    <w:p>
      <w:pPr>
        <w:ind w:left="1260" w:hanging="42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39,735,408 shares of our common stock issuable upon conversion of Class B common stock;</w:t>
      </w:r>
    </w:p>
    <w:p>
      <w:pPr>
        <w:spacing w:after="0" w:line="225" w:lineRule="exact"/>
        <w:rPr>
          <w:rFonts w:ascii="Arial" w:cs="Arial" w:eastAsia="Arial" w:hAnsi="Arial"/>
          <w:sz w:val="18"/>
          <w:szCs w:val="18"/>
          <w:color w:val="auto"/>
        </w:rPr>
      </w:pPr>
    </w:p>
    <w:p>
      <w:pPr>
        <w:ind w:left="1260" w:hanging="42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25,050,330 shares of our common stock issuable upon conversion of Series A preferred stock;</w:t>
      </w:r>
    </w:p>
    <w:p>
      <w:pPr>
        <w:spacing w:after="0" w:line="225" w:lineRule="exact"/>
        <w:rPr>
          <w:rFonts w:ascii="Arial" w:cs="Arial" w:eastAsia="Arial" w:hAnsi="Arial"/>
          <w:sz w:val="18"/>
          <w:szCs w:val="18"/>
          <w:color w:val="auto"/>
        </w:rPr>
      </w:pPr>
    </w:p>
    <w:p>
      <w:pPr>
        <w:ind w:left="1260" w:hanging="420"/>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12,589,404 shares of our common stock issuable upon vesting of restricted stock units outstanding under our stock incentive plans;</w:t>
      </w:r>
    </w:p>
    <w:p>
      <w:pPr>
        <w:spacing w:after="0" w:line="236" w:lineRule="exact"/>
        <w:rPr>
          <w:rFonts w:ascii="Arial" w:cs="Arial" w:eastAsia="Arial" w:hAnsi="Arial"/>
          <w:sz w:val="17"/>
          <w:szCs w:val="17"/>
          <w:color w:val="auto"/>
        </w:rPr>
      </w:pPr>
    </w:p>
    <w:p>
      <w:pPr>
        <w:ind w:left="1260" w:hanging="420"/>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21,669,941 shares of our common stock issuable upon exercise of stock options outstanding under our stock incentive plans, 18,165,913 of which are currently exercisable, which have a weighted average exercise price of $3.17 per share; and</w:t>
      </w:r>
    </w:p>
    <w:p>
      <w:pPr>
        <w:spacing w:after="0" w:line="170" w:lineRule="exact"/>
        <w:rPr>
          <w:rFonts w:ascii="Arial" w:cs="Arial" w:eastAsia="Arial" w:hAnsi="Arial"/>
          <w:sz w:val="18"/>
          <w:szCs w:val="18"/>
          <w:color w:val="auto"/>
        </w:rPr>
      </w:pPr>
    </w:p>
    <w:p>
      <w:pPr>
        <w:ind w:left="1260" w:hanging="420"/>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3,665,996 shares of our common stock issuable upon exercise of our outstanding warrants which have a weighted average exercise price of $11.50.</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dilution table above also excludes any securities, other than the securities issued in the Equity Line Program, after March 31, 2023, including upon vesting of any restricted stock units, exercise of any stock options or conversion of any shares of Class B common stock.</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that any of our outstanding shares of Class B common stock or Series A preferred stock are converted into common stock, any of our outstanding options or warrants are exercised or restricted stock units vest, we grant additional options or other awards under our stock incentive plan or issue additional warrants, or we issue additional shares of common stock in the future, there may be further dilution.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description is not complete and may not contain all the information you should consider before investing in our common stock. For a more detailed description of these securities, you should read the applicable provisions of Delaware law and our certificate of incorporation, as amended, referred to herein as our certificate of incorporation, and our bylaws.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authorized capital stock consists of 500,000,000 shares, par value $0.0001 per share, consisting of: 499,000,000 shares of common stock, of which, 455,000,000 shares are designated as Class A Common Stock and 44,000,000 shares are designated as Class B common stock (“Class B Common Stock”); and 1,000,000 shares of preferred stock, all of which are designated as Series A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June 30, 2023, there were 194,064,576 shares of the Company’s Class A Common Stock issued and outstanding. In addition, there were 6,967,532 shares of Class A Common Stock issuable upon exercise of outstanding warrants, 19,260,877 shares of Class A Common Stock issuable upon exercise of outstanding stock options, and 11,779,718 shares of Class A Common Stock issuable upon vesting of restricted stock units.</w:t>
      </w:r>
    </w:p>
    <w:p>
      <w:pPr>
        <w:spacing w:after="0" w:line="1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We entered into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with the Cantor Fitzgerald &amp; Co., H.C. Wainwright &amp; Co., LLC, and D.A. Davidson &amp; Co. on July 24, 2023, under which we may issue and sell from time to time up to $150,000,000 of our common stock through or to the Sales</w:t>
      </w:r>
    </w:p>
    <w:p>
      <w:pPr>
        <w:jc w:val="both"/>
        <w:spacing w:after="0" w:line="243" w:lineRule="auto"/>
        <w:rPr>
          <w:sz w:val="20"/>
          <w:szCs w:val="20"/>
          <w:color w:val="auto"/>
        </w:rPr>
      </w:pPr>
      <w:r>
        <w:rPr>
          <w:rFonts w:ascii="Arial" w:cs="Arial" w:eastAsia="Arial" w:hAnsi="Arial"/>
          <w:sz w:val="16"/>
          <w:szCs w:val="16"/>
          <w:color w:val="auto"/>
        </w:rPr>
        <w:t>Agents, as agent or principal, pursuant to this prospectus. Sales of our common stock, if any, under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will be made at market prices by any method that is deemed to be an “at the market offering” as defined in Rule 415 under the Securities Act.</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Each time we wish to issue and sell common stock under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we will notify a Sales Agent of the number of shares to be issued, the dates on which such sales are anticipated to be made and any minimum price below which sales may not be made. Once we have so instructed the Sales Agent, unless such Sales Agent declines to accept the terms of this notice, the Sales Agent has agreed to use its commercially reasonable efforts consistent with its normal trading and sales practices to sell such shares up to the amount specified on such terms. The</w:t>
      </w:r>
    </w:p>
    <w:p>
      <w:pPr>
        <w:jc w:val="both"/>
        <w:spacing w:after="0" w:line="215" w:lineRule="auto"/>
        <w:rPr>
          <w:sz w:val="20"/>
          <w:szCs w:val="20"/>
          <w:color w:val="auto"/>
        </w:rPr>
      </w:pPr>
      <w:r>
        <w:rPr>
          <w:rFonts w:ascii="Arial" w:cs="Arial" w:eastAsia="Arial" w:hAnsi="Arial"/>
          <w:sz w:val="18"/>
          <w:szCs w:val="18"/>
          <w:color w:val="auto"/>
        </w:rPr>
        <w:t>obligations of the Sales Agents under the Controlled Equity Offering</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Sales Agreement to sell our common stock are subject to a number of conditions that we must meet.</w:t>
      </w:r>
    </w:p>
    <w:p>
      <w:pPr>
        <w:spacing w:after="0" w:line="2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settlement between us and the Sales Agents is generally anticipated to occur on the second trading day following the date on which the sale was made. Sales of our common stock as contemplated in this prospectus will be settled through the facilities of The Depository Trust Company or by such other means as we and the Sales Agents may agree upon. There is no arrangement for funds to be received in an escrow, trust or similar arrangement.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will pay the Sales Agents commission for their services in acting as agent in the sale of our common stock. The Sales Agents are entitled to</w:t>
      </w:r>
    </w:p>
    <w:p>
      <w:pPr>
        <w:spacing w:after="0" w:line="4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aggregate compensation at a fixed commission rate of 2.5% of the gross sales price per share sold under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Because there is no minimum offering amount required as a condition to close this offering, the actual total public offering amount, commissions and proceeds to us, if any, are not determinable at this time. We have also agreed to reimburse the Sales Agents for certain specified expenses, including the reasonable and documented fees and disbursements of its legal counsel in an amount not to exceed $75,000 in the aggregate in connection with the execution of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and $5,000 for each program “refresh” executed pursuant to the Controlled</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In connection with the sale of the common stock on our behalf, each of the Sales Agents will be deemed to be an “underwriter” within the meaning of the Securities Act and the compensation of the Sales Agents will be deemed to be underwriting commissions or discounts. We have agreed to provide indemnification and contribution to the Sales Agents with respect to certain civil liabilities, including liabilities under the Securities Act. We estimate that the total expenses for the offering, excluding compensation payable to Sales Agents under the terms of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will be approximately $210,000.</w:t>
      </w:r>
    </w:p>
    <w:p>
      <w:pPr>
        <w:spacing w:after="0" w:line="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8"/>
          <w:szCs w:val="18"/>
          <w:color w:val="auto"/>
        </w:rPr>
        <w:t>This offering of common stock pursuant to this prospectus will terminate upon the earlier of (i) the sale of all common stock provided for in this prospectus, or (ii) termination of the Controlled Equity Offering</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Sales Agreement as permitted therein.</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summary of the material provisions of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does not purport to be a complete statement of its</w:t>
      </w:r>
    </w:p>
    <w:p>
      <w:pPr>
        <w:jc w:val="both"/>
        <w:spacing w:after="0" w:line="215" w:lineRule="auto"/>
        <w:rPr>
          <w:sz w:val="20"/>
          <w:szCs w:val="20"/>
          <w:color w:val="auto"/>
        </w:rPr>
      </w:pPr>
      <w:r>
        <w:rPr>
          <w:rFonts w:ascii="Arial" w:cs="Arial" w:eastAsia="Arial" w:hAnsi="Arial"/>
          <w:sz w:val="18"/>
          <w:szCs w:val="18"/>
          <w:color w:val="auto"/>
        </w:rPr>
        <w:t>terms and conditions. A copy of the Controlled Equity Offering</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Sales Agreement is filed with the SEC and are incorporated by reference into the registration statement of which this prospectus is a part. See “Where You Can Find More Information” below.</w:t>
      </w:r>
    </w:p>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of the Sales Agents and its affiliates may in the future provide various investment banking, commercial banking and other financial services for us and our affiliates, for which services they may in the future receive customary fees. To the extent required by Regulation M under the Exchange Act, such Sales Agent will not engage in any market making activities involving our common stock while the offering is ongoing under this prospectus.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prospectus in electronic format may be made available on a website maintained by each of the Sales Agents and any Sales Agent may distribute this prospectus electronically.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validity of the issuance of the common stock offered by this prospectus will be passed upon for us by Ellenoff Grossman &amp; Schole LLP, New York, New York. The Sales Agents are being represented in connection with this offering by King &amp; Spalding LLP, New York, New York.</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of SoundHound, Inc. as of and for the years ended December 31, 2022 and 2021,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file annual, quarter and periodic reports, proxy statements and other information with the SEC using the its EDGAR system. The SEC maintains a web site that contains reports, proxy and information statements and other information regarding registrants that file electronically with the SEC. The address of such site is http//www.sec.gov.</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spacing w:after="0" w:line="178" w:lineRule="exact"/>
        <w:rPr>
          <w:sz w:val="20"/>
          <w:szCs w:val="20"/>
          <w:color w:val="auto"/>
        </w:rPr>
      </w:pPr>
    </w:p>
    <w:p>
      <w:pPr>
        <w:ind w:left="840" w:hanging="18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28, 2023;</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12, 2023;</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w:t>
      </w:r>
      <w:hyperlink r:id="rId53">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30, 2023; and</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Our Current Reports on Form 8-K filed with the SEC on </w:t>
      </w:r>
      <w:hyperlink r:id="rId54">
        <w:r>
          <w:rPr>
            <w:rFonts w:ascii="Arial" w:cs="Arial" w:eastAsia="Arial" w:hAnsi="Arial"/>
            <w:sz w:val="16"/>
            <w:szCs w:val="16"/>
            <w:u w:val="single" w:color="auto"/>
            <w:color w:val="0000EE"/>
          </w:rPr>
          <w:t>January 11, 2023</w:t>
        </w:r>
      </w:hyperlink>
      <w:r>
        <w:rPr>
          <w:rFonts w:ascii="Arial" w:cs="Arial" w:eastAsia="Arial" w:hAnsi="Arial"/>
          <w:sz w:val="16"/>
          <w:szCs w:val="16"/>
          <w:color w:val="auto"/>
        </w:rPr>
        <w:t xml:space="preserve">, </w:t>
      </w:r>
      <w:hyperlink r:id="rId55">
        <w:r>
          <w:rPr>
            <w:rFonts w:ascii="Arial" w:cs="Arial" w:eastAsia="Arial" w:hAnsi="Arial"/>
            <w:sz w:val="16"/>
            <w:szCs w:val="16"/>
            <w:u w:val="single" w:color="auto"/>
            <w:color w:val="0000EE"/>
          </w:rPr>
          <w:t>January 24, 2023</w:t>
        </w:r>
      </w:hyperlink>
      <w:r>
        <w:rPr>
          <w:rFonts w:ascii="Arial" w:cs="Arial" w:eastAsia="Arial" w:hAnsi="Arial"/>
          <w:sz w:val="16"/>
          <w:szCs w:val="16"/>
          <w:color w:val="auto"/>
        </w:rPr>
        <w:t xml:space="preserve">, </w:t>
      </w:r>
      <w:hyperlink r:id="rId56">
        <w:r>
          <w:rPr>
            <w:rFonts w:ascii="Arial" w:cs="Arial" w:eastAsia="Arial" w:hAnsi="Arial"/>
            <w:sz w:val="16"/>
            <w:szCs w:val="16"/>
            <w:u w:val="single" w:color="auto"/>
            <w:color w:val="0000EE"/>
          </w:rPr>
          <w:t xml:space="preserve">April 17, 2023 </w:t>
        </w:r>
      </w:hyperlink>
      <w:hyperlink r:id="rId57">
        <w:r>
          <w:rPr>
            <w:rFonts w:ascii="Arial" w:cs="Arial" w:eastAsia="Arial" w:hAnsi="Arial"/>
            <w:sz w:val="16"/>
            <w:szCs w:val="16"/>
            <w:u w:val="single" w:color="auto"/>
            <w:color w:val="auto"/>
          </w:rPr>
          <w:t xml:space="preserve">May </w:t>
        </w:r>
        <w:r>
          <w:rPr>
            <w:rFonts w:ascii="Arial" w:cs="Arial" w:eastAsia="Arial" w:hAnsi="Arial"/>
            <w:sz w:val="16"/>
            <w:szCs w:val="16"/>
            <w:u w:val="single" w:color="auto"/>
            <w:color w:val="0000EE"/>
          </w:rPr>
          <w:t>5, 2023</w:t>
        </w:r>
      </w:hyperlink>
      <w:r>
        <w:rPr>
          <w:rFonts w:ascii="Arial" w:cs="Arial" w:eastAsia="Arial" w:hAnsi="Arial"/>
          <w:sz w:val="16"/>
          <w:szCs w:val="16"/>
          <w:color w:val="auto"/>
        </w:rPr>
        <w:t xml:space="preserve">, and </w:t>
      </w:r>
      <w:hyperlink r:id="rId58">
        <w:r>
          <w:rPr>
            <w:rFonts w:ascii="Arial" w:cs="Arial" w:eastAsia="Arial" w:hAnsi="Arial"/>
            <w:sz w:val="16"/>
            <w:szCs w:val="16"/>
            <w:u w:val="single" w:color="auto"/>
            <w:color w:val="0000EE"/>
          </w:rPr>
          <w:t>July 5, 2023</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7" w:lineRule="exact"/>
        <w:rPr>
          <w:rFonts w:ascii="Arial" w:cs="Arial" w:eastAsia="Arial" w:hAnsi="Arial"/>
          <w:sz w:val="16"/>
          <w:szCs w:val="16"/>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78" w:lineRule="exact"/>
        <w:rPr>
          <w:rFonts w:ascii="Arial" w:cs="Arial" w:eastAsia="Arial" w:hAnsi="Arial"/>
          <w:sz w:val="16"/>
          <w:szCs w:val="16"/>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You may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Information about us is also available at our website at </w:t>
      </w:r>
      <w:r>
        <w:rPr>
          <w:rFonts w:ascii="Arial" w:cs="Arial" w:eastAsia="Arial" w:hAnsi="Arial"/>
          <w:sz w:val="18"/>
          <w:szCs w:val="18"/>
          <w:i w:val="1"/>
          <w:iCs w:val="1"/>
          <w:color w:val="auto"/>
        </w:rPr>
        <w:t>www.soundhound.com</w:t>
      </w:r>
      <w:r>
        <w:rPr>
          <w:rFonts w:ascii="Arial" w:cs="Arial" w:eastAsia="Arial" w:hAnsi="Arial"/>
          <w:sz w:val="18"/>
          <w:szCs w:val="18"/>
          <w:color w:val="auto"/>
        </w:rPr>
        <w:t>. However, the information in our website is not a part of this prospectus and is not incorporated by reference.</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$150,000,000 of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Cantor</w:t>
      </w:r>
    </w:p>
    <w:p>
      <w:pPr>
        <w:spacing w:after="0" w:line="215" w:lineRule="exact"/>
        <w:rPr>
          <w:sz w:val="20"/>
          <w:szCs w:val="20"/>
          <w:color w:val="auto"/>
        </w:rPr>
      </w:pPr>
    </w:p>
    <w:p>
      <w:pPr>
        <w:spacing w:after="0"/>
        <w:tabs>
          <w:tab w:leader="none" w:pos="9600" w:val="left"/>
        </w:tabs>
        <w:rPr>
          <w:sz w:val="20"/>
          <w:szCs w:val="20"/>
          <w:color w:val="auto"/>
        </w:rPr>
      </w:pPr>
      <w:r>
        <w:rPr>
          <w:rFonts w:ascii="Arial" w:cs="Arial" w:eastAsia="Arial" w:hAnsi="Arial"/>
          <w:sz w:val="18"/>
          <w:szCs w:val="18"/>
          <w:b w:val="1"/>
          <w:bCs w:val="1"/>
          <w:color w:val="auto"/>
        </w:rPr>
        <w:t>H.C. Wainwright &amp; Co.</w:t>
      </w:r>
      <w:r>
        <w:rPr>
          <w:sz w:val="20"/>
          <w:szCs w:val="20"/>
          <w:color w:val="auto"/>
        </w:rPr>
        <w:tab/>
      </w:r>
      <w:r>
        <w:rPr>
          <w:rFonts w:ascii="Arial" w:cs="Arial" w:eastAsia="Arial" w:hAnsi="Arial"/>
          <w:sz w:val="16"/>
          <w:szCs w:val="16"/>
          <w:b w:val="1"/>
          <w:bCs w:val="1"/>
          <w:color w:val="auto"/>
        </w:rPr>
        <w:t>D.A. Davidson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is paying all expenses of the offering. The following table sets forth all expenses to be paid by the registrant. All amounts shown are estimates except for the registration fee.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44,080</w:t>
            </w: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Printing</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Trustees’ Fees and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Warrant Agent Fees and Expenses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6"/>
        </w:trPr>
        <w:tc>
          <w:tcPr>
            <w:tcW w:w="10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209,080</w:t>
            </w:r>
          </w:p>
        </w:tc>
        <w:tc>
          <w:tcPr>
            <w:tcW w:w="100" w:type="dxa"/>
            <w:vAlign w:val="bottom"/>
          </w:tcPr>
          <w:p>
            <w:pPr>
              <w:spacing w:after="0"/>
              <w:rPr>
                <w:sz w:val="19"/>
                <w:szCs w:val="19"/>
                <w:color w:val="auto"/>
              </w:rPr>
            </w:pPr>
          </w:p>
        </w:tc>
      </w:tr>
      <w:tr>
        <w:trPr>
          <w:trHeight w:val="21"/>
        </w:trPr>
        <w:tc>
          <w:tcPr>
            <w:tcW w:w="10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 The applicable prospectus supplement will set forth the estimated amount of expenses of any offering of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Charter and our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Charter also authorizes us to indemnify our officers, directors and other agents to the fullest extent permitted under Delaware law.</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permitted by Section 145 of the Delaware General Corporation Law, our Bylaws provide that:</w:t>
      </w:r>
    </w:p>
    <w:p>
      <w:pPr>
        <w:spacing w:after="0" w:line="225"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provided in our Bylaws are not exclusive.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71" w:lineRule="auto"/>
        <w:rPr>
          <w:sz w:val="20"/>
          <w:szCs w:val="20"/>
          <w:color w:val="auto"/>
        </w:rPr>
      </w:pPr>
      <w:r>
        <w:rPr>
          <w:rFonts w:ascii="Arial" w:cs="Arial" w:eastAsia="Arial" w:hAnsi="Arial"/>
          <w:sz w:val="17"/>
          <w:szCs w:val="17"/>
          <w:color w:val="auto"/>
        </w:rPr>
        <w:t>Our Charter and our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purchased and currently intends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this Registration Statement.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agreements included or incorporated by reference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disclosures that were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4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12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Description of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120" w:type="dxa"/>
            <w:vAlign w:val="bottom"/>
            <w:gridSpan w:val="8"/>
          </w:tcPr>
          <w:p>
            <w:pPr>
              <w:ind w:left="20"/>
              <w:spacing w:after="0"/>
              <w:rPr>
                <w:sz w:val="20"/>
                <w:szCs w:val="20"/>
                <w:color w:val="auto"/>
              </w:rPr>
            </w:pPr>
            <w:r>
              <w:rPr>
                <w:rFonts w:ascii="Arial" w:cs="Arial" w:eastAsia="Arial" w:hAnsi="Arial"/>
                <w:sz w:val="18"/>
                <w:szCs w:val="18"/>
                <w:color w:val="auto"/>
              </w:rPr>
              <w:t>Form of Certificate of Designation of Preferred Stock**</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Form of Stock Purchase Contract**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0120" w:type="dxa"/>
            <w:vAlign w:val="bottom"/>
            <w:gridSpan w:val="8"/>
          </w:tcPr>
          <w:p>
            <w:pPr>
              <w:ind w:left="20"/>
              <w:spacing w:after="0"/>
              <w:rPr>
                <w:sz w:val="20"/>
                <w:szCs w:val="20"/>
                <w:color w:val="auto"/>
              </w:rPr>
            </w:pPr>
            <w:r>
              <w:rPr>
                <w:rFonts w:ascii="Arial" w:cs="Arial" w:eastAsia="Arial" w:hAnsi="Arial"/>
                <w:sz w:val="18"/>
                <w:szCs w:val="18"/>
                <w:color w:val="auto"/>
              </w:rPr>
              <w:t>Form of Warrant Agreement and Form of Warrant Certificate**</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Form of Subscription Rights Agreement and Form Subscription Rights Certificate**</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1012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Form of Indenture*</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0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Form of Note**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120" w:type="dxa"/>
            <w:vAlign w:val="bottom"/>
            <w:gridSpan w:val="8"/>
          </w:tcPr>
          <w:p>
            <w:pPr>
              <w:ind w:left="20"/>
              <w:spacing w:after="0"/>
              <w:rPr>
                <w:sz w:val="20"/>
                <w:szCs w:val="20"/>
                <w:color w:val="auto"/>
              </w:rPr>
            </w:pPr>
            <w:r>
              <w:rPr>
                <w:rFonts w:ascii="Arial" w:cs="Arial" w:eastAsia="Arial" w:hAnsi="Arial"/>
                <w:sz w:val="18"/>
                <w:szCs w:val="18"/>
                <w:color w:val="auto"/>
              </w:rPr>
              <w:t>Form of Debt Securities**</w:t>
            </w: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1012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Opinion of Ellenoff Grossman &amp; Schole LLP*</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1012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Form of Controlled Equity OfferingSM Sales Agreement*</w:t>
            </w: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0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1012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Consent of Armanino LLP*</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5"/>
                <w:szCs w:val="15"/>
                <w:color w:val="auto"/>
              </w:rPr>
            </w:pPr>
          </w:p>
        </w:tc>
        <w:tc>
          <w:tcPr>
            <w:tcW w:w="1012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rPr>
              <w:t>Consent of Ellenoff Grossman &amp; Schole LLP (included in Exhibit 5.1)*</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5"/>
                <w:szCs w:val="15"/>
                <w:color w:val="auto"/>
              </w:rPr>
            </w:pPr>
          </w:p>
        </w:tc>
        <w:tc>
          <w:tcPr>
            <w:tcW w:w="10120" w:type="dxa"/>
            <w:vAlign w:val="bottom"/>
            <w:gridSpan w:val="8"/>
          </w:tcPr>
          <w:p>
            <w:pPr>
              <w:ind w:left="20"/>
              <w:spacing w:after="0" w:line="176" w:lineRule="exact"/>
              <w:rPr>
                <w:sz w:val="20"/>
                <w:szCs w:val="20"/>
                <w:color w:val="auto"/>
              </w:rPr>
            </w:pPr>
            <w:r>
              <w:rPr>
                <w:rFonts w:ascii="Arial" w:cs="Arial" w:eastAsia="Arial" w:hAnsi="Arial"/>
                <w:sz w:val="18"/>
                <w:szCs w:val="18"/>
                <w:color w:val="0000EE"/>
              </w:rPr>
              <w:t>Power of Attorney (included in Part II of this Registration Statement)*</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01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Statement of Eligibility of trustee on Form T-1**+</w:t>
            </w:r>
          </w:p>
        </w:tc>
      </w:tr>
    </w:tbl>
    <w:p>
      <w:pPr>
        <w:ind w:right="7780" w:firstLine="8"/>
        <w:spacing w:after="0" w:line="447" w:lineRule="auto"/>
        <w:tabs>
          <w:tab w:leader="none" w:pos="1123"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EE"/>
        </w:rPr>
        <w:t xml:space="preserve">Calculation of Filing Fee Table* </w:t>
      </w:r>
      <w:r>
        <w:rPr>
          <w:rFonts w:ascii="Arial" w:cs="Arial" w:eastAsia="Arial" w:hAnsi="Arial"/>
          <w:sz w:val="18"/>
          <w:szCs w:val="18"/>
          <w:color w:val="000000"/>
        </w:rPr>
        <w:t>* Filed herewith.</w:t>
      </w:r>
    </w:p>
    <w:p>
      <w:pPr>
        <w:spacing w:after="0" w:line="133" w:lineRule="exact"/>
        <w:rPr>
          <w:sz w:val="20"/>
          <w:szCs w:val="20"/>
          <w:color w:val="auto"/>
        </w:rPr>
      </w:pPr>
    </w:p>
    <w:p>
      <w:pPr>
        <w:ind w:left="340" w:hanging="332"/>
        <w:spacing w:after="0" w:line="182" w:lineRule="auto"/>
        <w:tabs>
          <w:tab w:leader="none" w:pos="340" w:val="left"/>
        </w:tabs>
        <w:numPr>
          <w:ilvl w:val="0"/>
          <w:numId w:val="27"/>
        </w:numPr>
        <w:rPr>
          <w:rFonts w:ascii="Arial" w:cs="Arial" w:eastAsia="Arial" w:hAnsi="Arial"/>
          <w:sz w:val="34"/>
          <w:szCs w:val="34"/>
          <w:color w:val="auto"/>
          <w:vertAlign w:val="subscript"/>
        </w:rPr>
      </w:pPr>
      <w:r>
        <w:rPr>
          <w:rFonts w:ascii="Arial" w:cs="Arial" w:eastAsia="Arial" w:hAnsi="Arial"/>
          <w:sz w:val="17"/>
          <w:szCs w:val="17"/>
          <w:color w:val="auto"/>
        </w:rPr>
        <w:t>If applicable, to be filed by an amendment or as an exhibit to a report pursuant to section 13(a) or section 15(d) of the Exchange Act and incorporated by reference</w:t>
      </w:r>
    </w:p>
    <w:p>
      <w:pPr>
        <w:spacing w:after="0" w:line="23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be filed pursuant to Rule 305(b)(2) of the Trust Indenture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575" w:val="left"/>
        </w:tabs>
        <w:numPr>
          <w:ilvl w:val="2"/>
          <w:numId w:val="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firstLine="1304"/>
        <w:spacing w:after="0" w:line="277" w:lineRule="auto"/>
        <w:tabs>
          <w:tab w:leader="none" w:pos="1623"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w:t>
      </w:r>
      <w:r>
        <w:rPr>
          <w:rFonts w:ascii="Arial" w:cs="Arial" w:eastAsia="Arial" w:hAnsi="Arial"/>
          <w:sz w:val="18"/>
          <w:szCs w:val="18"/>
          <w:i w:val="1"/>
          <w:iCs w:val="1"/>
          <w:color w:val="auto"/>
        </w:rPr>
        <w:t xml:space="preserve"> however </w:t>
      </w:r>
      <w:r>
        <w:rPr>
          <w:rFonts w:ascii="Arial" w:cs="Arial" w:eastAsia="Arial" w:hAnsi="Arial"/>
          <w:sz w:val="18"/>
          <w:szCs w:val="18"/>
          <w:color w:val="auto"/>
        </w:rPr>
        <w:t>, that paragraphs (1)(i), (1)(ii) and (1)(iii)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575"/>
        <w:spacing w:after="0" w:line="263" w:lineRule="auto"/>
        <w:tabs>
          <w:tab w:leader="none" w:pos="8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575"/>
        <w:spacing w:after="0" w:line="277" w:lineRule="auto"/>
        <w:tabs>
          <w:tab w:leader="none" w:pos="8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20" w:hanging="245"/>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firstLine="1304"/>
        <w:spacing w:after="0" w:line="277" w:lineRule="auto"/>
        <w:tabs>
          <w:tab w:leader="none" w:pos="15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1563"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56"/>
        <w:spacing w:after="0" w:line="257" w:lineRule="auto"/>
        <w:tabs>
          <w:tab w:leader="none" w:pos="9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1520" w:hanging="216"/>
        <w:spacing w:after="0"/>
        <w:tabs>
          <w:tab w:leader="none" w:pos="15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424;</w:t>
      </w:r>
    </w:p>
    <w:p>
      <w:pPr>
        <w:spacing w:after="0" w:line="210" w:lineRule="exact"/>
        <w:rPr>
          <w:rFonts w:ascii="Arial" w:cs="Arial" w:eastAsia="Arial" w:hAnsi="Arial"/>
          <w:sz w:val="16"/>
          <w:szCs w:val="16"/>
          <w:color w:val="auto"/>
        </w:rPr>
      </w:pPr>
    </w:p>
    <w:p>
      <w:pPr>
        <w:ind w:firstLine="1304"/>
        <w:spacing w:after="0" w:line="277" w:lineRule="auto"/>
        <w:tabs>
          <w:tab w:leader="none" w:pos="1552"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firstLine="1304"/>
        <w:spacing w:after="0" w:line="277" w:lineRule="auto"/>
        <w:tabs>
          <w:tab w:leader="none" w:pos="1637"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firstLine="8"/>
        <w:spacing w:after="0" w:line="257"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firstLine="8"/>
        <w:spacing w:after="0" w:line="279" w:lineRule="auto"/>
        <w:tabs>
          <w:tab w:leader="none" w:pos="24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71" w:lineRule="exact"/>
        <w:rPr>
          <w:rFonts w:ascii="Arial" w:cs="Arial" w:eastAsia="Arial" w:hAnsi="Arial"/>
          <w:sz w:val="17"/>
          <w:szCs w:val="17"/>
          <w:color w:val="auto"/>
        </w:rPr>
      </w:pPr>
    </w:p>
    <w:p>
      <w:pPr>
        <w:jc w:val="both"/>
        <w:ind w:firstLine="8"/>
        <w:spacing w:after="0" w:line="271" w:lineRule="auto"/>
        <w:tabs>
          <w:tab w:leader="none" w:pos="264"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260" w:hanging="252"/>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firstLine="8"/>
        <w:spacing w:after="0" w:line="260"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 Section 310 of the Trust Indenture Act in accordance with the rules and regulations prescribed by the SEC under Section 305(b)(2) of the Trust Indenture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Santa Clara, State of California, on this 24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July, 2023.</w:t>
      </w:r>
    </w:p>
    <w:p>
      <w:pPr>
        <w:spacing w:after="0" w:line="2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SOUNDHOUND AI, INC.</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Dr. Keyvan Mohajer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Dr. Keyvan Mohajer as his or her true and lawful attorney-in-fact and agent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increasing the number of shares for which registration is sought, and all post-effective amendments thereto, and to file the same, with all exhibits thereto and all documents in connection therewith, making such changes in this registration statement as such attorney-in-fact and agent so acting deem appropriate, with the SEC, granting unto said attorney-in-fact and agent full power and authority to do and perform each and every act and thing requisite and necessary to be done with respect to the offering of securities contemplated by this registration statement, as fully to all intents and purposes as he or she might or could do in person, hereby ratifying and confirming all that said attorney-in-fact and agent, or his, her or their substitute or substitutes, may lawfully do or cause to be done or by virtue hereof.</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504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7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Keyvan Mohajer</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July 24, 2023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Dr. Keyvan Mohajer</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7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Nitesh Sharan</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July 24, 2023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Nitesh Sharan</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5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Hom</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July 24, 2023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James Hom</w:t>
            </w: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7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Eric Ball</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July 24, 2023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Dr. Eric Ball</w:t>
            </w: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7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Marcus</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July 24, 2023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Larry Marcus</w:t>
            </w: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5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Diana Sroka</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July 24, 2023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Diana Sroka</w:t>
            </w:r>
          </w:p>
        </w:tc>
        <w:tc>
          <w:tcPr>
            <w:tcW w:w="12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655"/>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II-5</w:t>
            </w: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4.5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SOUNDHOUND AI., INC., as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jc w:val="center"/>
              <w:ind w:left="4990"/>
              <w:spacing w:after="0"/>
              <w:rPr>
                <w:sz w:val="20"/>
                <w:szCs w:val="20"/>
                <w:color w:val="auto"/>
              </w:rPr>
            </w:pPr>
            <w:r>
              <w:rPr>
                <w:rFonts w:ascii="Arial" w:cs="Arial" w:eastAsia="Arial" w:hAnsi="Arial"/>
                <w:sz w:val="18"/>
                <w:szCs w:val="18"/>
                <w:color w:val="auto"/>
                <w:w w:val="86"/>
              </w:rPr>
              <w:t>and</w:t>
            </w:r>
          </w:p>
        </w:tc>
        <w:tc>
          <w:tcPr>
            <w:tcW w:w="5060" w:type="dxa"/>
            <w:vAlign w:val="bottom"/>
          </w:tcPr>
          <w:p>
            <w:pPr>
              <w:spacing w:after="0"/>
              <w:rPr>
                <w:sz w:val="18"/>
                <w:szCs w:val="18"/>
                <w:color w:val="auto"/>
              </w:rPr>
            </w:pPr>
          </w:p>
        </w:tc>
      </w:tr>
      <w:tr>
        <w:trPr>
          <w:trHeight w:val="216"/>
        </w:trPr>
        <w:tc>
          <w:tcPr>
            <w:tcW w:w="6180" w:type="dxa"/>
            <w:vAlign w:val="bottom"/>
          </w:tcPr>
          <w:p>
            <w:pPr>
              <w:jc w:val="right"/>
              <w:ind w:right="1290"/>
              <w:spacing w:after="0"/>
              <w:rPr>
                <w:sz w:val="20"/>
                <w:szCs w:val="20"/>
                <w:color w:val="auto"/>
              </w:rPr>
            </w:pPr>
            <w:r>
              <w:rPr>
                <w:rFonts w:ascii="Arial" w:cs="Arial" w:eastAsia="Arial" w:hAnsi="Arial"/>
                <w:sz w:val="18"/>
                <w:szCs w:val="18"/>
                <w:color w:val="auto"/>
              </w:rPr>
              <w:t>[</w:t>
            </w:r>
          </w:p>
        </w:tc>
        <w:tc>
          <w:tcPr>
            <w:tcW w:w="5060" w:type="dxa"/>
            <w:vAlign w:val="bottom"/>
          </w:tcPr>
          <w:p>
            <w:pPr>
              <w:jc w:val="center"/>
              <w:ind w:right="4630"/>
              <w:spacing w:after="0"/>
              <w:rPr>
                <w:sz w:val="20"/>
                <w:szCs w:val="20"/>
                <w:color w:val="auto"/>
              </w:rPr>
            </w:pPr>
            <w:r>
              <w:rPr>
                <w:rFonts w:ascii="Arial" w:cs="Arial" w:eastAsia="Arial" w:hAnsi="Arial"/>
                <w:sz w:val="18"/>
                <w:szCs w:val="18"/>
                <w:color w:val="auto"/>
                <w:w w:val="88"/>
              </w:rPr>
              <w:t>], as</w:t>
            </w:r>
          </w:p>
        </w:tc>
      </w:tr>
      <w:tr>
        <w:trPr>
          <w:trHeight w:val="230"/>
        </w:trPr>
        <w:tc>
          <w:tcPr>
            <w:tcW w:w="11240" w:type="dxa"/>
            <w:vAlign w:val="bottom"/>
            <w:gridSpan w:val="2"/>
          </w:tcPr>
          <w:p>
            <w:pPr>
              <w:jc w:val="center"/>
              <w:spacing w:after="0"/>
              <w:rPr>
                <w:sz w:val="20"/>
                <w:szCs w:val="20"/>
                <w:color w:val="auto"/>
              </w:rPr>
            </w:pPr>
            <w:r>
              <w:rPr>
                <w:rFonts w:ascii="Arial" w:cs="Arial" w:eastAsia="Arial" w:hAnsi="Arial"/>
                <w:sz w:val="18"/>
                <w:szCs w:val="18"/>
                <w:color w:val="auto"/>
                <w:w w:val="95"/>
              </w:rPr>
              <w:t>INDENTURE TRUSTEE</w:t>
            </w:r>
          </w:p>
        </w:tc>
      </w:tr>
      <w:tr>
        <w:trPr>
          <w:trHeight w:val="634"/>
        </w:trPr>
        <w:tc>
          <w:tcPr>
            <w:tcW w:w="6180" w:type="dxa"/>
            <w:vAlign w:val="bottom"/>
          </w:tcPr>
          <w:p>
            <w:pPr>
              <w:jc w:val="center"/>
              <w:ind w:left="4970"/>
              <w:spacing w:after="0"/>
              <w:rPr>
                <w:sz w:val="20"/>
                <w:szCs w:val="20"/>
                <w:color w:val="auto"/>
              </w:rPr>
            </w:pPr>
            <w:r>
              <w:rPr>
                <w:rFonts w:ascii="Arial" w:cs="Arial" w:eastAsia="Arial" w:hAnsi="Arial"/>
                <w:sz w:val="18"/>
                <w:szCs w:val="18"/>
                <w:b w:val="1"/>
                <w:bCs w:val="1"/>
                <w:color w:val="auto"/>
              </w:rPr>
              <w:t>INDENTURE</w:t>
            </w:r>
          </w:p>
        </w:tc>
        <w:tc>
          <w:tcPr>
            <w:tcW w:w="5060" w:type="dxa"/>
            <w:vAlign w:val="bottom"/>
          </w:tcPr>
          <w:p>
            <w:pPr>
              <w:spacing w:after="0"/>
              <w:rPr>
                <w:sz w:val="24"/>
                <w:szCs w:val="24"/>
                <w:color w:val="auto"/>
              </w:rPr>
            </w:pPr>
          </w:p>
        </w:tc>
      </w:tr>
      <w:tr>
        <w:trPr>
          <w:trHeight w:val="230"/>
        </w:trPr>
        <w:tc>
          <w:tcPr>
            <w:tcW w:w="6180" w:type="dxa"/>
            <w:vAlign w:val="bottom"/>
          </w:tcPr>
          <w:p>
            <w:pPr>
              <w:jc w:val="right"/>
              <w:ind w:right="330"/>
              <w:spacing w:after="0"/>
              <w:rPr>
                <w:sz w:val="20"/>
                <w:szCs w:val="20"/>
                <w:color w:val="auto"/>
              </w:rPr>
            </w:pPr>
            <w:r>
              <w:rPr>
                <w:rFonts w:ascii="Arial" w:cs="Arial" w:eastAsia="Arial" w:hAnsi="Arial"/>
                <w:sz w:val="18"/>
                <w:szCs w:val="18"/>
                <w:color w:val="auto"/>
              </w:rPr>
              <w:t>Dated as of [</w:t>
            </w:r>
          </w:p>
        </w:tc>
        <w:tc>
          <w:tcPr>
            <w:tcW w:w="5060" w:type="dxa"/>
            <w:vAlign w:val="bottom"/>
          </w:tcPr>
          <w:p>
            <w:pPr>
              <w:jc w:val="right"/>
              <w:ind w:right="4750"/>
              <w:spacing w:after="0"/>
              <w:rPr>
                <w:sz w:val="20"/>
                <w:szCs w:val="20"/>
                <w:color w:val="auto"/>
              </w:rPr>
            </w:pPr>
            <w:r>
              <w:rPr>
                <w:rFonts w:ascii="Arial" w:cs="Arial" w:eastAsia="Arial" w:hAnsi="Arial"/>
                <w:sz w:val="18"/>
                <w:szCs w:val="18"/>
                <w:color w:val="auto"/>
              </w:rPr>
              <w:t>]</w:t>
            </w:r>
          </w:p>
        </w:tc>
      </w:tr>
      <w:tr>
        <w:trPr>
          <w:trHeight w:val="4327"/>
        </w:trPr>
        <w:tc>
          <w:tcPr>
            <w:tcW w:w="61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8600" w:type="dxa"/>
            <w:vAlign w:val="bottom"/>
          </w:tcPr>
          <w:p>
            <w:pPr>
              <w:ind w:left="3200"/>
              <w:spacing w:after="0"/>
              <w:rPr>
                <w:sz w:val="20"/>
                <w:szCs w:val="20"/>
                <w:color w:val="auto"/>
              </w:rPr>
            </w:pPr>
            <w:r>
              <w:rPr>
                <w:rFonts w:ascii="Arial" w:cs="Arial" w:eastAsia="Arial" w:hAnsi="Arial"/>
                <w:sz w:val="18"/>
                <w:szCs w:val="18"/>
                <w:color w:val="auto"/>
              </w:rPr>
              <w:t>TABLE OF CONTENTS</w:t>
            </w:r>
          </w:p>
        </w:tc>
        <w:tc>
          <w:tcPr>
            <w:tcW w:w="1120" w:type="dxa"/>
            <w:vAlign w:val="bottom"/>
          </w:tcPr>
          <w:p>
            <w:pPr>
              <w:spacing w:after="0"/>
              <w:rPr>
                <w:sz w:val="20"/>
                <w:szCs w:val="20"/>
                <w:color w:val="auto"/>
              </w:rPr>
            </w:pPr>
          </w:p>
        </w:tc>
      </w:tr>
      <w:tr>
        <w:trPr>
          <w:trHeight w:val="453"/>
        </w:trPr>
        <w:tc>
          <w:tcPr>
            <w:tcW w:w="1520" w:type="dxa"/>
            <w:vAlign w:val="bottom"/>
            <w:tcBorders>
              <w:bottom w:val="single" w:sz="8" w:color="CCEEFF"/>
            </w:tcBorders>
          </w:tcPr>
          <w:p>
            <w:pPr>
              <w:spacing w:after="0"/>
              <w:rPr>
                <w:sz w:val="24"/>
                <w:szCs w:val="24"/>
                <w:color w:val="auto"/>
              </w:rPr>
            </w:pPr>
          </w:p>
        </w:tc>
        <w:tc>
          <w:tcPr>
            <w:tcW w:w="86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Page</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5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1.01</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Definitions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1.02</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Other Definitions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1.03</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Incorporation by Reference of Trust Indenture Act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1.04</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Rules of Construction</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52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2.01</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Issuable in Series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2.02</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Establishment of Terms of Series of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2.03</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Execution and Authentication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2.04</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Registrar and Paying Agent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2.05</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Paying Agent to Hold Money in Trust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2.06</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Holder Lists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2.07</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Transfer and Exchange</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2.08</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Mutilated, Destroyed, Lost and Stolen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2.09</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Outstanding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2.10</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Treasury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2.11</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Temporary Securities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2.12</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Cancellation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2.13</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Defaulted Interest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2.14</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Global Securities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2.15</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CUSIP Numbers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52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3.01</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Notice to Trustee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3.02</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Selection of Securities to be Redeemed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3.03</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Notice of Redemption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3.04</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Notice of Redemption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3.05</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Deposit of Redemption Price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3.06</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Securities Redeemed in Part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COVENANTS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5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4.01</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Payment of Principal and Interest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4.02</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SEC Reports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4.03</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Compliance Certificate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4.04</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Stay, Extension and Usury Laws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12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52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5.01</w:t>
            </w:r>
          </w:p>
        </w:tc>
        <w:tc>
          <w:tcPr>
            <w:tcW w:w="8600" w:type="dxa"/>
            <w:vAlign w:val="bottom"/>
          </w:tcPr>
          <w:p>
            <w:pPr>
              <w:ind w:left="180"/>
              <w:spacing w:after="0"/>
              <w:rPr>
                <w:sz w:val="20"/>
                <w:szCs w:val="20"/>
                <w:color w:val="auto"/>
              </w:rPr>
            </w:pPr>
            <w:r>
              <w:rPr>
                <w:rFonts w:ascii="Arial" w:cs="Arial" w:eastAsia="Arial" w:hAnsi="Arial"/>
                <w:sz w:val="18"/>
                <w:szCs w:val="18"/>
                <w:b w:val="1"/>
                <w:bCs w:val="1"/>
                <w:color w:val="auto"/>
              </w:rPr>
              <w:t>When Company May Merge, Etc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5.02</w:t>
            </w:r>
          </w:p>
        </w:tc>
        <w:tc>
          <w:tcPr>
            <w:tcW w:w="8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Successor Corporation Substituted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DEFAULTS AND REMEDIES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5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6.01</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Events of Default</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6.02</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Acceleration of Maturity; Rescission and Annulment</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6.03</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Collection of Indebtedness and Suits for Enforcement by Trustee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6.04</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Trustee May File Proofs of Claim</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16</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6.05</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Trustee May Enforce Claims Without Possession of Securities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6.06</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Application of Money Collected</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17</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6.07</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Limitation on Suits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6.08</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Unconditional Right of Holders to Receive Principal and Interest</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6.09</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Restoration of Rights and Remedies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6.10</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Rights and Remedies Cumulative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6.11</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Delay or Omission Not Waiver</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6.12</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Control by Holders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6.13</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Waiver of Past Defaults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6.14</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Undertaking for Costs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8620" w:type="dxa"/>
            <w:vAlign w:val="bottom"/>
            <w:gridSpan w:val="2"/>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7.01</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Duties of Trustee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19</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7.02</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Rights of Trustee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7.03</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Individual Rights of Trustee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7.04</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Trustee’s Disclaimer</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7.05</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Notice of Defaults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7.06</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Reports by Trustee to Holders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7.07</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Compensation and Indemnity</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7.08</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Replacement of Trustee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7.09</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Successor Trustee by Merger, etc</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7.10</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Eligibility; Disqualification</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7.11</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Preferential Collection of Claims Against Company</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8620" w:type="dxa"/>
            <w:vAlign w:val="bottom"/>
            <w:gridSpan w:val="2"/>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8.01</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Satisfaction and Discharge of Indenture</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23</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8.02</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Application of Trust Funds; Indemnification</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8.03</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Legal Defeasance of Securities of any Series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25</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8.04</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Covenant Defeasance</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26</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8.05</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Repayment to Company</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8.06</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Reinstatement</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r>
      <w:tr>
        <w:trPr>
          <w:trHeight w:val="216"/>
        </w:trPr>
        <w:tc>
          <w:tcPr>
            <w:tcW w:w="8620" w:type="dxa"/>
            <w:vAlign w:val="bottom"/>
            <w:gridSpan w:val="2"/>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AR28TICLE IX AMENDMENTS AND WAIVERS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9.01</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Without Consent of Holders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9.02</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With Consent of Holders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28</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9.03</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Limitations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28</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9.04</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Compliance with Trust Indenture Act</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29</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9.05</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Revocation and Effect of Consents</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r>
      <w:tr>
        <w:trPr>
          <w:trHeight w:val="216"/>
        </w:trPr>
        <w:tc>
          <w:tcPr>
            <w:tcW w:w="1520" w:type="dxa"/>
            <w:vAlign w:val="bottom"/>
          </w:tcPr>
          <w:p>
            <w:pPr>
              <w:ind w:left="440"/>
              <w:spacing w:after="0"/>
              <w:rPr>
                <w:sz w:val="20"/>
                <w:szCs w:val="20"/>
                <w:color w:val="auto"/>
              </w:rPr>
            </w:pPr>
            <w:r>
              <w:rPr>
                <w:rFonts w:ascii="Arial" w:cs="Arial" w:eastAsia="Arial" w:hAnsi="Arial"/>
                <w:sz w:val="18"/>
                <w:szCs w:val="18"/>
                <w:b w:val="1"/>
                <w:bCs w:val="1"/>
                <w:color w:val="auto"/>
              </w:rPr>
              <w:t>Section 9.06</w:t>
            </w:r>
          </w:p>
        </w:tc>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Notation on or Exchange of Securities</w:t>
            </w: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29</w:t>
            </w:r>
          </w:p>
        </w:tc>
      </w:tr>
      <w:tr>
        <w:trPr>
          <w:trHeight w:val="216"/>
        </w:trPr>
        <w:tc>
          <w:tcPr>
            <w:tcW w:w="15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Section 9.07</w:t>
            </w: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Trustee Protected</w:t>
            </w:r>
          </w:p>
        </w:tc>
        <w:tc>
          <w:tcPr>
            <w:tcW w:w="2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MISCELLANEOUS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r>
      <w:tr>
        <w:trPr>
          <w:trHeight w:val="216"/>
        </w:trPr>
        <w:tc>
          <w:tcPr>
            <w:tcW w:w="15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10.01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Trust Indenture Act Controls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10.02</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Notices</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30</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10.03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Communication by Holders with Other Holders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10.04</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Certificate and Opinion as to Conditions Precedent</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30</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10.05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Statements Required in Certificate or Opinion</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10.06</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Rules by Trustee and Agents</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31</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10.07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Legal Holidays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10.08</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No Recourse Against Others</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31</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10.09</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Counterparts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10.10</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Governing Laws</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31</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10.11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No Adverse Interpretation of Other Agreements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10.12</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Successors</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10.13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Severability</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10.14</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Table of Contents, Headings, Etc</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10.15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Securities in a Foreign Currency</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10.16</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U.S.A. Patriot Act</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10.17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Waiver of Jury Trial</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w:t>
            </w:r>
          </w:p>
        </w:tc>
      </w:tr>
      <w:tr>
        <w:trPr>
          <w:trHeight w:val="216"/>
        </w:trPr>
        <w:tc>
          <w:tcPr>
            <w:tcW w:w="8220" w:type="dxa"/>
            <w:vAlign w:val="bottom"/>
            <w:gridSpan w:val="2"/>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SINKING FUNDS</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11.01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Applicability of Article</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440"/>
              <w:spacing w:after="0"/>
              <w:rPr>
                <w:sz w:val="20"/>
                <w:szCs w:val="20"/>
                <w:color w:val="auto"/>
              </w:rPr>
            </w:pPr>
            <w:r>
              <w:rPr>
                <w:rFonts w:ascii="Arial" w:cs="Arial" w:eastAsia="Arial" w:hAnsi="Arial"/>
                <w:sz w:val="18"/>
                <w:szCs w:val="18"/>
                <w:b w:val="1"/>
                <w:bCs w:val="1"/>
                <w:color w:val="auto"/>
                <w:w w:val="97"/>
              </w:rPr>
              <w:t>Section 11.02</w:t>
            </w:r>
          </w:p>
        </w:tc>
        <w:tc>
          <w:tcPr>
            <w:tcW w:w="6640" w:type="dxa"/>
            <w:vAlign w:val="bottom"/>
          </w:tcPr>
          <w:p>
            <w:pPr>
              <w:ind w:left="120"/>
              <w:spacing w:after="0"/>
              <w:rPr>
                <w:sz w:val="20"/>
                <w:szCs w:val="20"/>
                <w:color w:val="auto"/>
              </w:rPr>
            </w:pPr>
            <w:r>
              <w:rPr>
                <w:rFonts w:ascii="Arial" w:cs="Arial" w:eastAsia="Arial" w:hAnsi="Arial"/>
                <w:sz w:val="18"/>
                <w:szCs w:val="18"/>
                <w:b w:val="1"/>
                <w:bCs w:val="1"/>
                <w:color w:val="auto"/>
              </w:rPr>
              <w:t>Satisfaction of Sinking Fund Payments with Securities</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7"/>
              </w:rPr>
              <w:t>Section 11.03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Redemption of Securities for Sinking Fund</w:t>
            </w:r>
          </w:p>
        </w:tc>
        <w:tc>
          <w:tcPr>
            <w:tcW w:w="3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and tie between Trust Indenture Act of 1939 and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4460"/>
              <w:spacing w:after="0"/>
              <w:rPr>
                <w:sz w:val="20"/>
                <w:szCs w:val="20"/>
                <w:color w:val="auto"/>
              </w:rPr>
            </w:pPr>
            <w:r>
              <w:rPr>
                <w:rFonts w:ascii="Arial" w:cs="Arial" w:eastAsia="Arial" w:hAnsi="Arial"/>
                <w:sz w:val="18"/>
                <w:szCs w:val="18"/>
                <w:b w:val="1"/>
                <w:bCs w:val="1"/>
                <w:color w:val="auto"/>
              </w:rPr>
              <w:t>Indenture, dated as of</w:t>
            </w:r>
          </w:p>
        </w:tc>
        <w:tc>
          <w:tcPr>
            <w:tcW w:w="4800" w:type="dxa"/>
            <w:vAlign w:val="bottom"/>
          </w:tcPr>
          <w:p>
            <w:pPr>
              <w:jc w:val="right"/>
              <w:ind w:right="4370"/>
              <w:spacing w:after="0"/>
              <w:rPr>
                <w:sz w:val="20"/>
                <w:szCs w:val="20"/>
                <w:color w:val="auto"/>
              </w:rPr>
            </w:pPr>
            <w:r>
              <w:rPr>
                <w:rFonts w:ascii="Arial" w:cs="Arial" w:eastAsia="Arial" w:hAnsi="Arial"/>
                <w:sz w:val="18"/>
                <w:szCs w:val="18"/>
                <w:b w:val="1"/>
                <w:bCs w:val="1"/>
                <w:color w:val="auto"/>
              </w:rPr>
              <w:t>.</w:t>
            </w:r>
          </w:p>
        </w:tc>
      </w:tr>
      <w:tr>
        <w:trPr>
          <w:trHeight w:val="198"/>
        </w:trPr>
        <w:tc>
          <w:tcPr>
            <w:tcW w:w="644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Section 310 (a)(1)</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(a)(2)</w:t>
            </w:r>
          </w:p>
        </w:tc>
        <w:tc>
          <w:tcPr>
            <w:tcW w:w="480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(a)(4)</w:t>
            </w:r>
          </w:p>
        </w:tc>
        <w:tc>
          <w:tcPr>
            <w:tcW w:w="48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(a)(5)</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w:t>
            </w:r>
          </w:p>
        </w:tc>
        <w:tc>
          <w:tcPr>
            <w:tcW w:w="480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Section 311 (a)</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w:t>
            </w:r>
          </w:p>
        </w:tc>
        <w:tc>
          <w:tcPr>
            <w:tcW w:w="48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Section 312 (a)</w:t>
            </w:r>
          </w:p>
        </w:tc>
        <w:tc>
          <w:tcPr>
            <w:tcW w:w="48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Section 313 (a)</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(b)(1)</w:t>
            </w:r>
          </w:p>
        </w:tc>
        <w:tc>
          <w:tcPr>
            <w:tcW w:w="48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(b)(2)</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(c)(1)</w:t>
            </w:r>
          </w:p>
        </w:tc>
        <w:tc>
          <w:tcPr>
            <w:tcW w:w="48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Section 314 (a)</w:t>
            </w:r>
          </w:p>
        </w:tc>
        <w:tc>
          <w:tcPr>
            <w:tcW w:w="4800" w:type="dxa"/>
            <w:vAlign w:val="bottom"/>
          </w:tcPr>
          <w:p>
            <w:pPr>
              <w:jc w:val="right"/>
              <w:spacing w:after="0"/>
              <w:rPr>
                <w:sz w:val="20"/>
                <w:szCs w:val="20"/>
                <w:color w:val="auto"/>
              </w:rPr>
            </w:pPr>
            <w:r>
              <w:rPr>
                <w:rFonts w:ascii="Arial" w:cs="Arial" w:eastAsia="Arial" w:hAnsi="Arial"/>
                <w:sz w:val="18"/>
                <w:szCs w:val="18"/>
                <w:color w:val="auto"/>
              </w:rPr>
              <w:t>4.02, 10.05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(c)(1)</w:t>
            </w:r>
          </w:p>
        </w:tc>
        <w:tc>
          <w:tcPr>
            <w:tcW w:w="480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(c)(3)</w:t>
            </w:r>
          </w:p>
        </w:tc>
        <w:tc>
          <w:tcPr>
            <w:tcW w:w="48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w:t>
            </w:r>
          </w:p>
        </w:tc>
        <w:tc>
          <w:tcPr>
            <w:tcW w:w="480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Section 315 (a)</w:t>
            </w:r>
          </w:p>
        </w:tc>
        <w:tc>
          <w:tcPr>
            <w:tcW w:w="48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w:t>
            </w:r>
          </w:p>
        </w:tc>
        <w:tc>
          <w:tcPr>
            <w:tcW w:w="48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w:t>
            </w:r>
          </w:p>
        </w:tc>
        <w:tc>
          <w:tcPr>
            <w:tcW w:w="48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Section 316 (a)</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(a)(1)(a)</w:t>
            </w:r>
          </w:p>
        </w:tc>
        <w:tc>
          <w:tcPr>
            <w:tcW w:w="48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(a)(1)(b)</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w:t>
            </w:r>
          </w:p>
        </w:tc>
        <w:tc>
          <w:tcPr>
            <w:tcW w:w="480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Section 317 (a)(1)</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(a)(2)</w:t>
            </w:r>
          </w:p>
        </w:tc>
        <w:tc>
          <w:tcPr>
            <w:tcW w:w="480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Section 318 (a)</w:t>
            </w:r>
          </w:p>
        </w:tc>
        <w:tc>
          <w:tcPr>
            <w:tcW w:w="4800" w:type="dxa"/>
            <w:vAlign w:val="bottom"/>
          </w:tcPr>
          <w:p>
            <w:pPr>
              <w:jc w:val="right"/>
              <w:spacing w:after="0"/>
              <w:rPr>
                <w:sz w:val="20"/>
                <w:szCs w:val="20"/>
                <w:color w:val="auto"/>
              </w:rPr>
            </w:pPr>
            <w:r>
              <w:rPr>
                <w:rFonts w:ascii="Arial" w:cs="Arial" w:eastAsia="Arial" w:hAnsi="Arial"/>
                <w:sz w:val="18"/>
                <w:szCs w:val="18"/>
                <w:color w:val="auto"/>
              </w:rPr>
              <w:t>10.01</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tabs>
          <w:tab w:leader="none" w:pos="3040" w:val="left"/>
          <w:tab w:leader="none" w:pos="9260" w:val="left"/>
        </w:tabs>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 between SoundHound AI., Inc., a Delaware corporation (“</w:t>
      </w:r>
      <w:r>
        <w:rPr>
          <w:rFonts w:ascii="Arial" w:cs="Arial" w:eastAsia="Arial" w:hAnsi="Arial"/>
          <w:sz w:val="18"/>
          <w:szCs w:val="18"/>
          <w:i w:val="1"/>
          <w:iCs w:val="1"/>
          <w:color w:val="auto"/>
        </w:rPr>
        <w:t>Company</w:t>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as trustee (“</w:t>
      </w:r>
      <w:r>
        <w:rPr>
          <w:rFonts w:ascii="Arial" w:cs="Arial" w:eastAsia="Arial" w:hAnsi="Arial"/>
          <w:sz w:val="16"/>
          <w:szCs w:val="16"/>
          <w:i w:val="1"/>
          <w:iCs w:val="1"/>
          <w:color w:val="auto"/>
        </w:rPr>
        <w:t>Trustee</w:t>
      </w:r>
      <w:r>
        <w:rPr>
          <w:rFonts w:ascii="Arial" w:cs="Arial" w:eastAsia="Arial" w:hAnsi="Arial"/>
          <w:sz w:val="16"/>
          <w:szCs w:val="16"/>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Definitions.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 as calculated by the Company.</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or Paying Agent.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Procedures</w:t>
      </w:r>
      <w:r>
        <w:rPr>
          <w:rFonts w:ascii="Arial" w:cs="Arial" w:eastAsia="Arial" w:hAnsi="Arial"/>
          <w:sz w:val="17"/>
          <w:szCs w:val="17"/>
          <w:color w:val="auto"/>
        </w:rPr>
        <w:t>” means, with respect to any transfer or transaction involving a Global Security or beneficial interest therein, the rules and procedures of DTC or any successor Depositary, in each case to the extent applicable to such transaction and as in effect from time to time.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other day on which banking institutions are authorized or required by law, regulation or executive order to close or be closed in the State of New York.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partnership.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Request</w:t>
      </w:r>
      <w:r>
        <w:rPr>
          <w:rFonts w:ascii="Arial" w:cs="Arial" w:eastAsia="Arial" w:hAnsi="Arial"/>
          <w:sz w:val="18"/>
          <w:szCs w:val="18"/>
          <w:color w:val="auto"/>
        </w:rPr>
        <w:t>” means a written request signed in the name of the Company by its Chief Executive Officer or Chief Financial Officer and delivered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address of the Trustee specified in Section 10.02, or such other address as to which the Trustee may give notice to the Holders and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 a New York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Government Obligations</w:t>
      </w:r>
      <w:r>
        <w:rPr>
          <w:rFonts w:ascii="Arial" w:cs="Arial" w:eastAsia="Arial" w:hAnsi="Arial"/>
          <w:sz w:val="16"/>
          <w:szCs w:val="16"/>
          <w:color w:val="auto"/>
        </w:rPr>
        <w:t>” means, with respect to Securities of any Series that are denominated in a Foreign Currency, (i) direct obligations of the government that issued or caused to be issued such currency for the payment of which obligations its full faith and credit is pledged or</w:t>
      </w:r>
    </w:p>
    <w:p>
      <w:pPr>
        <w:jc w:val="both"/>
        <w:ind w:firstLine="8"/>
        <w:spacing w:after="0" w:line="255" w:lineRule="auto"/>
        <w:tabs>
          <w:tab w:leader="none" w:pos="2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Standards Board or in such other statements by such other entity as have been approved by a significant segment of the accounting profession.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2.02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Security is registered.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Chief Financial Officer, any Vice-President, the Treasurer, the Secretary, any Assistant Treasurer or any Assistant Secretary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two Officers, one of whom must be the Company’s principal executive officer, principal financial officer or principal accounting officer.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reasonably acceptable to the Trustee. The counsel may be an employee of or counsel to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with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2.01 and 2.02 hereof.</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any corporation, association or other business entity of which more than 50% of the total voting power of 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(15 U.S. Code Sections 77aaa-77bbbb) as in effect on the date of this Indenture and the rules and regulations promulgated thereunder; provided, however,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Arial" w:cs="Arial" w:eastAsia="Arial" w:hAnsi="Arial"/>
                <w:sz w:val="18"/>
                <w:szCs w:val="18"/>
                <w:b w:val="1"/>
                <w:bCs w:val="1"/>
                <w:color w:val="auto"/>
              </w:rPr>
              <w:t>Section 1.02 Other Definitions.</w:t>
            </w:r>
          </w:p>
        </w:tc>
        <w:tc>
          <w:tcPr>
            <w:tcW w:w="120" w:type="dxa"/>
            <w:vAlign w:val="bottom"/>
          </w:tcPr>
          <w:p>
            <w:pPr>
              <w:spacing w:after="0"/>
              <w:rPr>
                <w:sz w:val="20"/>
                <w:szCs w:val="20"/>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Defined in</w:t>
            </w:r>
          </w:p>
        </w:tc>
        <w:tc>
          <w:tcPr>
            <w:tcW w:w="0" w:type="dxa"/>
            <w:vAlign w:val="bottom"/>
          </w:tcPr>
          <w:p>
            <w:pPr>
              <w:spacing w:after="0"/>
              <w:rPr>
                <w:sz w:val="1"/>
                <w:szCs w:val="1"/>
                <w:color w:val="auto"/>
              </w:rPr>
            </w:pPr>
          </w:p>
        </w:tc>
      </w:tr>
      <w:tr>
        <w:trPr>
          <w:trHeight w:val="198"/>
        </w:trPr>
        <w:tc>
          <w:tcPr>
            <w:tcW w:w="9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88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Section</w:t>
            </w:r>
          </w:p>
        </w:tc>
        <w:tc>
          <w:tcPr>
            <w:tcW w:w="0" w:type="dxa"/>
            <w:vAlign w:val="bottom"/>
          </w:tcPr>
          <w:p>
            <w:pPr>
              <w:spacing w:after="0"/>
              <w:rPr>
                <w:sz w:val="1"/>
                <w:szCs w:val="1"/>
                <w:color w:val="auto"/>
              </w:rPr>
            </w:pPr>
          </w:p>
        </w:tc>
      </w:tr>
      <w:tr>
        <w:trPr>
          <w:trHeight w:val="216"/>
        </w:trPr>
        <w:tc>
          <w:tcPr>
            <w:tcW w:w="9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Bankruptcy Law</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i w:val="1"/>
                <w:iCs w:val="1"/>
                <w:color w:val="auto"/>
              </w:rPr>
              <w:t>Custodian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Event of Default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i w:val="1"/>
                <w:iCs w:val="1"/>
                <w:color w:val="auto"/>
              </w:rPr>
              <w:t>Legal Holiday</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mandatory sinking fund payment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i w:val="1"/>
                <w:iCs w:val="1"/>
                <w:color w:val="auto"/>
              </w:rPr>
              <w:t>Market Exchange Rate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optional sinking fund payment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i w:val="1"/>
                <w:iCs w:val="1"/>
                <w:color w:val="auto"/>
              </w:rPr>
              <w:t>Paying Agent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80" w:type="dxa"/>
            <w:vAlign w:val="bottom"/>
          </w:tcPr>
          <w:p>
            <w:pPr>
              <w:spacing w:after="0"/>
              <w:rPr>
                <w:sz w:val="20"/>
                <w:szCs w:val="20"/>
                <w:color w:val="auto"/>
              </w:rPr>
            </w:pPr>
            <w:r>
              <w:rPr>
                <w:rFonts w:ascii="Arial" w:cs="Arial" w:eastAsia="Arial" w:hAnsi="Arial"/>
                <w:sz w:val="18"/>
                <w:szCs w:val="18"/>
                <w:i w:val="1"/>
                <w:iCs w:val="1"/>
                <w:color w:val="auto"/>
              </w:rPr>
              <w:t>Successor Person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Incorporation by Reference of Trust Indenture Act.</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Rules of Construction.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accounting term not otherwise defined has the meaning assigned to it in accordance with generally accepted accounting principles;</w:t>
      </w:r>
    </w:p>
    <w:p>
      <w:pPr>
        <w:spacing w:after="0" w:line="236" w:lineRule="exact"/>
        <w:rPr>
          <w:rFonts w:ascii="Arial" w:cs="Arial" w:eastAsia="Arial" w:hAnsi="Arial"/>
          <w:sz w:val="17"/>
          <w:szCs w:val="17"/>
          <w:color w:val="auto"/>
        </w:rPr>
      </w:pPr>
    </w:p>
    <w:p>
      <w:pPr>
        <w:ind w:firstLine="656"/>
        <w:spacing w:after="0" w:line="277" w:lineRule="auto"/>
        <w:tabs>
          <w:tab w:leader="none" w:pos="9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references to “generally accepted accounting principles” and “GAAP” shall mean generally accepted accounting principles in effect as of the time when and for the period as to which such accounting principles are to be applied;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0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2.01 Issuable in Series. </w:t>
      </w:r>
      <w:r>
        <w:rPr>
          <w:rFonts w:ascii="Arial" w:cs="Arial" w:eastAsia="Arial" w:hAnsi="Arial"/>
          <w:sz w:val="16"/>
          <w:szCs w:val="16"/>
          <w:color w:val="auto"/>
        </w:rPr>
        <w:t>The aggregate principal amount of Securities that may be authenticated and delivered under this Indenture is unlimited.</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2.02 Establishment of Terms of Series of Securities. </w:t>
      </w:r>
      <w:r>
        <w:rPr>
          <w:rFonts w:ascii="Arial" w:cs="Arial" w:eastAsia="Arial" w:hAnsi="Arial"/>
          <w:sz w:val="18"/>
          <w:szCs w:val="18"/>
          <w:color w:val="auto"/>
        </w:rPr>
        <w:t>At or prior to the issuance of any Securities within a Series, the following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w:t>
      </w:r>
    </w:p>
    <w:p>
      <w:pPr>
        <w:spacing w:after="0" w:line="184" w:lineRule="exact"/>
        <w:rPr>
          <w:sz w:val="20"/>
          <w:szCs w:val="20"/>
          <w:color w:val="auto"/>
        </w:rPr>
      </w:pPr>
    </w:p>
    <w:p>
      <w:pPr>
        <w:ind w:left="900" w:hanging="244"/>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form and title of the Series (which shall distinguish the Securities of that particular Series from the Securities of any other Series);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920" w:hanging="264"/>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price or prices (expressed as a percentage of the principal amount thereof) at which the Securities of the Series will be issued;</w:t>
      </w:r>
    </w:p>
    <w:p>
      <w:pPr>
        <w:spacing w:after="0" w:line="236" w:lineRule="exact"/>
        <w:rPr>
          <w:rFonts w:ascii="Arial" w:cs="Arial" w:eastAsia="Arial" w:hAnsi="Arial"/>
          <w:sz w:val="17"/>
          <w:szCs w:val="17"/>
          <w:color w:val="auto"/>
        </w:rPr>
      </w:pPr>
    </w:p>
    <w:p>
      <w:pPr>
        <w:jc w:val="both"/>
        <w:ind w:firstLine="656"/>
        <w:spacing w:after="0" w:line="263" w:lineRule="auto"/>
        <w:tabs>
          <w:tab w:leader="none" w:pos="9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2.07, 2.08, 2.11, 3.06 or 9.06);</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6" w:lineRule="exact"/>
        <w:rPr>
          <w:rFonts w:ascii="Arial" w:cs="Arial" w:eastAsia="Arial" w:hAnsi="Arial"/>
          <w:sz w:val="18"/>
          <w:szCs w:val="18"/>
          <w:color w:val="auto"/>
        </w:rPr>
      </w:pPr>
    </w:p>
    <w:p>
      <w:pPr>
        <w:jc w:val="both"/>
        <w:ind w:firstLine="656"/>
        <w:spacing w:after="0" w:line="286" w:lineRule="auto"/>
        <w:tabs>
          <w:tab w:leader="none" w:pos="89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65" w:lineRule="exact"/>
        <w:rPr>
          <w:rFonts w:ascii="Arial" w:cs="Arial" w:eastAsia="Arial" w:hAnsi="Arial"/>
          <w:sz w:val="17"/>
          <w:szCs w:val="17"/>
          <w:color w:val="auto"/>
        </w:rPr>
      </w:pPr>
    </w:p>
    <w:p>
      <w:pPr>
        <w:ind w:firstLine="656"/>
        <w:spacing w:after="0" w:line="277" w:lineRule="auto"/>
        <w:tabs>
          <w:tab w:leader="none" w:pos="9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3" w:lineRule="exact"/>
        <w:rPr>
          <w:rFonts w:ascii="Arial" w:cs="Arial" w:eastAsia="Arial" w:hAnsi="Arial"/>
          <w:sz w:val="18"/>
          <w:szCs w:val="18"/>
          <w:color w:val="auto"/>
        </w:rPr>
      </w:pPr>
    </w:p>
    <w:p>
      <w:pPr>
        <w:ind w:firstLine="656"/>
        <w:spacing w:after="0" w:line="277" w:lineRule="auto"/>
        <w:tabs>
          <w:tab w:leader="none" w:pos="8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other than denominations of $1,000 and any integral multiple thereof, the denominations in which the Securities of the Series shall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issuable;</w:t>
      </w:r>
    </w:p>
    <w:p>
      <w:pPr>
        <w:spacing w:after="0" w:line="210" w:lineRule="exact"/>
        <w:rPr>
          <w:rFonts w:ascii="Arial" w:cs="Arial" w:eastAsia="Arial" w:hAnsi="Arial"/>
          <w:sz w:val="17"/>
          <w:szCs w:val="17"/>
          <w:color w:val="auto"/>
        </w:rPr>
      </w:pPr>
    </w:p>
    <w:p>
      <w:pPr>
        <w:ind w:firstLine="656"/>
        <w:spacing w:after="0" w:line="277" w:lineRule="auto"/>
        <w:tabs>
          <w:tab w:leader="none" w:pos="9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70" w:lineRule="exact"/>
        <w:rPr>
          <w:rFonts w:ascii="Arial" w:cs="Arial" w:eastAsia="Arial" w:hAnsi="Arial"/>
          <w:sz w:val="18"/>
          <w:szCs w:val="18"/>
          <w:color w:val="auto"/>
        </w:rPr>
      </w:pPr>
    </w:p>
    <w:p>
      <w:pPr>
        <w:ind w:firstLine="656"/>
        <w:spacing w:after="0" w:line="277" w:lineRule="auto"/>
        <w:tabs>
          <w:tab w:leader="none" w:pos="8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Dollars or any Foreign Currency, and the agency or organization, if any, responsible for overseeing such composite currency;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Securities of the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firstLine="656"/>
        <w:spacing w:after="0" w:line="277" w:lineRule="auto"/>
        <w:tabs>
          <w:tab w:leader="none" w:pos="9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IV or V which applies to Securities of the Series;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w:t>
      </w:r>
    </w:p>
    <w:p>
      <w:pPr>
        <w:spacing w:after="0" w:line="186" w:lineRule="exact"/>
        <w:rPr>
          <w:rFonts w:ascii="Arial" w:cs="Arial" w:eastAsia="Arial" w:hAnsi="Arial"/>
          <w:sz w:val="18"/>
          <w:szCs w:val="18"/>
          <w:color w:val="auto"/>
        </w:rPr>
      </w:pPr>
    </w:p>
    <w:p>
      <w:pPr>
        <w:ind w:firstLine="656"/>
        <w:spacing w:after="0" w:line="277" w:lineRule="auto"/>
        <w:tabs>
          <w:tab w:leader="none" w:pos="9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Securities of such Series will be senior debt securities or subordinated debt securities and, if applicable, a description of the subordination terms thereof;</w:t>
      </w:r>
    </w:p>
    <w:p>
      <w:pPr>
        <w:spacing w:after="0" w:line="170" w:lineRule="exact"/>
        <w:rPr>
          <w:rFonts w:ascii="Arial" w:cs="Arial" w:eastAsia="Arial" w:hAnsi="Arial"/>
          <w:sz w:val="18"/>
          <w:szCs w:val="18"/>
          <w:color w:val="auto"/>
        </w:rPr>
      </w:pPr>
    </w:p>
    <w:p>
      <w:pPr>
        <w:ind w:firstLine="656"/>
        <w:spacing w:after="0" w:line="277" w:lineRule="auto"/>
        <w:tabs>
          <w:tab w:leader="none" w:pos="8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Securities of such Series if other than those appointed herein;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other terms of the Securities of the Series (which may modify or delete any provision of this Indenture insofar as it applies to such Series).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Section 2.03 Execution and Authentication. </w:t>
      </w:r>
      <w:r>
        <w:rPr>
          <w:rFonts w:ascii="Arial" w:cs="Arial" w:eastAsia="Arial" w:hAnsi="Arial"/>
          <w:sz w:val="16"/>
          <w:szCs w:val="16"/>
          <w:color w:val="auto"/>
        </w:rPr>
        <w:t>At least one Officer shall sign the Securities for the Company by manual or facsimile signature. If an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whose 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electronic instructions in PDF from the Company or its duly authorized agent or agents.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(c)(1) an Opinion of Counsel complying with Section 10.04 or (2) an Opinion of Counsel (or reliance letter with respect to an Opinion of Counsel) that the Securities have been duly authorized, executed and delivered by the Company and such Securities will constitute valid and binding obligations of the Company, enforceable against the Company in accordance with its terms.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spacing w:after="0" w:line="269" w:lineRule="auto"/>
        <w:rPr>
          <w:sz w:val="20"/>
          <w:szCs w:val="20"/>
          <w:color w:val="auto"/>
        </w:rPr>
      </w:pPr>
      <w:r>
        <w:rPr>
          <w:rFonts w:ascii="Arial" w:cs="Arial" w:eastAsia="Arial" w:hAnsi="Arial"/>
          <w:sz w:val="17"/>
          <w:szCs w:val="17"/>
          <w:b w:val="1"/>
          <w:bCs w:val="1"/>
          <w:color w:val="auto"/>
        </w:rPr>
        <w:t xml:space="preserve">Section 2.04 Registrar and Paying Agent. </w:t>
      </w:r>
      <w:r>
        <w:rPr>
          <w:rFonts w:ascii="Arial" w:cs="Arial" w:eastAsia="Arial" w:hAnsi="Arial"/>
          <w:sz w:val="17"/>
          <w:szCs w:val="17"/>
          <w:color w:val="auto"/>
        </w:rPr>
        <w:t>The Company shall maintain, with respect to each Series of Securities, at the place or places specified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such Series pursuant to Section 2.02, an office or agency where Securities of such Series may be presented or surrendered for payment (“</w:t>
      </w:r>
      <w:r>
        <w:rPr>
          <w:rFonts w:ascii="Arial" w:cs="Arial" w:eastAsia="Arial" w:hAnsi="Arial"/>
          <w:sz w:val="17"/>
          <w:szCs w:val="17"/>
          <w:i w:val="1"/>
          <w:iCs w:val="1"/>
          <w:color w:val="auto"/>
        </w:rPr>
        <w:t>Paying</w:t>
      </w:r>
      <w:r>
        <w:rPr>
          <w:rFonts w:ascii="Arial" w:cs="Arial" w:eastAsia="Arial" w:hAnsi="Arial"/>
          <w:sz w:val="17"/>
          <w:szCs w:val="17"/>
          <w:color w:val="auto"/>
        </w:rPr>
        <w:t xml:space="preserve"> </w:t>
      </w:r>
      <w:r>
        <w:rPr>
          <w:rFonts w:ascii="Arial" w:cs="Arial" w:eastAsia="Arial" w:hAnsi="Arial"/>
          <w:sz w:val="17"/>
          <w:szCs w:val="17"/>
          <w:i w:val="1"/>
          <w:iCs w:val="1"/>
          <w:color w:val="auto"/>
        </w:rPr>
        <w:t>Agent</w:t>
      </w:r>
      <w:r>
        <w:rPr>
          <w:rFonts w:ascii="Arial" w:cs="Arial" w:eastAsia="Arial" w:hAnsi="Arial"/>
          <w:sz w:val="17"/>
          <w:szCs w:val="17"/>
          <w:color w:val="auto"/>
        </w:rPr>
        <w:t>”), and where Securities of such Series may be surrendered for registration of transfer or exchange (“</w:t>
      </w:r>
      <w:r>
        <w:rPr>
          <w:rFonts w:ascii="Arial" w:cs="Arial" w:eastAsia="Arial" w:hAnsi="Arial"/>
          <w:sz w:val="17"/>
          <w:szCs w:val="17"/>
          <w:i w:val="1"/>
          <w:iCs w:val="1"/>
          <w:color w:val="auto"/>
        </w:rPr>
        <w:t>Registrar</w:t>
      </w:r>
      <w:r>
        <w:rPr>
          <w:rFonts w:ascii="Arial" w:cs="Arial" w:eastAsia="Arial" w:hAnsi="Arial"/>
          <w:sz w:val="17"/>
          <w:szCs w:val="17"/>
          <w:color w:val="auto"/>
        </w:rPr>
        <w:t>”). The Registrar shall keep a register</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each Series of Securities and of their transfer and exchange. The Company hereby appoints the Trustee as Paying Agent and Registrar. The Company will give prompt written notice to the Trustee of the name and address, and any change in the name or address, of each Registrar or Paying Agent. 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and a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 The Company hereby appoints the Trustee as the initial Registrar and Paying Agent for each Series unless another Registrar or Paying Agent, as the case may be, is appointed prior to the time Securities of that Series are first issued.</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Section 2.05 Paying Agent to Hold Money in Trust. </w:t>
      </w:r>
      <w:r>
        <w:rPr>
          <w:rFonts w:ascii="Arial" w:cs="Arial" w:eastAsia="Arial" w:hAnsi="Arial"/>
          <w:sz w:val="17"/>
          <w:szCs w:val="17"/>
          <w:color w:val="auto"/>
        </w:rPr>
        <w:t>The Company shall require each Paying Agent other than the Trustee to agree in writing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Paying Agent will hold in trust, for the benefit of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 Event of Default under Section 6.01(d) or (e), the Trustee shall be the Paying Agent.</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Section 2.06 Holder Lists. </w:t>
      </w:r>
      <w:r>
        <w:rPr>
          <w:rFonts w:ascii="Arial" w:cs="Arial" w:eastAsia="Arial" w:hAnsi="Arial"/>
          <w:sz w:val="16"/>
          <w:szCs w:val="16"/>
          <w:color w:val="auto"/>
        </w:rPr>
        <w:t>The Trustee shall preserve in as current a form as is reasonably practicable the most recent list available to it of the names and</w:t>
      </w:r>
      <w:r>
        <w:rPr>
          <w:rFonts w:ascii="Arial" w:cs="Arial" w:eastAsia="Arial" w:hAnsi="Arial"/>
          <w:sz w:val="16"/>
          <w:szCs w:val="16"/>
          <w:b w:val="1"/>
          <w:bCs w:val="1"/>
          <w:color w:val="auto"/>
        </w:rPr>
        <w:t xml:space="preserve"> </w:t>
      </w:r>
      <w:r>
        <w:rPr>
          <w:rFonts w:ascii="Arial" w:cs="Arial" w:eastAsia="Arial" w:hAnsi="Arial"/>
          <w:sz w:val="16"/>
          <w:szCs w:val="16"/>
          <w:color w:val="auto"/>
        </w:rPr>
        <w:t>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Section 2.07 Transfer and Exchange. </w:t>
      </w:r>
      <w:r>
        <w:rPr>
          <w:rFonts w:ascii="Arial" w:cs="Arial" w:eastAsia="Arial" w:hAnsi="Arial"/>
          <w:sz w:val="16"/>
          <w:szCs w:val="16"/>
          <w:color w:val="auto"/>
        </w:rPr>
        <w:t>Where Securities of a Series are presented to the Registrar or a co-registrar with a request to register a transfer or to</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Section 2.08 Mutilated, Destroyed, Lost and Stolen Securities.</w:t>
      </w:r>
    </w:p>
    <w:p>
      <w:pPr>
        <w:spacing w:after="0" w:line="229" w:lineRule="exact"/>
        <w:rPr>
          <w:sz w:val="20"/>
          <w:szCs w:val="20"/>
          <w:color w:val="auto"/>
        </w:rPr>
      </w:pPr>
    </w:p>
    <w:p>
      <w:pPr>
        <w:jc w:val="both"/>
        <w:ind w:firstLine="656"/>
        <w:spacing w:after="0" w:line="287" w:lineRule="auto"/>
        <w:tabs>
          <w:tab w:leader="none" w:pos="906"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w:t>
      </w:r>
    </w:p>
    <w:p>
      <w:pPr>
        <w:spacing w:after="0" w:line="2" w:lineRule="exact"/>
        <w:rPr>
          <w:rFonts w:ascii="Arial" w:cs="Arial" w:eastAsia="Arial" w:hAnsi="Arial"/>
          <w:sz w:val="16"/>
          <w:szCs w:val="16"/>
          <w:color w:val="auto"/>
        </w:rPr>
      </w:pPr>
    </w:p>
    <w:p>
      <w:pPr>
        <w:jc w:val="both"/>
        <w:ind w:firstLine="8"/>
        <w:spacing w:after="0" w:line="292" w:lineRule="auto"/>
        <w:tabs>
          <w:tab w:leader="none" w:pos="2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due and payable, the Company in its discretion may, instead of issuing a new Security, pay such Security.</w:t>
      </w:r>
    </w:p>
    <w:p>
      <w:pPr>
        <w:spacing w:after="0" w:line="162" w:lineRule="exact"/>
        <w:rPr>
          <w:rFonts w:ascii="Arial" w:cs="Arial" w:eastAsia="Arial" w:hAnsi="Arial"/>
          <w:sz w:val="16"/>
          <w:szCs w:val="16"/>
          <w:color w:val="auto"/>
        </w:rPr>
      </w:pPr>
    </w:p>
    <w:p>
      <w:pPr>
        <w:jc w:val="both"/>
        <w:ind w:firstLine="656"/>
        <w:spacing w:after="0" w:line="254" w:lineRule="auto"/>
        <w:tabs>
          <w:tab w:leader="none" w:pos="906" w:val="left"/>
        </w:tabs>
        <w:numPr>
          <w:ilvl w:val="1"/>
          <w:numId w:val="40"/>
        </w:numPr>
        <w:rPr>
          <w:rFonts w:ascii="Arial" w:cs="Arial" w:eastAsia="Arial" w:hAnsi="Arial"/>
          <w:sz w:val="18"/>
          <w:szCs w:val="18"/>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Section 2.09 Outstanding Securities. </w:t>
      </w:r>
      <w:r>
        <w:rPr>
          <w:rFonts w:ascii="Arial" w:cs="Arial" w:eastAsia="Arial" w:hAnsi="Arial"/>
          <w:sz w:val="16"/>
          <w:szCs w:val="16"/>
          <w:color w:val="auto"/>
        </w:rPr>
        <w:t>The Securities outstanding at any time are all the Securities authenticated by the Trustee except for those canceled</w:t>
      </w:r>
      <w:r>
        <w:rPr>
          <w:rFonts w:ascii="Arial" w:cs="Arial" w:eastAsia="Arial" w:hAnsi="Arial"/>
          <w:sz w:val="16"/>
          <w:szCs w:val="16"/>
          <w:b w:val="1"/>
          <w:bCs w:val="1"/>
          <w:color w:val="auto"/>
        </w:rPr>
        <w:t xml:space="preserve"> </w:t>
      </w:r>
      <w:r>
        <w:rPr>
          <w:rFonts w:ascii="Arial" w:cs="Arial" w:eastAsia="Arial" w:hAnsi="Arial"/>
          <w:sz w:val="16"/>
          <w:szCs w:val="16"/>
          <w:color w:val="auto"/>
        </w:rPr>
        <w:t>by 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2.10 Treasury Securities. </w:t>
      </w:r>
      <w:r>
        <w:rPr>
          <w:rFonts w:ascii="Arial" w:cs="Arial" w:eastAsia="Arial" w:hAnsi="Arial"/>
          <w:sz w:val="17"/>
          <w:szCs w:val="17"/>
          <w:color w:val="auto"/>
        </w:rPr>
        <w:t>In determining whether the Holders of the required principal amount of Securities of a Series have concurred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spacing w:after="0" w:line="258" w:lineRule="auto"/>
        <w:rPr>
          <w:sz w:val="20"/>
          <w:szCs w:val="20"/>
          <w:color w:val="auto"/>
        </w:rPr>
      </w:pPr>
      <w:r>
        <w:rPr>
          <w:rFonts w:ascii="Arial" w:cs="Arial" w:eastAsia="Arial" w:hAnsi="Arial"/>
          <w:sz w:val="18"/>
          <w:szCs w:val="18"/>
          <w:b w:val="1"/>
          <w:bCs w:val="1"/>
          <w:color w:val="auto"/>
        </w:rPr>
        <w:t xml:space="preserve">Section 2.11 Temporary Securities. </w:t>
      </w:r>
      <w:r>
        <w:rPr>
          <w:rFonts w:ascii="Arial" w:cs="Arial" w:eastAsia="Arial" w:hAnsi="Arial"/>
          <w:sz w:val="18"/>
          <w:szCs w:val="18"/>
          <w:color w:val="auto"/>
        </w:rPr>
        <w:t>Until definitive Securities are ready for delivery, the Company may prepare and the Trustee shall authenticate</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2.12 Cancellation. </w:t>
      </w:r>
      <w:r>
        <w:rPr>
          <w:rFonts w:ascii="Arial" w:cs="Arial" w:eastAsia="Arial" w:hAnsi="Arial"/>
          <w:sz w:val="17"/>
          <w:szCs w:val="17"/>
          <w:color w:val="auto"/>
        </w:rPr>
        <w:t>The Company at any time may deliver Securities to the Trustee for cancellation. The Registrar and the Paying Agent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forward to the Trustee any Securities surrendered to them for registration of transfer, exchange or payment. The Trustee shall cancel all Securities surrendered for registration of transfer, exchange, payment, replacement or cancellation in accordance with its customary procedures. The Company may not issue new Securities to replace Securities that it has paid or delivered to the Trustee for cancellation.</w:t>
      </w:r>
    </w:p>
    <w:p>
      <w:pPr>
        <w:spacing w:after="0" w:line="16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Section 2.13 Defaulted Interest. </w:t>
      </w:r>
      <w:r>
        <w:rPr>
          <w:rFonts w:ascii="Arial" w:cs="Arial" w:eastAsia="Arial" w:hAnsi="Arial"/>
          <w:sz w:val="16"/>
          <w:szCs w:val="16"/>
          <w:color w:val="auto"/>
        </w:rPr>
        <w:t>If the Company defaults in a payment of interest on a Series of Securities, it shall pay the defaulted interest at the rate</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for the particular Series, if any, plus, to the extent permitted by law, any interest payable on the defaulted interest, to the persons who are Holders of the Series on a subsequent special record date. The Company shall fix the special record date and payment date; provided that if no rate for defaulted interest is specified for any Series of Securities, then the defaulted interest rate shall be the interest rate specified for such Series of Securities. At least ten (10) days before the special record date, the Company shall deliver to the Trustee and to each Holder of the Series a notice that states the record date, the related payment date and the amount of interest to be paid. The Company may also pay defaulted interest in any other lawful manner.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2.14 Global Securities</w:t>
      </w:r>
    </w:p>
    <w:p>
      <w:pPr>
        <w:spacing w:after="0" w:line="229" w:lineRule="exact"/>
        <w:rPr>
          <w:sz w:val="20"/>
          <w:szCs w:val="20"/>
          <w:color w:val="auto"/>
        </w:rPr>
      </w:pPr>
    </w:p>
    <w:p>
      <w:pPr>
        <w:ind w:firstLine="656"/>
        <w:spacing w:after="0" w:line="308" w:lineRule="auto"/>
        <w:tabs>
          <w:tab w:leader="none" w:pos="8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Terms of Securities.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46" w:lineRule="exact"/>
        <w:rPr>
          <w:rFonts w:ascii="Arial" w:cs="Arial" w:eastAsia="Arial" w:hAnsi="Arial"/>
          <w:sz w:val="17"/>
          <w:szCs w:val="17"/>
          <w:color w:val="auto"/>
        </w:rPr>
      </w:pPr>
    </w:p>
    <w:p>
      <w:pPr>
        <w:jc w:val="both"/>
        <w:ind w:firstLine="656"/>
        <w:spacing w:after="0" w:line="270" w:lineRule="auto"/>
        <w:tabs>
          <w:tab w:leader="none" w:pos="90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56"/>
        <w:spacing w:after="0" w:line="263"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provided in this Section 2.14(c),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Legend. Any Global Security issued hereunder shall bear a legend in substantially the following form:</w:t>
      </w:r>
    </w:p>
    <w:p>
      <w:pPr>
        <w:spacing w:after="0" w:line="22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7"/>
          <w:szCs w:val="17"/>
          <w:b w:val="1"/>
          <w:bCs w:val="1"/>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72" w:lineRule="exact"/>
        <w:rPr>
          <w:sz w:val="20"/>
          <w:szCs w:val="20"/>
          <w:color w:val="auto"/>
        </w:rPr>
      </w:pPr>
    </w:p>
    <w:p>
      <w:pPr>
        <w:ind w:firstLine="656"/>
        <w:spacing w:after="0" w:line="308" w:lineRule="auto"/>
        <w:tabs>
          <w:tab w:leader="none" w:pos="898"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Acts of Holders.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rFonts w:ascii="Arial" w:cs="Arial" w:eastAsia="Arial" w:hAnsi="Arial"/>
          <w:sz w:val="17"/>
          <w:szCs w:val="17"/>
          <w:color w:val="auto"/>
        </w:rPr>
      </w:pPr>
    </w:p>
    <w:p>
      <w:pPr>
        <w:ind w:firstLine="656"/>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Notwithstanding the other provisions of this Indenture, unless otherwise specified as contemplated by Section 2.02, payment of the principal of and interest, if any, on any Global Security shall be made to the Holder thereof.</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Consents, Declaration and Directions. Except as provided in Section 2.14(g),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6" w:lineRule="exact"/>
        <w:rPr>
          <w:rFonts w:ascii="Arial" w:cs="Arial" w:eastAsia="Arial" w:hAnsi="Arial"/>
          <w:sz w:val="18"/>
          <w:szCs w:val="18"/>
          <w:color w:val="auto"/>
        </w:rPr>
      </w:pPr>
    </w:p>
    <w:p>
      <w:pPr>
        <w:jc w:val="both"/>
        <w:ind w:firstLine="656"/>
        <w:spacing w:after="0" w:line="271" w:lineRule="auto"/>
        <w:tabs>
          <w:tab w:leader="none" w:pos="90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 Notwithstanding any other provision of this Indenture or any Security, where this Indenture or any Global Security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Depositary procedures.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2.15 CUSIP Numbers. </w:t>
      </w:r>
      <w:r>
        <w:rPr>
          <w:rFonts w:ascii="Arial" w:cs="Arial" w:eastAsia="Arial" w:hAnsi="Arial"/>
          <w:sz w:val="16"/>
          <w:szCs w:val="16"/>
          <w:color w:val="auto"/>
        </w:rPr>
        <w:t>The Company in issuing the Securities may use “CUSIP” numbers (if then generally in use), and, if so, the Trustee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3.01 Notice to Trustee. </w:t>
      </w:r>
      <w:r>
        <w:rPr>
          <w:rFonts w:ascii="Arial" w:cs="Arial" w:eastAsia="Arial" w:hAnsi="Arial"/>
          <w:sz w:val="18"/>
          <w:szCs w:val="18"/>
          <w:color w:val="auto"/>
        </w:rPr>
        <w:t>The Company may, with respect to any Series of Securities, reserve the right to redeem and pay the Series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the Series of Securities to be redeemed.</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3.02 Selection of Securities to be Redeemed. </w:t>
      </w:r>
      <w:r>
        <w:rPr>
          <w:rFonts w:ascii="Arial" w:cs="Arial" w:eastAsia="Arial" w:hAnsi="Arial"/>
          <w:sz w:val="16"/>
          <w:szCs w:val="16"/>
          <w:color w:val="auto"/>
        </w:rPr>
        <w:t>Unless otherwise indicated for a particular Series by a Board Resolution, a supplemental indenture</w:t>
      </w:r>
      <w:r>
        <w:rPr>
          <w:rFonts w:ascii="Arial" w:cs="Arial" w:eastAsia="Arial" w:hAnsi="Arial"/>
          <w:sz w:val="16"/>
          <w:szCs w:val="16"/>
          <w:b w:val="1"/>
          <w:bCs w:val="1"/>
          <w:color w:val="auto"/>
        </w:rPr>
        <w:t xml:space="preserve"> </w:t>
      </w:r>
      <w:r>
        <w:rPr>
          <w:rFonts w:ascii="Arial" w:cs="Arial" w:eastAsia="Arial" w:hAnsi="Arial"/>
          <w:sz w:val="16"/>
          <w:szCs w:val="16"/>
          <w:color w:val="auto"/>
        </w:rPr>
        <w:t>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Securities of a Series and portions selected for redemption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 The Trustee shall not be liable for the selection made in accordance with this Section 3.02.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3.03 Notice of Redemption.</w:t>
      </w:r>
    </w:p>
    <w:p>
      <w:pPr>
        <w:spacing w:after="0" w:line="229" w:lineRule="exact"/>
        <w:rPr>
          <w:sz w:val="20"/>
          <w:szCs w:val="20"/>
          <w:color w:val="auto"/>
        </w:rPr>
      </w:pPr>
    </w:p>
    <w:p>
      <w:pPr>
        <w:jc w:val="both"/>
        <w:ind w:firstLine="656"/>
        <w:spacing w:after="0" w:line="263"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Unless otherwise specified for a particular Series by a Board Resolution, a supplemental indenture or an Officers’ Certificate, at least 30 days but not more than 60 days before a redemption date, the Company shall deliver notice of redemption to each Holder whose Securities are to be redeemed. The notice shall identify the Securities of the Series to be redeemed and shall state:</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redemption price or the manner of the calculation of the redemption price;</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 price;</w:t>
      </w:r>
    </w:p>
    <w:p>
      <w:pPr>
        <w:spacing w:after="0" w:line="236" w:lineRule="exact"/>
        <w:rPr>
          <w:rFonts w:ascii="Arial" w:cs="Arial" w:eastAsia="Arial" w:hAnsi="Arial"/>
          <w:sz w:val="17"/>
          <w:szCs w:val="17"/>
          <w:color w:val="auto"/>
        </w:rPr>
      </w:pPr>
    </w:p>
    <w:p>
      <w:pPr>
        <w:ind w:left="1560" w:hanging="256"/>
        <w:spacing w:after="0"/>
        <w:tabs>
          <w:tab w:leader="none" w:pos="15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1660" w:hanging="356"/>
        <w:spacing w:after="0"/>
        <w:tabs>
          <w:tab w:leader="none" w:pos="1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 redeemed.</w:t>
      </w:r>
    </w:p>
    <w:p>
      <w:pPr>
        <w:spacing w:after="0" w:line="2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At the Company’s request, the Trustee shall give the notice of redemption in the Company’s name and at its expense; provided that the Company shall have delivered to the Trustee, at least five Business Days (or such shorter period as the Trustee may consent to in writing) before notice of redemption is required to be delivered or caused to be delivered to Holders pursuant to this Section 3.03, an Officers’ Certificate of the Company requesting that the Trustee give such notice and setting forth the information to be stated in such notice as provided in the preceding paragraph.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spacing w:after="0" w:line="298" w:lineRule="auto"/>
        <w:rPr>
          <w:sz w:val="20"/>
          <w:szCs w:val="20"/>
          <w:color w:val="auto"/>
        </w:rPr>
      </w:pPr>
      <w:r>
        <w:rPr>
          <w:rFonts w:ascii="Arial" w:cs="Arial" w:eastAsia="Arial" w:hAnsi="Arial"/>
          <w:sz w:val="16"/>
          <w:szCs w:val="16"/>
          <w:b w:val="1"/>
          <w:bCs w:val="1"/>
          <w:color w:val="auto"/>
        </w:rPr>
        <w:t xml:space="preserve">Section 3.04 Effect of Notice of Redemption. </w:t>
      </w:r>
      <w:r>
        <w:rPr>
          <w:rFonts w:ascii="Arial" w:cs="Arial" w:eastAsia="Arial" w:hAnsi="Arial"/>
          <w:sz w:val="16"/>
          <w:szCs w:val="16"/>
          <w:color w:val="auto"/>
        </w:rPr>
        <w:t>Once notice of redemption is delivered as provided in Section 3.03, Securities of a Series called for</w:t>
      </w:r>
      <w:r>
        <w:rPr>
          <w:rFonts w:ascii="Arial" w:cs="Arial" w:eastAsia="Arial" w:hAnsi="Arial"/>
          <w:sz w:val="16"/>
          <w:szCs w:val="16"/>
          <w:b w:val="1"/>
          <w:bCs w:val="1"/>
          <w:color w:val="auto"/>
        </w:rPr>
        <w:t xml:space="preserve"> </w:t>
      </w:r>
      <w:r>
        <w:rPr>
          <w:rFonts w:ascii="Arial" w:cs="Arial" w:eastAsia="Arial" w:hAnsi="Arial"/>
          <w:sz w:val="16"/>
          <w:szCs w:val="16"/>
          <w:color w:val="auto"/>
        </w:rPr>
        <w:t>redemption become due and payable on the redemption date and at the redemption price. A notice of redemption may not be conditional. 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3.05 Deposit of Redemption Price. </w:t>
      </w:r>
      <w:r>
        <w:rPr>
          <w:rFonts w:ascii="Arial" w:cs="Arial" w:eastAsia="Arial" w:hAnsi="Arial"/>
          <w:sz w:val="18"/>
          <w:szCs w:val="18"/>
          <w:color w:val="auto"/>
        </w:rPr>
        <w:t>Unless otherwise indicated for a particular Series by a Board Resolution, a supplemental indenture or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Certificate, on or before 11:00 a.m., New York City time, on the redemption date, the Company shall deposit with the Paying Agent money sufficient to pay the redemption price of and accrued interest, if any, on all Securities to be redeemed on that date.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3.06 Securities Redeemed in Part. </w:t>
      </w:r>
      <w:r>
        <w:rPr>
          <w:rFonts w:ascii="Arial" w:cs="Arial" w:eastAsia="Arial" w:hAnsi="Arial"/>
          <w:sz w:val="18"/>
          <w:szCs w:val="18"/>
          <w:color w:val="auto"/>
        </w:rPr>
        <w:t>Upon surrender of a Security that is redeemed in part, the Company shall issue and the Trustee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authenticate for the Holder a new Security of the same Series and the same maturity equal in principal amount to the unredeemed portion of the Security surrendered.</w:t>
      </w:r>
    </w:p>
    <w:p>
      <w:pPr>
        <w:spacing w:after="0" w:line="17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4.01 Payment of Principal and Interest. </w:t>
      </w:r>
      <w:r>
        <w:rPr>
          <w:rFonts w:ascii="Arial" w:cs="Arial" w:eastAsia="Arial" w:hAnsi="Arial"/>
          <w:sz w:val="18"/>
          <w:szCs w:val="18"/>
          <w:color w:val="auto"/>
        </w:rPr>
        <w:t>The Company covenants and agrees for the benefit of the Holders of each Series of Securities that it will</w:t>
      </w:r>
      <w:r>
        <w:rPr>
          <w:rFonts w:ascii="Arial" w:cs="Arial" w:eastAsia="Arial" w:hAnsi="Arial"/>
          <w:sz w:val="18"/>
          <w:szCs w:val="18"/>
          <w:b w:val="1"/>
          <w:bCs w:val="1"/>
          <w:color w:val="auto"/>
        </w:rPr>
        <w:t xml:space="preserve"> </w:t>
      </w:r>
      <w:r>
        <w:rPr>
          <w:rFonts w:ascii="Arial" w:cs="Arial" w:eastAsia="Arial" w:hAnsi="Arial"/>
          <w:sz w:val="18"/>
          <w:szCs w:val="18"/>
          <w:color w:val="auto"/>
        </w:rPr>
        <w:t>duly and punctually pay the principal of and interest, if any, on the Securities of that Series in accordance with the terms of such Securities and this Indenture.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4.02 SEC Reports. </w:t>
      </w:r>
      <w:r>
        <w:rPr>
          <w:rFonts w:ascii="Arial" w:cs="Arial" w:eastAsia="Arial" w:hAnsi="Arial"/>
          <w:sz w:val="17"/>
          <w:szCs w:val="17"/>
          <w:color w:val="auto"/>
        </w:rPr>
        <w:t>Any information, documents or other reports that the Company shall file with the Commission pursuant to Section 13 or 15(d)</w:t>
      </w:r>
      <w:r>
        <w:rPr>
          <w:rFonts w:ascii="Arial" w:cs="Arial" w:eastAsia="Arial" w:hAnsi="Arial"/>
          <w:sz w:val="17"/>
          <w:szCs w:val="17"/>
          <w:b w:val="1"/>
          <w:bCs w:val="1"/>
          <w:color w:val="auto"/>
        </w:rPr>
        <w:t xml:space="preserve"> </w:t>
      </w:r>
      <w:r>
        <w:rPr>
          <w:rFonts w:ascii="Arial" w:cs="Arial" w:eastAsia="Arial" w:hAnsi="Arial"/>
          <w:sz w:val="17"/>
          <w:szCs w:val="17"/>
          <w:color w:val="auto"/>
        </w:rPr>
        <w:t>of the Exchange Act shall be filed with the Trustee within 15 days after the same is filed with the Commission; provided that any such information, documents or reports filed or furnished with the Commission pursuant to its Electronic Data Gathering, Analysis and Retrieval (or EDGAR) system shall be deemed filed with the Trustee as of the time such information, documents or reports are filed or furnished via EDGAR.</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4.03 Compliance Certificate. </w:t>
      </w:r>
      <w:r>
        <w:rPr>
          <w:rFonts w:ascii="Arial" w:cs="Arial" w:eastAsia="Arial" w:hAnsi="Arial"/>
          <w:sz w:val="18"/>
          <w:szCs w:val="18"/>
          <w:color w:val="auto"/>
        </w:rPr>
        <w:t>The Company shall, so long as any of the Securities are outstanding, deliver to the Trustee, within 120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4.04 Stay, Extension and Usury Laws. </w:t>
      </w:r>
      <w:r>
        <w:rPr>
          <w:rFonts w:ascii="Arial" w:cs="Arial" w:eastAsia="Arial" w:hAnsi="Arial"/>
          <w:sz w:val="17"/>
          <w:szCs w:val="17"/>
          <w:color w:val="auto"/>
        </w:rPr>
        <w:t>The Company covenants (to the extent that it may lawfully do so) that it will not at any time insist upon,</w:t>
      </w:r>
      <w:r>
        <w:rPr>
          <w:rFonts w:ascii="Arial" w:cs="Arial" w:eastAsia="Arial" w:hAnsi="Arial"/>
          <w:sz w:val="17"/>
          <w:szCs w:val="17"/>
          <w:b w:val="1"/>
          <w:bCs w:val="1"/>
          <w:color w:val="auto"/>
        </w:rPr>
        <w:t xml:space="preserve"> </w:t>
      </w:r>
      <w:r>
        <w:rPr>
          <w:rFonts w:ascii="Arial" w:cs="Arial" w:eastAsia="Arial" w:hAnsi="Arial"/>
          <w:sz w:val="17"/>
          <w:szCs w:val="17"/>
          <w:color w:val="auto"/>
        </w:rPr>
        <w:t>plead or in any manner whatsoever claim or take the benefit or advantage of, any stay, extension or usury law wherever enacted, now or at any time hereafter in force, which may affect the covenants or the performance of this Indenture or the Securities or any other law that would prohibit or forgive the Company from paying all or any portion of the principal of, or interest on, the Securities as contemplated in the Indenture, any indenture supplemental thereto relating to the Securities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5.01 When Company May Merge, Etc. </w:t>
      </w:r>
      <w:r>
        <w:rPr>
          <w:rFonts w:ascii="Arial" w:cs="Arial" w:eastAsia="Arial" w:hAnsi="Arial"/>
          <w:sz w:val="18"/>
          <w:szCs w:val="18"/>
          <w:color w:val="auto"/>
        </w:rPr>
        <w:t>The Company shall not consolidate with or merge with or into, or convey, transfer or lease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its properties and assets to, another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166" w:lineRule="exact"/>
        <w:rPr>
          <w:sz w:val="20"/>
          <w:szCs w:val="20"/>
          <w:color w:val="auto"/>
        </w:rPr>
      </w:pPr>
    </w:p>
    <w:p>
      <w:pPr>
        <w:ind w:firstLine="656"/>
        <w:spacing w:after="0" w:line="308" w:lineRule="auto"/>
        <w:tabs>
          <w:tab w:leader="none" w:pos="8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is the surviving corporation or the Successor Person (if other than the Company) is organized and validly existing under the laws of any U.S. domestic jurisdiction and expressly assumes the Company’s obligations on the Securities and under this Indenture; and</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5.02 Successor Corporation Substituted. </w:t>
      </w:r>
      <w:r>
        <w:rPr>
          <w:rFonts w:ascii="Arial" w:cs="Arial" w:eastAsia="Arial" w:hAnsi="Arial"/>
          <w:sz w:val="17"/>
          <w:szCs w:val="17"/>
          <w:color w:val="auto"/>
        </w:rPr>
        <w:t>Upon any consolidation or merger, or any sale, lease, conveyance or other disposition of all or</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6.01 Events of Default.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 or the terms of such Event of Default have been modified or superceded as set forth in the Board Resolution, supplemental indenture or Officers’ Certificate for such Securities of any Series:</w:t>
      </w:r>
    </w:p>
    <w:p>
      <w:pPr>
        <w:spacing w:after="0" w:line="187" w:lineRule="exact"/>
        <w:rPr>
          <w:sz w:val="20"/>
          <w:szCs w:val="20"/>
          <w:color w:val="auto"/>
        </w:rPr>
      </w:pPr>
    </w:p>
    <w:p>
      <w:pPr>
        <w:jc w:val="both"/>
        <w:ind w:firstLine="656"/>
        <w:spacing w:after="0" w:line="263" w:lineRule="auto"/>
        <w:tabs>
          <w:tab w:leader="none" w:pos="9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jc w:val="both"/>
        <w:ind w:firstLine="656"/>
        <w:spacing w:after="0" w:line="255" w:lineRule="auto"/>
        <w:tabs>
          <w:tab w:leader="none" w:pos="9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makes an admission in writing that it is generally unable to pay its debts as the same become due; or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90 days; or</w:t>
      </w:r>
    </w:p>
    <w:p>
      <w:pPr>
        <w:spacing w:after="0" w:line="225" w:lineRule="exact"/>
        <w:rPr>
          <w:rFonts w:ascii="Arial" w:cs="Arial" w:eastAsia="Arial" w:hAnsi="Arial"/>
          <w:sz w:val="18"/>
          <w:szCs w:val="18"/>
          <w:color w:val="auto"/>
        </w:rPr>
      </w:pPr>
    </w:p>
    <w:p>
      <w:pPr>
        <w:ind w:firstLine="656"/>
        <w:spacing w:after="0" w:line="277" w:lineRule="auto"/>
        <w:tabs>
          <w:tab w:leader="none" w:pos="9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2.02(n).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of the U.S. Code or any similar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Section 6.02 Acceleration of Maturity; Rescission and Annulment. </w:t>
      </w:r>
      <w:r>
        <w:rPr>
          <w:rFonts w:ascii="Arial" w:cs="Arial" w:eastAsia="Arial" w:hAnsi="Arial"/>
          <w:sz w:val="17"/>
          <w:szCs w:val="17"/>
          <w:color w:val="auto"/>
        </w:rPr>
        <w:t>If an Event of Default with respect to Securities of any Series at the time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occurs and is continuing (other than an Event of Default referred to in Section 6.01(d)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6.01(d) or (e) shall occur, the principal amount (or specified amount) of and accrued and unpaid interest, if any, on all outstanding Securities shall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that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Section 6.03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firstLine="656"/>
        <w:spacing w:after="0" w:line="277" w:lineRule="auto"/>
        <w:tabs>
          <w:tab w:leader="none" w:pos="9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jc w:val="both"/>
        <w:ind w:firstLine="656"/>
        <w:spacing w:after="0" w:line="275" w:lineRule="auto"/>
        <w:tabs>
          <w:tab w:leader="none" w:pos="905"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default is made in the payment of principal of any Security at the Maturity thereof, 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Section 6.04 Trustee May File Proofs of Claim. </w:t>
      </w:r>
      <w:r>
        <w:rPr>
          <w:rFonts w:ascii="Arial" w:cs="Arial" w:eastAsia="Arial" w:hAnsi="Arial"/>
          <w:sz w:val="17"/>
          <w:szCs w:val="17"/>
          <w:color w:val="auto"/>
        </w:rPr>
        <w:t>In case of the pendency of any receivership, insolvency, liquidation, bankruptcy, reorganization,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7"/>
          <w:szCs w:val="17"/>
          <w:b w:val="1"/>
          <w:bCs w:val="1"/>
          <w:color w:val="auto"/>
        </w:rPr>
        <w:t xml:space="preserve">Section 6.05 Trustee May Enforce Claims Without Possession of Securities. </w:t>
      </w:r>
      <w:r>
        <w:rPr>
          <w:rFonts w:ascii="Arial" w:cs="Arial" w:eastAsia="Arial" w:hAnsi="Arial"/>
          <w:sz w:val="17"/>
          <w:szCs w:val="17"/>
          <w:color w:val="auto"/>
        </w:rPr>
        <w:t>All rights of action and claims under this Indenture or the Securities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6.06 Application of Money Collected.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7.07; 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To the Company.</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6.07 Limitation on Suits. </w:t>
      </w:r>
      <w:r>
        <w:rPr>
          <w:rFonts w:ascii="Arial" w:cs="Arial" w:eastAsia="Arial" w:hAnsi="Arial"/>
          <w:sz w:val="18"/>
          <w:szCs w:val="18"/>
          <w:color w:val="auto"/>
        </w:rPr>
        <w:t>No Holder of any Security of any Series shall have any right to institute any proceeding, judicial or otherwise,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this Indenture, or for the appointment of a receiver or trustee, or for any other remedy hereunder, unless:</w:t>
      </w:r>
    </w:p>
    <w:p>
      <w:pPr>
        <w:spacing w:after="0" w:line="166" w:lineRule="exact"/>
        <w:rPr>
          <w:sz w:val="20"/>
          <w:szCs w:val="20"/>
          <w:color w:val="auto"/>
        </w:rPr>
      </w:pPr>
    </w:p>
    <w:p>
      <w:pPr>
        <w:ind w:left="900" w:hanging="244"/>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248" w:lineRule="exact"/>
        <w:rPr>
          <w:rFonts w:ascii="Arial" w:cs="Arial" w:eastAsia="Arial" w:hAnsi="Arial"/>
          <w:sz w:val="16"/>
          <w:szCs w:val="16"/>
          <w:color w:val="auto"/>
        </w:rPr>
      </w:pPr>
    </w:p>
    <w:p>
      <w:pPr>
        <w:ind w:firstLine="656"/>
        <w:spacing w:after="0" w:line="277" w:lineRule="auto"/>
        <w:tabs>
          <w:tab w:leader="none" w:pos="9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Holders of at least a majority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firstLine="656"/>
        <w:spacing w:after="0" w:line="277" w:lineRule="auto"/>
        <w:tabs>
          <w:tab w:leader="none" w:pos="898"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Holder or Holders shall have offered to the Trustee security or indemnity satisfactory to it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 proceeding; and</w:t>
      </w:r>
    </w:p>
    <w:p>
      <w:pPr>
        <w:spacing w:after="0" w:line="236" w:lineRule="exact"/>
        <w:rPr>
          <w:rFonts w:ascii="Arial" w:cs="Arial" w:eastAsia="Arial" w:hAnsi="Arial"/>
          <w:sz w:val="17"/>
          <w:szCs w:val="17"/>
          <w:color w:val="auto"/>
        </w:rPr>
      </w:pPr>
    </w:p>
    <w:p>
      <w:pPr>
        <w:jc w:val="both"/>
        <w:ind w:firstLine="656"/>
        <w:spacing w:after="0" w:line="257" w:lineRule="auto"/>
        <w:tabs>
          <w:tab w:leader="none" w:pos="9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8"/>
          <w:szCs w:val="18"/>
          <w:b w:val="1"/>
          <w:bCs w:val="1"/>
          <w:color w:val="auto"/>
        </w:rPr>
        <w:t xml:space="preserve">Section 6.08 Unconditional Right of Holders to Receive Principal and Interest. </w:t>
      </w:r>
      <w:r>
        <w:rPr>
          <w:rFonts w:ascii="Arial" w:cs="Arial" w:eastAsia="Arial" w:hAnsi="Arial"/>
          <w:sz w:val="18"/>
          <w:szCs w:val="18"/>
          <w:color w:val="auto"/>
        </w:rPr>
        <w:t>Notwithstanding any other provision in this Indenture, the 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6.09 Restoration of Rights and Remedies. </w:t>
      </w:r>
      <w:r>
        <w:rPr>
          <w:rFonts w:ascii="Arial" w:cs="Arial" w:eastAsia="Arial" w:hAnsi="Arial"/>
          <w:sz w:val="18"/>
          <w:szCs w:val="18"/>
          <w:color w:val="auto"/>
        </w:rPr>
        <w:t>If the Trustee or any Holder has instituted any proceeding to enforce any right or remedy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6.10 Rights and Remedies Cumulative. </w:t>
      </w:r>
      <w:r>
        <w:rPr>
          <w:rFonts w:ascii="Arial" w:cs="Arial" w:eastAsia="Arial" w:hAnsi="Arial"/>
          <w:sz w:val="16"/>
          <w:szCs w:val="16"/>
          <w:color w:val="auto"/>
        </w:rPr>
        <w:t>Except as otherwise provided with respect to the replacement or payment of mutilated, destroyed, lost or</w:t>
      </w:r>
      <w:r>
        <w:rPr>
          <w:rFonts w:ascii="Arial" w:cs="Arial" w:eastAsia="Arial" w:hAnsi="Arial"/>
          <w:sz w:val="16"/>
          <w:szCs w:val="16"/>
          <w:b w:val="1"/>
          <w:bCs w:val="1"/>
          <w:color w:val="auto"/>
        </w:rPr>
        <w:t xml:space="preserve"> </w:t>
      </w:r>
      <w:r>
        <w:rPr>
          <w:rFonts w:ascii="Arial" w:cs="Arial" w:eastAsia="Arial" w:hAnsi="Arial"/>
          <w:sz w:val="16"/>
          <w:szCs w:val="16"/>
          <w:color w:val="auto"/>
        </w:rPr>
        <w:t>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6.11 Delay or Omission Not Waiver. </w:t>
      </w:r>
      <w:r>
        <w:rPr>
          <w:rFonts w:ascii="Arial" w:cs="Arial" w:eastAsia="Arial" w:hAnsi="Arial"/>
          <w:sz w:val="18"/>
          <w:szCs w:val="18"/>
          <w:color w:val="auto"/>
        </w:rPr>
        <w:t>No delay or omission of the Trustee or of any Holder of any Securities to exercise any right or remedy</w:t>
      </w:r>
      <w:r>
        <w:rPr>
          <w:rFonts w:ascii="Arial" w:cs="Arial" w:eastAsia="Arial" w:hAnsi="Arial"/>
          <w:sz w:val="18"/>
          <w:szCs w:val="18"/>
          <w:b w:val="1"/>
          <w:bCs w:val="1"/>
          <w:color w:val="auto"/>
        </w:rPr>
        <w:t xml:space="preserve"> </w:t>
      </w:r>
      <w:r>
        <w:rPr>
          <w:rFonts w:ascii="Arial" w:cs="Arial" w:eastAsia="Arial" w:hAnsi="Arial"/>
          <w:sz w:val="18"/>
          <w:szCs w:val="18"/>
          <w:color w:val="auto"/>
        </w:rPr>
        <w:t>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6.12 Control by Holders. </w:t>
      </w:r>
      <w:r>
        <w:rPr>
          <w:rFonts w:ascii="Arial" w:cs="Arial" w:eastAsia="Arial" w:hAnsi="Arial"/>
          <w:sz w:val="18"/>
          <w:szCs w:val="18"/>
          <w:color w:val="auto"/>
        </w:rPr>
        <w:t>Subject to Section 7.02(f), the Holders of a majority in principal amount of the outstanding Securities of any Series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direct the time, method and place of conducting any proceeding for any remedy available to the Trustee, or exercising any trust or power conferred on the Trustee, with respect to the Securities of such Series, provided that:</w:t>
      </w:r>
    </w:p>
    <w:p>
      <w:pPr>
        <w:spacing w:after="0" w:line="180" w:lineRule="exact"/>
        <w:rPr>
          <w:sz w:val="20"/>
          <w:szCs w:val="20"/>
          <w:color w:val="auto"/>
        </w:rPr>
      </w:pPr>
    </w:p>
    <w:p>
      <w:pPr>
        <w:ind w:left="900" w:hanging="244"/>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firstLine="656"/>
        <w:spacing w:after="0" w:line="308" w:lineRule="auto"/>
        <w:tabs>
          <w:tab w:leader="none" w:pos="907"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subject to the provisions of Section 7.01, the Trustee shall have the right to decline to follow any such direction if the Trustee in good faith shall, by a Responsible Officer of the Trustee, determine that the proceeding so directed would involve the Trustee in personal liability.</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Section 6.13 Waiver of Past Defaults. </w:t>
      </w:r>
      <w:r>
        <w:rPr>
          <w:rFonts w:ascii="Arial" w:cs="Arial" w:eastAsia="Arial" w:hAnsi="Arial"/>
          <w:sz w:val="18"/>
          <w:szCs w:val="18"/>
          <w:color w:val="auto"/>
        </w:rPr>
        <w:t>The Holders of not less than a majority in principal amount of the outstanding Securities of any Series may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Holders of all the Securities of such Series waive any past Default hereunder with respect to such Series and its consequences, except a Default (i)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71" w:lineRule="auto"/>
        <w:rPr>
          <w:sz w:val="20"/>
          <w:szCs w:val="20"/>
          <w:color w:val="auto"/>
        </w:rPr>
      </w:pPr>
      <w:r>
        <w:rPr>
          <w:rFonts w:ascii="Arial" w:cs="Arial" w:eastAsia="Arial" w:hAnsi="Arial"/>
          <w:sz w:val="17"/>
          <w:szCs w:val="17"/>
          <w:b w:val="1"/>
          <w:bCs w:val="1"/>
          <w:color w:val="auto"/>
        </w:rPr>
        <w:t xml:space="preserve">Section 6.14 Undertaking for Costs. </w:t>
      </w:r>
      <w:r>
        <w:rPr>
          <w:rFonts w:ascii="Arial" w:cs="Arial" w:eastAsia="Arial" w:hAnsi="Arial"/>
          <w:sz w:val="17"/>
          <w:szCs w:val="17"/>
          <w:color w:val="auto"/>
        </w:rPr>
        <w:t>All parties to this Indenture agree, and each Holder of any Security by his acceptance thereof shall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7.01 Duties of Trustee.</w:t>
      </w:r>
    </w:p>
    <w:p>
      <w:pPr>
        <w:spacing w:after="0" w:line="229" w:lineRule="exact"/>
        <w:rPr>
          <w:sz w:val="20"/>
          <w:szCs w:val="20"/>
          <w:color w:val="auto"/>
        </w:rPr>
      </w:pPr>
    </w:p>
    <w:p>
      <w:pPr>
        <w:jc w:val="both"/>
        <w:ind w:firstLine="656"/>
        <w:spacing w:after="0" w:line="263" w:lineRule="auto"/>
        <w:tabs>
          <w:tab w:leader="none" w:pos="8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firstLine="1304"/>
        <w:spacing w:after="0" w:line="277" w:lineRule="auto"/>
        <w:tabs>
          <w:tab w:leader="none" w:pos="15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15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and is fully protected,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 .</w:t>
      </w:r>
    </w:p>
    <w:p>
      <w:pPr>
        <w:spacing w:after="0" w:line="192"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 misconduct,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except that:</w:t>
      </w:r>
    </w:p>
    <w:p>
      <w:pPr>
        <w:spacing w:after="0" w:line="210" w:lineRule="exact"/>
        <w:rPr>
          <w:rFonts w:ascii="Arial" w:cs="Arial" w:eastAsia="Arial" w:hAnsi="Arial"/>
          <w:sz w:val="17"/>
          <w:szCs w:val="17"/>
          <w:color w:val="auto"/>
        </w:rPr>
      </w:pPr>
    </w:p>
    <w:p>
      <w:pPr>
        <w:ind w:left="1520" w:hanging="216"/>
        <w:spacing w:after="0"/>
        <w:tabs>
          <w:tab w:leader="none" w:pos="15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firstLine="1304"/>
        <w:spacing w:after="0" w:line="277" w:lineRule="auto"/>
        <w:tabs>
          <w:tab w:leader="none" w:pos="157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304"/>
        <w:spacing w:after="0" w:line="259" w:lineRule="auto"/>
        <w:tabs>
          <w:tab w:leader="none" w:pos="1611"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225" w:lineRule="exact"/>
        <w:rPr>
          <w:rFonts w:ascii="Arial" w:cs="Arial" w:eastAsia="Arial" w:hAnsi="Arial"/>
          <w:sz w:val="18"/>
          <w:szCs w:val="18"/>
          <w:color w:val="auto"/>
        </w:rPr>
      </w:pPr>
    </w:p>
    <w:p>
      <w:pPr>
        <w:ind w:firstLine="656"/>
        <w:spacing w:after="0" w:line="277"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at the request or direction of any Holder unless it receives indemnity reasonably satisfactory to it against any loss, liability or expense.</w:t>
      </w:r>
    </w:p>
    <w:p>
      <w:pPr>
        <w:spacing w:after="0" w:line="170" w:lineRule="exact"/>
        <w:rPr>
          <w:rFonts w:ascii="Arial" w:cs="Arial" w:eastAsia="Arial" w:hAnsi="Arial"/>
          <w:sz w:val="18"/>
          <w:szCs w:val="18"/>
          <w:color w:val="auto"/>
        </w:rPr>
      </w:pPr>
    </w:p>
    <w:p>
      <w:pPr>
        <w:ind w:firstLine="656"/>
        <w:spacing w:after="0" w:line="277" w:lineRule="auto"/>
        <w:tabs>
          <w:tab w:leader="none" w:pos="8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the right to be indemnified, are extended to, and shall be enforceable by the Trustee in each of its capacities hereunder and to its agents. The provisions set forth in paragraphs (a), (b) and (c) of this Section shall apply to the Trustee in each of its capacities hereunder and its agents.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7.02 Rights of Trustee.</w:t>
      </w:r>
    </w:p>
    <w:p>
      <w:pPr>
        <w:spacing w:after="0" w:line="229" w:lineRule="exact"/>
        <w:rPr>
          <w:sz w:val="20"/>
          <w:szCs w:val="20"/>
          <w:color w:val="auto"/>
        </w:rPr>
      </w:pPr>
    </w:p>
    <w:p>
      <w:pPr>
        <w:ind w:firstLine="656"/>
        <w:spacing w:after="0" w:line="308" w:lineRule="auto"/>
        <w:tabs>
          <w:tab w:leader="none" w:pos="89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Trustee may conclusively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46" w:lineRule="exact"/>
        <w:rPr>
          <w:rFonts w:ascii="Arial" w:cs="Arial" w:eastAsia="Arial" w:hAnsi="Arial"/>
          <w:sz w:val="17"/>
          <w:szCs w:val="17"/>
          <w:color w:val="auto"/>
        </w:rPr>
      </w:pPr>
    </w:p>
    <w:p>
      <w:pPr>
        <w:ind w:firstLine="656"/>
        <w:spacing w:after="0" w:line="277" w:lineRule="auto"/>
        <w:tabs>
          <w:tab w:leader="none" w:pos="906"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Before the Trustee acts or refrains from acting at the direction of the Company, it may require an Officers’ Certificate. The Trustee shall not be liable for any action it takes or omits to take in good faith in reliance on such Officers’ Certificate.</w:t>
      </w:r>
    </w:p>
    <w:p>
      <w:pPr>
        <w:spacing w:after="0" w:line="170" w:lineRule="exact"/>
        <w:rPr>
          <w:rFonts w:ascii="Arial" w:cs="Arial" w:eastAsia="Arial" w:hAnsi="Arial"/>
          <w:sz w:val="18"/>
          <w:szCs w:val="18"/>
          <w:color w:val="auto"/>
        </w:rPr>
      </w:pPr>
    </w:p>
    <w:p>
      <w:pPr>
        <w:ind w:firstLine="656"/>
        <w:spacing w:after="0" w:line="308" w:lineRule="auto"/>
        <w:tabs>
          <w:tab w:leader="none" w:pos="902"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46" w:lineRule="exact"/>
        <w:rPr>
          <w:rFonts w:ascii="Arial" w:cs="Arial" w:eastAsia="Arial" w:hAnsi="Arial"/>
          <w:sz w:val="17"/>
          <w:szCs w:val="17"/>
          <w:color w:val="auto"/>
        </w:rPr>
      </w:pPr>
    </w:p>
    <w:p>
      <w:pPr>
        <w:ind w:firstLine="656"/>
        <w:spacing w:after="0" w:line="277" w:lineRule="auto"/>
        <w:tabs>
          <w:tab w:leader="none" w:pos="9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willful misconduct.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firstLine="656"/>
        <w:spacing w:after="0" w:line="308" w:lineRule="auto"/>
        <w:tabs>
          <w:tab w:leader="none" w:pos="89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believed by the Trustee to be genuine and to have been signed or delivered by the proper person.</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0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other than a failure by the Company to make any payment hereunder when due if the Trustee is the Paying Agent,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 and states that it is a “notice of default.”</w:t>
      </w:r>
    </w:p>
    <w:p>
      <w:pPr>
        <w:spacing w:after="0" w:line="171" w:lineRule="exact"/>
        <w:rPr>
          <w:rFonts w:ascii="Arial" w:cs="Arial" w:eastAsia="Arial" w:hAnsi="Arial"/>
          <w:sz w:val="17"/>
          <w:szCs w:val="17"/>
          <w:color w:val="auto"/>
        </w:rPr>
      </w:pPr>
    </w:p>
    <w:p>
      <w:pPr>
        <w:ind w:left="860" w:hanging="20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special, indirect, punitive, incidental or consequential loss or damage of any kind whatsoever (including, but not limited to, lost profits) irrespective of whether the Trustee has been advised of the likelihood of such loss or damage and regardless of the form of action.</w:t>
      </w:r>
    </w:p>
    <w:p>
      <w:pPr>
        <w:spacing w:after="0" w:line="183" w:lineRule="exact"/>
        <w:rPr>
          <w:rFonts w:ascii="Arial" w:cs="Arial" w:eastAsia="Arial" w:hAnsi="Arial"/>
          <w:sz w:val="18"/>
          <w:szCs w:val="18"/>
          <w:color w:val="auto"/>
        </w:rPr>
      </w:pPr>
    </w:p>
    <w:p>
      <w:pPr>
        <w:jc w:val="both"/>
        <w:ind w:firstLine="656"/>
        <w:spacing w:after="0" w:line="273" w:lineRule="auto"/>
        <w:tabs>
          <w:tab w:leader="none" w:pos="933" w:val="left"/>
        </w:tabs>
        <w:numPr>
          <w:ilvl w:val="0"/>
          <w:numId w:val="55"/>
        </w:numPr>
        <w:rPr>
          <w:rFonts w:ascii="Arial" w:cs="Arial" w:eastAsia="Arial" w:hAnsi="Arial"/>
          <w:sz w:val="17"/>
          <w:szCs w:val="17"/>
          <w:color w:val="auto"/>
        </w:rPr>
      </w:pPr>
      <w:r>
        <w:rPr>
          <w:rFonts w:ascii="Arial" w:cs="Arial" w:eastAsia="Arial" w:hAnsi="Arial"/>
          <w:sz w:val="17"/>
          <w:szCs w:val="17"/>
          <w:color w:val="auto"/>
        </w:rPr>
        <w:t>Neither the Trustee nor any Agent shall be responsible or liable for any failure or delay in the performance of its obligation under this Indenture arising out of or caused, directly or indirectly, by circumstances beyond its reasonable control, including, without limitation, acts of God; earthquakes; fire; flood; wars; acts of terrorism; civil or military disturbances; sabotage; epidemic; riots; interruptions, loss or malfunctions of utilities, computer (hardware or software) or communications services; accidents; labor disputes; acts of civil or military authority or governmental action; it being understood that each of the Trustee and Agents shall use commercially reasonable efforts which are consistent with accepted practices in the banking industry to resume performance as soon as reasonably practicable under the circumstances.</w:t>
      </w:r>
    </w:p>
    <w:p>
      <w:pPr>
        <w:spacing w:after="0" w:line="177" w:lineRule="exact"/>
        <w:rPr>
          <w:rFonts w:ascii="Arial" w:cs="Arial" w:eastAsia="Arial" w:hAnsi="Arial"/>
          <w:sz w:val="17"/>
          <w:szCs w:val="17"/>
          <w:color w:val="auto"/>
        </w:rPr>
      </w:pPr>
    </w:p>
    <w:p>
      <w:pPr>
        <w:ind w:left="860" w:hanging="20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7.03 Individual Rights of Trustee. </w:t>
      </w:r>
      <w:r>
        <w:rPr>
          <w:rFonts w:ascii="Arial" w:cs="Arial" w:eastAsia="Arial" w:hAnsi="Arial"/>
          <w:sz w:val="18"/>
          <w:szCs w:val="18"/>
          <w:color w:val="auto"/>
        </w:rPr>
        <w:t>The Trustee in its individual or any other capacity may become the owner or pledgee of Securities and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7.04 Trustee’s Disclaimer. </w:t>
      </w:r>
      <w:r>
        <w:rPr>
          <w:rFonts w:ascii="Arial" w:cs="Arial" w:eastAsia="Arial" w:hAnsi="Arial"/>
          <w:sz w:val="18"/>
          <w:szCs w:val="18"/>
          <w:color w:val="auto"/>
        </w:rPr>
        <w:t>The Trustee makes no representation as to the validity or adequacy of this Indenture or the Securities, it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accountable for the Company’s use of the proceeds from the Securities, and it shall not be responsible for any statement in the Securities other than its authentication.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spacing w:after="0" w:line="258" w:lineRule="auto"/>
        <w:rPr>
          <w:sz w:val="20"/>
          <w:szCs w:val="20"/>
          <w:color w:val="auto"/>
        </w:rPr>
      </w:pPr>
      <w:r>
        <w:rPr>
          <w:rFonts w:ascii="Arial" w:cs="Arial" w:eastAsia="Arial" w:hAnsi="Arial"/>
          <w:sz w:val="18"/>
          <w:szCs w:val="18"/>
          <w:b w:val="1"/>
          <w:bCs w:val="1"/>
          <w:color w:val="auto"/>
        </w:rPr>
        <w:t xml:space="preserve">Section 7.05 Notice of Defaults. </w:t>
      </w:r>
      <w:r>
        <w:rPr>
          <w:rFonts w:ascii="Arial" w:cs="Arial" w:eastAsia="Arial" w:hAnsi="Arial"/>
          <w:sz w:val="18"/>
          <w:szCs w:val="18"/>
          <w:color w:val="auto"/>
        </w:rPr>
        <w:t>If a Default or Event of Default occurs and is continuing with respect to the Securities of any Series and if it is known to a</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Officer of the Trustee, the Trustee shall deliver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Holders of that Series.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7.06 Reports by Trustee to Holders. </w:t>
      </w:r>
      <w:r>
        <w:rPr>
          <w:rFonts w:ascii="Arial" w:cs="Arial" w:eastAsia="Arial" w:hAnsi="Arial"/>
          <w:sz w:val="18"/>
          <w:szCs w:val="18"/>
          <w:color w:val="auto"/>
        </w:rPr>
        <w:t>Within 60 days after March 15 in each year, the Trustee shall transmit by deliver to all Holders, as their</w:t>
      </w:r>
      <w:r>
        <w:rPr>
          <w:rFonts w:ascii="Arial" w:cs="Arial" w:eastAsia="Arial" w:hAnsi="Arial"/>
          <w:sz w:val="18"/>
          <w:szCs w:val="18"/>
          <w:b w:val="1"/>
          <w:bCs w:val="1"/>
          <w:color w:val="auto"/>
        </w:rPr>
        <w:t xml:space="preserve"> </w:t>
      </w:r>
      <w:r>
        <w:rPr>
          <w:rFonts w:ascii="Arial" w:cs="Arial" w:eastAsia="Arial" w:hAnsi="Arial"/>
          <w:sz w:val="18"/>
          <w:szCs w:val="18"/>
          <w:color w:val="auto"/>
        </w:rPr>
        <w:t>names and addresses appear on the register kept by the Registrar a brief report dated as of such March 15, in accordance with, and to the extent required under, TIA Section 313. A copy of each report at the time of its delivery to Holders of any Series shall be filed with the SEC and each stock exchange on which the Securities of that Series are listed. The Company shall promptly notify the Trustee when Securities of any Series are listed on any stock exchange.</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Section 7.07 Compensation and Indemnity. </w:t>
      </w:r>
      <w:r>
        <w:rPr>
          <w:rFonts w:ascii="Arial" w:cs="Arial" w:eastAsia="Arial" w:hAnsi="Arial"/>
          <w:sz w:val="17"/>
          <w:szCs w:val="17"/>
          <w:color w:val="auto"/>
        </w:rPr>
        <w:t>The Company shall pay to the Trustee from time to time compensation for its services as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Failure or delay by the Trustee to so notify the Company of any claim for which it may seek indemnity shall not relieve the Company of its obligations hereunder except to the extent such failure or delay shall have materially prejudiced the Company.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gross negligence or willful misconduct of any such persons as determined by a final order of a court of competent jurisdiction. When the Trustee incurs expenses or renders services after an Event of Default specified in Section 6.01(d) or (e) occurs, the expenses and the compensation for the services are intended to constitute expenses of administration under any insolvency, bankruptcy or similar law. The provisions of this Section shall survive the resignation or removal of the Trustee and the termination or discharge of this Indenture.</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7.08 Replacement of Trustee. </w:t>
      </w:r>
      <w:r>
        <w:rPr>
          <w:rFonts w:ascii="Arial" w:cs="Arial" w:eastAsia="Arial" w:hAnsi="Arial"/>
          <w:sz w:val="18"/>
          <w:szCs w:val="18"/>
          <w:color w:val="auto"/>
        </w:rPr>
        <w:t>A resignation or removal of the Trustee and appointment of a successor Trustee shall become effective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successor Trustee’s acceptance of appointment as provided in this Section. 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87" w:lineRule="exact"/>
        <w:rPr>
          <w:sz w:val="20"/>
          <w:szCs w:val="20"/>
          <w:color w:val="auto"/>
        </w:rPr>
      </w:pPr>
    </w:p>
    <w:p>
      <w:pPr>
        <w:ind w:left="900" w:hanging="24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is adjudged bankrupt or insolvent or an order for relief is entered with respect to the Trustee under any insolvency, bankruptcy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similar law;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900" w:hanging="244"/>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Trustee resigns or is removed or if a vacancy exists in the office of Trustee for any reason, the Company shall promptly appoint a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deliver a notice of its succession to each Holder of each such Series. Notwithstanding replacement of the Trustee pursuant to this Section 7.08, the Company’s obligations under Section 7.07 hereof shall continue for the benefit of the retiring Trustee with respect to expenses and liabilities incurred by it prior to the date of such replacement.</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7.09 Successor Trustee by Merger, etc. </w:t>
      </w:r>
      <w:r>
        <w:rPr>
          <w:rFonts w:ascii="Arial" w:cs="Arial" w:eastAsia="Arial" w:hAnsi="Arial"/>
          <w:sz w:val="18"/>
          <w:szCs w:val="18"/>
          <w:color w:val="auto"/>
        </w:rPr>
        <w:t>If the Trustee consolidates with, merges or converts into, or transfers all or substantially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trust business (including administration of this Indenture) to, another corporation, the successor corporation without any further act shall be the successor Trustee.</w:t>
      </w:r>
    </w:p>
    <w:p>
      <w:pPr>
        <w:spacing w:after="0" w:line="1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7.10 Eligibility; Disqualification. </w:t>
      </w:r>
      <w:r>
        <w:rPr>
          <w:rFonts w:ascii="Arial" w:cs="Arial" w:eastAsia="Arial" w:hAnsi="Arial"/>
          <w:sz w:val="18"/>
          <w:szCs w:val="18"/>
          <w:color w:val="auto"/>
        </w:rPr>
        <w:t>This Indenture shall always have a Trustee who satisfies the requirements of TIA Section 310(a)(1), (2) and</w:t>
      </w:r>
      <w:r>
        <w:rPr>
          <w:rFonts w:ascii="Arial" w:cs="Arial" w:eastAsia="Arial" w:hAnsi="Arial"/>
          <w:sz w:val="18"/>
          <w:szCs w:val="18"/>
          <w:b w:val="1"/>
          <w:bCs w:val="1"/>
          <w:color w:val="auto"/>
        </w:rPr>
        <w:t xml:space="preserve"> </w:t>
      </w:r>
      <w:r>
        <w:rPr>
          <w:rFonts w:ascii="Arial" w:cs="Arial" w:eastAsia="Arial" w:hAnsi="Arial"/>
          <w:sz w:val="18"/>
          <w:szCs w:val="18"/>
          <w:color w:val="auto"/>
        </w:rPr>
        <w:t>(5) and has a combined capital and surplus of at least $50,000,000. The Trustee shall comply with TIA Section 310(b).</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7.11 Preferential Collection of Claims Against Company. </w:t>
      </w:r>
      <w:r>
        <w:rPr>
          <w:rFonts w:ascii="Arial" w:cs="Arial" w:eastAsia="Arial" w:hAnsi="Arial"/>
          <w:sz w:val="17"/>
          <w:szCs w:val="17"/>
          <w:color w:val="auto"/>
        </w:rPr>
        <w:t>The Trustee is subject to TIA Section 311(a), excluding any creditor relationship listed</w:t>
      </w:r>
      <w:r>
        <w:rPr>
          <w:rFonts w:ascii="Arial" w:cs="Arial" w:eastAsia="Arial" w:hAnsi="Arial"/>
          <w:sz w:val="17"/>
          <w:szCs w:val="17"/>
          <w:b w:val="1"/>
          <w:bCs w:val="1"/>
          <w:color w:val="auto"/>
        </w:rPr>
        <w:t xml:space="preserve"> </w:t>
      </w:r>
      <w:r>
        <w:rPr>
          <w:rFonts w:ascii="Arial" w:cs="Arial" w:eastAsia="Arial" w:hAnsi="Arial"/>
          <w:sz w:val="17"/>
          <w:szCs w:val="17"/>
          <w:color w:val="auto"/>
        </w:rPr>
        <w:t>in TIA Section 311(b). A Trustee who has resigned or been removed shall be subject to TIA Section 311(a) to the extent indicated.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8.01 Satisfaction and Discharge of Indenture.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shall upon Company Order cease to be of further effect (except as hereinafter provided in this Section 8.01), and the Trustee, at the expense of the Company, shall execute proper instruments acknowledging satisfaction and discharge of this Indenture, when</w:t>
      </w:r>
    </w:p>
    <w:p>
      <w:pPr>
        <w:spacing w:after="0" w:line="170" w:lineRule="exact"/>
        <w:rPr>
          <w:sz w:val="20"/>
          <w:szCs w:val="20"/>
          <w:color w:val="auto"/>
        </w:rPr>
      </w:pPr>
    </w:p>
    <w:p>
      <w:pPr>
        <w:ind w:left="900" w:hanging="244"/>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of the following shall have occurred:</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Securities have been issued hereunder;</w:t>
      </w:r>
    </w:p>
    <w:p>
      <w:pPr>
        <w:spacing w:after="0" w:line="225" w:lineRule="exact"/>
        <w:rPr>
          <w:rFonts w:ascii="Arial" w:cs="Arial" w:eastAsia="Arial" w:hAnsi="Arial"/>
          <w:sz w:val="18"/>
          <w:szCs w:val="18"/>
          <w:color w:val="auto"/>
        </w:rPr>
      </w:pPr>
    </w:p>
    <w:p>
      <w:pPr>
        <w:ind w:firstLine="1304"/>
        <w:spacing w:after="0" w:line="277" w:lineRule="auto"/>
        <w:tabs>
          <w:tab w:leader="none" w:pos="156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1304"/>
        <w:spacing w:after="0" w:line="293" w:lineRule="auto"/>
        <w:tabs>
          <w:tab w:leader="none" w:pos="1616"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such Securities not theretofore delivered to the Trustee for cancellation (1) have become due and payable, or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64" w:lineRule="exact"/>
        <w:rPr>
          <w:rFonts w:ascii="Arial" w:cs="Arial" w:eastAsia="Arial" w:hAnsi="Arial"/>
          <w:sz w:val="16"/>
          <w:szCs w:val="16"/>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firstLine="65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7.07 and, if money shall have been deposited with the Trustee pursuant to clause (a) of this Section, the provisions of Sections 2.04, 2.05, 2.07, 2.08, 8.01, 8.02 and 8.05 shall survive.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8.02 Application of Trust Funds; Indemnification.</w:t>
      </w:r>
    </w:p>
    <w:p>
      <w:pPr>
        <w:spacing w:after="0" w:line="229" w:lineRule="exact"/>
        <w:rPr>
          <w:sz w:val="20"/>
          <w:szCs w:val="20"/>
          <w:color w:val="auto"/>
        </w:rPr>
      </w:pPr>
    </w:p>
    <w:p>
      <w:pPr>
        <w:jc w:val="both"/>
        <w:ind w:firstLine="656"/>
        <w:spacing w:after="0" w:line="293" w:lineRule="auto"/>
        <w:tabs>
          <w:tab w:leader="none" w:pos="914"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for whose payment such money has been deposited with or received by the Trustee or analogous payments as contemplated by Sections 8.03 or 8.04.</w:t>
      </w:r>
    </w:p>
    <w:p>
      <w:pPr>
        <w:spacing w:after="0" w:line="164" w:lineRule="exact"/>
        <w:rPr>
          <w:rFonts w:ascii="Arial" w:cs="Arial" w:eastAsia="Arial" w:hAnsi="Arial"/>
          <w:sz w:val="16"/>
          <w:szCs w:val="16"/>
          <w:color w:val="auto"/>
        </w:rPr>
      </w:pPr>
    </w:p>
    <w:p>
      <w:pPr>
        <w:jc w:val="both"/>
        <w:ind w:firstLine="656"/>
        <w:spacing w:after="0" w:line="263" w:lineRule="auto"/>
        <w:tabs>
          <w:tab w:leader="none" w:pos="90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spacing w:after="0" w:line="183" w:lineRule="exact"/>
        <w:rPr>
          <w:rFonts w:ascii="Arial" w:cs="Arial" w:eastAsia="Arial" w:hAnsi="Arial"/>
          <w:sz w:val="18"/>
          <w:szCs w:val="18"/>
          <w:color w:val="auto"/>
        </w:rPr>
      </w:pPr>
    </w:p>
    <w:p>
      <w:pPr>
        <w:jc w:val="both"/>
        <w:ind w:firstLine="656"/>
        <w:spacing w:after="0" w:line="255" w:lineRule="auto"/>
        <w:tabs>
          <w:tab w:leader="none" w:pos="9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7"/>
          <w:szCs w:val="17"/>
          <w:b w:val="1"/>
          <w:bCs w:val="1"/>
          <w:color w:val="auto"/>
        </w:rPr>
        <w:t xml:space="preserve">Section 8.03 Legal Defeasance of Securities of any Series. </w:t>
      </w:r>
      <w:r>
        <w:rPr>
          <w:rFonts w:ascii="Arial" w:cs="Arial" w:eastAsia="Arial" w:hAnsi="Arial"/>
          <w:sz w:val="17"/>
          <w:szCs w:val="17"/>
          <w:color w:val="auto"/>
        </w:rPr>
        <w:t>Unless this Section 8.03 is otherwise specified, pursuant to Section 2.02(s), to be inapplicable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such instruments reasonably requested by the Company acknowledging the same), except as to:</w:t>
      </w:r>
    </w:p>
    <w:p>
      <w:pPr>
        <w:spacing w:after="0" w:line="172" w:lineRule="exact"/>
        <w:rPr>
          <w:sz w:val="20"/>
          <w:szCs w:val="20"/>
          <w:color w:val="auto"/>
        </w:rPr>
      </w:pPr>
    </w:p>
    <w:p>
      <w:pPr>
        <w:jc w:val="both"/>
        <w:ind w:firstLine="656"/>
        <w:spacing w:after="0" w:line="279" w:lineRule="auto"/>
        <w:tabs>
          <w:tab w:leader="none" w:pos="91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w:t>
      </w:r>
    </w:p>
    <w:p>
      <w:pPr>
        <w:spacing w:after="0" w:line="171" w:lineRule="exact"/>
        <w:rPr>
          <w:rFonts w:ascii="Arial" w:cs="Arial" w:eastAsia="Arial" w:hAnsi="Arial"/>
          <w:sz w:val="17"/>
          <w:szCs w:val="17"/>
          <w:color w:val="auto"/>
        </w:rPr>
      </w:pPr>
    </w:p>
    <w:p>
      <w:pPr>
        <w:ind w:left="920" w:hanging="264"/>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provisions of Sections 2.04, 2.05, 2.07, 2.08, 8.02, 8.03 and 8.05;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 provided that, the following conditions shall have been satisfied: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9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66" w:lineRule="exact"/>
        <w:rPr>
          <w:rFonts w:ascii="Arial" w:cs="Arial" w:eastAsia="Arial" w:hAnsi="Arial"/>
          <w:sz w:val="16"/>
          <w:szCs w:val="16"/>
          <w:color w:val="auto"/>
        </w:rPr>
      </w:pPr>
    </w:p>
    <w:p>
      <w:pPr>
        <w:ind w:firstLine="656"/>
        <w:spacing w:after="0" w:line="277" w:lineRule="auto"/>
        <w:tabs>
          <w:tab w:leader="none" w:pos="9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firstLine="656"/>
        <w:spacing w:after="0" w:line="277" w:lineRule="auto"/>
        <w:tabs>
          <w:tab w:leader="none" w:pos="874"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2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192"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firstLine="656"/>
        <w:spacing w:after="0" w:line="277" w:lineRule="auto"/>
        <w:tabs>
          <w:tab w:leader="none" w:pos="8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 and</w:t>
      </w:r>
    </w:p>
    <w:p>
      <w:pPr>
        <w:spacing w:after="0" w:line="170" w:lineRule="exact"/>
        <w:rPr>
          <w:rFonts w:ascii="Arial" w:cs="Arial" w:eastAsia="Arial" w:hAnsi="Arial"/>
          <w:sz w:val="18"/>
          <w:szCs w:val="18"/>
          <w:color w:val="auto"/>
        </w:rPr>
      </w:pPr>
    </w:p>
    <w:p>
      <w:pPr>
        <w:ind w:firstLine="656"/>
        <w:spacing w:after="0" w:line="308" w:lineRule="auto"/>
        <w:tabs>
          <w:tab w:leader="none" w:pos="864"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Section 8.04 Covenant Defeasance. </w:t>
      </w:r>
      <w:r>
        <w:rPr>
          <w:rFonts w:ascii="Arial" w:cs="Arial" w:eastAsia="Arial" w:hAnsi="Arial"/>
          <w:sz w:val="17"/>
          <w:szCs w:val="17"/>
          <w:color w:val="auto"/>
        </w:rPr>
        <w:t>Unless this Section 8.04 is otherwise specified, pursuant to Section 2.02(s), to be inapplicable to Securities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w:t>
      </w:r>
    </w:p>
    <w:p>
      <w:pPr>
        <w:spacing w:after="0" w:line="176" w:lineRule="exact"/>
        <w:rPr>
          <w:sz w:val="20"/>
          <w:szCs w:val="20"/>
          <w:color w:val="auto"/>
        </w:rPr>
      </w:pPr>
    </w:p>
    <w:p>
      <w:pPr>
        <w:jc w:val="both"/>
        <w:ind w:firstLine="656"/>
        <w:spacing w:after="0" w:line="289" w:lineRule="auto"/>
        <w:tabs>
          <w:tab w:leader="none" w:pos="903"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66" w:lineRule="exact"/>
        <w:rPr>
          <w:rFonts w:ascii="Arial" w:cs="Arial" w:eastAsia="Arial" w:hAnsi="Arial"/>
          <w:sz w:val="16"/>
          <w:szCs w:val="16"/>
          <w:color w:val="auto"/>
        </w:rPr>
      </w:pPr>
    </w:p>
    <w:p>
      <w:pPr>
        <w:ind w:firstLine="656"/>
        <w:spacing w:after="0" w:line="277" w:lineRule="auto"/>
        <w:tabs>
          <w:tab w:leader="none" w:pos="919"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firstLine="656"/>
        <w:spacing w:after="0" w:line="277" w:lineRule="auto"/>
        <w:tabs>
          <w:tab w:leader="none" w:pos="8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jc w:val="both"/>
        <w:ind w:firstLine="656"/>
        <w:spacing w:after="0" w:line="311" w:lineRule="auto"/>
        <w:tabs>
          <w:tab w:leader="none" w:pos="92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48" w:lineRule="exact"/>
        <w:rPr>
          <w:rFonts w:ascii="Arial" w:cs="Arial" w:eastAsia="Arial" w:hAnsi="Arial"/>
          <w:sz w:val="16"/>
          <w:szCs w:val="16"/>
          <w:color w:val="auto"/>
        </w:rPr>
      </w:pPr>
    </w:p>
    <w:p>
      <w:pPr>
        <w:ind w:firstLine="65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firstLine="656"/>
        <w:spacing w:after="0" w:line="308" w:lineRule="auto"/>
        <w:tabs>
          <w:tab w:leader="none" w:pos="912"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8.05 Repayment to Company. </w:t>
      </w:r>
      <w:r>
        <w:rPr>
          <w:rFonts w:ascii="Arial" w:cs="Arial" w:eastAsia="Arial" w:hAnsi="Arial"/>
          <w:sz w:val="18"/>
          <w:szCs w:val="18"/>
          <w:color w:val="auto"/>
        </w:rPr>
        <w:t>The Trustee and the Paying Agent shall pay to the Company upon written request any money held by them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principal and interest that remains unclaimed for two years, and after such time, Holders entitled to the money must look to the Company for payment as general creditors unless an applicable abandoned property law designates another person.</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Section 8.06 Reinstatement. </w:t>
      </w:r>
      <w:r>
        <w:rPr>
          <w:rFonts w:ascii="Arial" w:cs="Arial" w:eastAsia="Arial" w:hAnsi="Arial"/>
          <w:sz w:val="18"/>
          <w:szCs w:val="18"/>
          <w:color w:val="auto"/>
        </w:rPr>
        <w:t>If the Trustee or the Paying Agent is unable to apply any money deposited with respect to Securities of any series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on any Additional Amounts with respect to any Securities because of the reinstatement of its obligations, the Company shall be subrogated to the rights of the Holders of such Securities to receive such payment from the money held by the Trustee or the Paying Agent.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AND WAIVERS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9.01 Without Consent of Holders. </w:t>
      </w:r>
      <w:r>
        <w:rPr>
          <w:rFonts w:ascii="Arial" w:cs="Arial" w:eastAsia="Arial" w:hAnsi="Arial"/>
          <w:sz w:val="18"/>
          <w:szCs w:val="18"/>
          <w:color w:val="auto"/>
        </w:rPr>
        <w:t>Unless otherwise specified for a particular Series by a Board Resolution, a supplemental indenture or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Certificate, the Company and the Trustee may amend or supplement this Indenture or the Securities of one or more Series without the consent of any Holder:</w:t>
      </w:r>
    </w:p>
    <w:p>
      <w:pPr>
        <w:spacing w:after="0" w:line="180" w:lineRule="exact"/>
        <w:rPr>
          <w:sz w:val="20"/>
          <w:szCs w:val="20"/>
          <w:color w:val="auto"/>
        </w:rPr>
      </w:pPr>
    </w:p>
    <w:p>
      <w:pPr>
        <w:ind w:firstLine="656"/>
        <w:spacing w:after="0" w:line="277" w:lineRule="auto"/>
        <w:tabs>
          <w:tab w:leader="none" w:pos="8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under this Indenture and the Securities and the assumption by any such Successor Person of the obligations of the Company hereunder and under the Securities;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add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Holders;</w:t>
      </w:r>
    </w:p>
    <w:p>
      <w:pPr>
        <w:spacing w:after="0" w:line="165" w:lineRule="exact"/>
        <w:rPr>
          <w:rFonts w:ascii="Arial" w:cs="Arial" w:eastAsia="Arial" w:hAnsi="Arial"/>
          <w:sz w:val="17"/>
          <w:szCs w:val="17"/>
          <w:color w:val="auto"/>
        </w:rPr>
      </w:pPr>
    </w:p>
    <w:p>
      <w:pPr>
        <w:ind w:left="900" w:hanging="244"/>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spacing w:after="0" w:line="186"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establish the forms or terms of the Securities of any series issued pursuant to the terms 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cure any ambiguity or correct any inconsistency in this Indenture;</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qualify this Indenture under the Trust Indenture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225" w:lineRule="exact"/>
        <w:rPr>
          <w:rFonts w:ascii="Arial" w:cs="Arial" w:eastAsia="Arial" w:hAnsi="Arial"/>
          <w:sz w:val="18"/>
          <w:szCs w:val="18"/>
          <w:color w:val="auto"/>
        </w:rPr>
      </w:pPr>
    </w:p>
    <w:p>
      <w:pPr>
        <w:ind w:firstLine="656"/>
        <w:spacing w:after="0" w:line="277" w:lineRule="auto"/>
        <w:tabs>
          <w:tab w:leader="none" w:pos="9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conform the Indenture to any Description of Securities for a particular Series of Securities;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comply with the rules or regulations of any securities exchange or automated quotation system on which any of the Securities may be listed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traded.</w:t>
      </w: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Section 9.02 With Consent of Holders. </w:t>
      </w:r>
      <w:r>
        <w:rPr>
          <w:rFonts w:ascii="Arial" w:cs="Arial" w:eastAsia="Arial" w:hAnsi="Arial"/>
          <w:sz w:val="16"/>
          <w:szCs w:val="16"/>
          <w:color w:val="auto"/>
        </w:rPr>
        <w:t>The Company and the Trustee may enter into a supplemental indenture with the written consent of the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deliver to the Holders of Securities affected thereby a notice briefly describing the supplemental indenture or waiver. Any failure by the Company to deliver such notice, or any defect therein, shall not, however, in any way impair or affect the validity of any such supplemental indenture or waiver.</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9.03 Limitations. </w:t>
      </w:r>
      <w:r>
        <w:rPr>
          <w:rFonts w:ascii="Arial" w:cs="Arial" w:eastAsia="Arial" w:hAnsi="Arial"/>
          <w:sz w:val="18"/>
          <w:szCs w:val="18"/>
          <w:color w:val="auto"/>
        </w:rPr>
        <w:t>Unless otherwise specified for a particular Series by a Board Resolution, a supplemental indenture or an Officers’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each Holder affected, an amendment or waiver may not:</w:t>
      </w:r>
    </w:p>
    <w:p>
      <w:pPr>
        <w:spacing w:after="0" w:line="166" w:lineRule="exact"/>
        <w:rPr>
          <w:sz w:val="20"/>
          <w:szCs w:val="20"/>
          <w:color w:val="auto"/>
        </w:rPr>
      </w:pPr>
    </w:p>
    <w:p>
      <w:pPr>
        <w:ind w:left="900" w:hanging="24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firstLine="656"/>
        <w:spacing w:after="0" w:line="277" w:lineRule="auto"/>
        <w:tabs>
          <w:tab w:leader="none" w:pos="8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any change in Sections 6.08, 6.13, or 9.03;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waive a redemption payment with respect to any Security.</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9.04 Compliance with Trust Indenture Act. </w:t>
      </w:r>
      <w:r>
        <w:rPr>
          <w:rFonts w:ascii="Arial" w:cs="Arial" w:eastAsia="Arial" w:hAnsi="Arial"/>
          <w:sz w:val="18"/>
          <w:szCs w:val="18"/>
          <w:color w:val="auto"/>
        </w:rPr>
        <w:t>Every amendment to this Indenture or the Securities of one or more Series shall be set forth in a</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hereto that complies with the TIA as then in effect.</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Section 9.05 Revocation and Effect of Consents. </w:t>
      </w:r>
      <w:r>
        <w:rPr>
          <w:rFonts w:ascii="Arial" w:cs="Arial" w:eastAsia="Arial" w:hAnsi="Arial"/>
          <w:sz w:val="18"/>
          <w:szCs w:val="18"/>
          <w:color w:val="auto"/>
        </w:rPr>
        <w:t>Until an amendment is set forth in a supplemental indenture or a waiver becomes effective, a consent to</w:t>
      </w:r>
      <w:r>
        <w:rPr>
          <w:rFonts w:ascii="Arial" w:cs="Arial" w:eastAsia="Arial" w:hAnsi="Arial"/>
          <w:sz w:val="18"/>
          <w:szCs w:val="18"/>
          <w:b w:val="1"/>
          <w:bCs w:val="1"/>
          <w:color w:val="auto"/>
        </w:rPr>
        <w:t xml:space="preserve"> </w:t>
      </w:r>
      <w:r>
        <w:rPr>
          <w:rFonts w:ascii="Arial" w:cs="Arial" w:eastAsia="Arial" w:hAnsi="Arial"/>
          <w:sz w:val="18"/>
          <w:szCs w:val="18"/>
          <w:color w:val="auto"/>
        </w:rPr>
        <w:t>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9.06 Notation on or Exchange of Securities. </w:t>
      </w:r>
      <w:r>
        <w:rPr>
          <w:rFonts w:ascii="Arial" w:cs="Arial" w:eastAsia="Arial" w:hAnsi="Arial"/>
          <w:sz w:val="18"/>
          <w:szCs w:val="18"/>
          <w:color w:val="auto"/>
        </w:rPr>
        <w:t>The Trustee may place an appropriate notation about an amendment or waiver on any Security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Series thereafter authenticated. The Company in exchange for Securities of that Series may issue and the Trustee shall authenticate upon request new Securities of that Series that reflect the amendment or waiver.</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9.07 Trustee Protected. </w:t>
      </w:r>
      <w:r>
        <w:rPr>
          <w:rFonts w:ascii="Arial" w:cs="Arial" w:eastAsia="Arial" w:hAnsi="Arial"/>
          <w:sz w:val="18"/>
          <w:szCs w:val="18"/>
          <w:color w:val="auto"/>
        </w:rPr>
        <w:t>In executing, or accepting the additional trusts created by, any supplemental indenture permitted by this Article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modifications thereby of the trusts created by this Indenture, the Trustee shall receive, in addition to the documents required by Section 10.04, and (subject to Section 7.01) shall be fully protected in relying upon, an Opinion of Counsel stating that all conditions precedent in this Indenture to the execution of such supplemental indenture, if any, have been complied with, such supplemental indenture is authorized hereunder, and, that such supplemental indenture is the valid and legally binding obligation of the Company. The Trustee shall sign all supplemental indentures, except that the Trustee need not sign any supplemental indenture that adversely affects its rights.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10.01 Trust Indenture Act Controls. </w:t>
      </w:r>
      <w:r>
        <w:rPr>
          <w:rFonts w:ascii="Arial" w:cs="Arial" w:eastAsia="Arial" w:hAnsi="Arial"/>
          <w:sz w:val="18"/>
          <w:szCs w:val="18"/>
          <w:color w:val="auto"/>
        </w:rPr>
        <w:t>If any provision of this Indenture limits, qualifies or conflicts with another provision which is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included in this Indenture by the TIA, such required or deemed provision shall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10.02 Notices.</w:t>
      </w:r>
    </w:p>
    <w:p>
      <w:pPr>
        <w:spacing w:after="0" w:line="229" w:lineRule="exact"/>
        <w:rPr>
          <w:sz w:val="20"/>
          <w:szCs w:val="20"/>
          <w:color w:val="auto"/>
        </w:rPr>
      </w:pPr>
    </w:p>
    <w:p>
      <w:pPr>
        <w:ind w:firstLine="656"/>
        <w:spacing w:after="0" w:line="308" w:lineRule="auto"/>
        <w:tabs>
          <w:tab w:leader="none" w:pos="895"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notice or communication by the Company or the Trustee to the other, or by a Holder to the Company or the Trustee, is duly given if in writing and delivered in person or mailed by first-class mail or sent by telecopier transmission or electronic transmission in PDF addressed as follows: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SoundHound AI.,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5400 Betsy Ross Drive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Dr. Keyvan Mohajer</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(408) 441-3200</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900" w:hanging="1011"/>
        <w:spacing w:after="0"/>
        <w:tabs>
          <w:tab w:leader="none" w:pos="1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96" w:lineRule="auto"/>
        <w:tabs>
          <w:tab w:leader="none" w:pos="90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or the Trustee by notice to the other may designate additional or different addresses for subsequent notices or communications. Any notice or communication to a Holder shall be delivered to his address shown on the register kept by the Registrar. Failure to deliver a notice or communication to a Holder of any Series or any defect in it shall not affect its sufficiency with respect to other Holders of that or any other Series. If a notice or communication is delivered in the manner provided above, within the time prescribed, it is duly given, whether or not the Holder receives it. If the Company delivers a notice or communication to Holders, it shall deliver a copy to the Trustee and each Agent at the same time.</w:t>
      </w:r>
    </w:p>
    <w:p>
      <w:pPr>
        <w:spacing w:after="0" w:line="161" w:lineRule="exact"/>
        <w:rPr>
          <w:rFonts w:ascii="Arial" w:cs="Arial" w:eastAsia="Arial" w:hAnsi="Arial"/>
          <w:sz w:val="16"/>
          <w:szCs w:val="16"/>
          <w:color w:val="auto"/>
        </w:rPr>
      </w:pPr>
    </w:p>
    <w:p>
      <w:pPr>
        <w:jc w:val="both"/>
        <w:ind w:firstLine="656"/>
        <w:spacing w:after="0" w:line="311" w:lineRule="auto"/>
        <w:tabs>
          <w:tab w:leader="none" w:pos="9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10.03 Communication by Holders with Other Holders. </w:t>
      </w:r>
      <w:r>
        <w:rPr>
          <w:rFonts w:ascii="Arial" w:cs="Arial" w:eastAsia="Arial" w:hAnsi="Arial"/>
          <w:sz w:val="18"/>
          <w:szCs w:val="18"/>
          <w:color w:val="auto"/>
        </w:rPr>
        <w:t>Holders of any Series may communicate pursuant to TIA Section 312(b)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that Series or any other Series with respect to their rights under this Indenture or the Securities of that Series or all Series. The Company, the Trustee, the Registrar and anyone else shall have the protection of TIA Section 312(c).</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10.04 Certificate and Opinion as to Conditions Precedent. </w:t>
      </w:r>
      <w:r>
        <w:rPr>
          <w:rFonts w:ascii="Arial" w:cs="Arial" w:eastAsia="Arial" w:hAnsi="Arial"/>
          <w:sz w:val="18"/>
          <w:szCs w:val="18"/>
          <w:color w:val="auto"/>
        </w:rPr>
        <w:t>Upon any request or application by the Company to the Trustee to take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Indenture, the Company shall furnish to the Trustee:</w:t>
      </w:r>
    </w:p>
    <w:p>
      <w:pPr>
        <w:spacing w:after="0" w:line="166" w:lineRule="exact"/>
        <w:rPr>
          <w:sz w:val="20"/>
          <w:szCs w:val="20"/>
          <w:color w:val="auto"/>
        </w:rPr>
      </w:pPr>
    </w:p>
    <w:p>
      <w:pPr>
        <w:ind w:firstLine="656"/>
        <w:spacing w:after="0" w:line="277" w:lineRule="auto"/>
        <w:tabs>
          <w:tab w:leader="none" w:pos="9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(b) an Opinion of Counsel stating that, in the opinion of such counsel, all such conditions precedent have been complied with.</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10.05 Statements Required in Certificate or Opinion. </w:t>
      </w:r>
      <w:r>
        <w:rPr>
          <w:rFonts w:ascii="Arial" w:cs="Arial" w:eastAsia="Arial" w:hAnsi="Arial"/>
          <w:sz w:val="18"/>
          <w:szCs w:val="18"/>
          <w:color w:val="auto"/>
        </w:rPr>
        <w:t>Each certificate or opinion with respect to compliance with a condition or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this Indenture (other than a certificate provided pursuant to TIA Section 314(a)(4)) shall comply with the provisions of TIA Section 314(e) and shall include:</w:t>
      </w:r>
    </w:p>
    <w:p>
      <w:pPr>
        <w:spacing w:after="0" w:line="180" w:lineRule="exact"/>
        <w:rPr>
          <w:sz w:val="20"/>
          <w:szCs w:val="20"/>
          <w:color w:val="auto"/>
        </w:rPr>
      </w:pPr>
    </w:p>
    <w:p>
      <w:pPr>
        <w:ind w:left="900" w:hanging="244"/>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firstLine="656"/>
        <w:spacing w:after="0" w:line="277" w:lineRule="auto"/>
        <w:tabs>
          <w:tab w:leader="none" w:pos="92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firstLine="656"/>
        <w:spacing w:after="0" w:line="277" w:lineRule="auto"/>
        <w:tabs>
          <w:tab w:leader="none" w:pos="9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10.06 Rules by Trustee and Agents. </w:t>
      </w:r>
      <w:r>
        <w:rPr>
          <w:rFonts w:ascii="Arial" w:cs="Arial" w:eastAsia="Arial" w:hAnsi="Arial"/>
          <w:sz w:val="18"/>
          <w:szCs w:val="18"/>
          <w:color w:val="auto"/>
        </w:rPr>
        <w:t>The Trustee may make reasonable rules for action by or a meeting of Holders of one or more Series. Any</w:t>
      </w:r>
      <w:r>
        <w:rPr>
          <w:rFonts w:ascii="Arial" w:cs="Arial" w:eastAsia="Arial" w:hAnsi="Arial"/>
          <w:sz w:val="18"/>
          <w:szCs w:val="18"/>
          <w:b w:val="1"/>
          <w:bCs w:val="1"/>
          <w:color w:val="auto"/>
        </w:rPr>
        <w:t xml:space="preserve"> </w:t>
      </w:r>
      <w:r>
        <w:rPr>
          <w:rFonts w:ascii="Arial" w:cs="Arial" w:eastAsia="Arial" w:hAnsi="Arial"/>
          <w:sz w:val="18"/>
          <w:szCs w:val="18"/>
          <w:color w:val="auto"/>
        </w:rPr>
        <w:t>Agent may make reasonable rules and set reasonable requirements for its functions.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10.07 Legal Holidays. </w:t>
      </w:r>
      <w:r>
        <w:rPr>
          <w:rFonts w:ascii="Arial" w:cs="Arial" w:eastAsia="Arial" w:hAnsi="Arial"/>
          <w:sz w:val="17"/>
          <w:szCs w:val="17"/>
          <w:color w:val="auto"/>
        </w:rPr>
        <w:t>Unless otherwise provided by Board Resolution, Officers’ Certificate or supplemental indenture hereto for a particular</w:t>
      </w:r>
      <w:r>
        <w:rPr>
          <w:rFonts w:ascii="Arial" w:cs="Arial" w:eastAsia="Arial" w:hAnsi="Arial"/>
          <w:sz w:val="17"/>
          <w:szCs w:val="17"/>
          <w:b w:val="1"/>
          <w:bCs w:val="1"/>
          <w:color w:val="auto"/>
        </w:rPr>
        <w:t xml:space="preserve"> </w:t>
      </w:r>
      <w:r>
        <w:rPr>
          <w:rFonts w:ascii="Arial" w:cs="Arial" w:eastAsia="Arial" w:hAnsi="Arial"/>
          <w:sz w:val="17"/>
          <w:szCs w:val="17"/>
          <w:color w:val="auto"/>
        </w:rPr>
        <w:t>Series, a “</w:t>
      </w:r>
      <w:r>
        <w:rPr>
          <w:rFonts w:ascii="Arial" w:cs="Arial" w:eastAsia="Arial" w:hAnsi="Arial"/>
          <w:sz w:val="17"/>
          <w:szCs w:val="17"/>
          <w:i w:val="1"/>
          <w:iCs w:val="1"/>
          <w:color w:val="auto"/>
        </w:rPr>
        <w:t>Legal Holiday</w:t>
      </w:r>
      <w:r>
        <w:rPr>
          <w:rFonts w:ascii="Arial" w:cs="Arial" w:eastAsia="Arial" w:hAnsi="Arial"/>
          <w:sz w:val="17"/>
          <w:szCs w:val="17"/>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10.08 No Recourse Against Others. </w:t>
      </w:r>
      <w:r>
        <w:rPr>
          <w:rFonts w:ascii="Arial" w:cs="Arial" w:eastAsia="Arial" w:hAnsi="Arial"/>
          <w:sz w:val="18"/>
          <w:szCs w:val="18"/>
          <w:color w:val="auto"/>
        </w:rPr>
        <w:t>A director, officer, employee or stockholder, as such, of the Company shall not have any liability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10.09 Counterparts. </w:t>
      </w:r>
      <w:r>
        <w:rPr>
          <w:rFonts w:ascii="Arial" w:cs="Arial" w:eastAsia="Arial" w:hAnsi="Arial"/>
          <w:sz w:val="18"/>
          <w:szCs w:val="18"/>
          <w:color w:val="auto"/>
        </w:rPr>
        <w:t>This Indenture may be executed in any number of counterparts and by the parties hereto in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10.10 Governing Laws. </w:t>
      </w:r>
      <w:r>
        <w:rPr>
          <w:rFonts w:ascii="Arial" w:cs="Arial" w:eastAsia="Arial" w:hAnsi="Arial"/>
          <w:sz w:val="18"/>
          <w:szCs w:val="18"/>
          <w:color w:val="auto"/>
        </w:rPr>
        <w:t>This Indenture and the Securities will be governed by, and construed in accordance with, the internal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spacing w:after="0" w:line="312" w:lineRule="auto"/>
        <w:rPr>
          <w:sz w:val="20"/>
          <w:szCs w:val="20"/>
          <w:color w:val="auto"/>
        </w:rPr>
      </w:pPr>
      <w:r>
        <w:rPr>
          <w:rFonts w:ascii="Arial" w:cs="Arial" w:eastAsia="Arial" w:hAnsi="Arial"/>
          <w:sz w:val="17"/>
          <w:szCs w:val="17"/>
          <w:b w:val="1"/>
          <w:bCs w:val="1"/>
          <w:color w:val="auto"/>
        </w:rPr>
        <w:t xml:space="preserve">Section 10.11 No Adverse Interpretation of Other Agreements. </w:t>
      </w:r>
      <w:r>
        <w:rPr>
          <w:rFonts w:ascii="Arial" w:cs="Arial" w:eastAsia="Arial" w:hAnsi="Arial"/>
          <w:sz w:val="17"/>
          <w:szCs w:val="17"/>
          <w:color w:val="auto"/>
        </w:rPr>
        <w:t>This Indenture may not be used to interpret another indenture, loan or debt agreement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 Subsidiary of the Company. Any such indenture, loan or debt agreement may not be used to interpret this Indenture.</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10.12 Successors. </w:t>
      </w:r>
      <w:r>
        <w:rPr>
          <w:rFonts w:ascii="Arial" w:cs="Arial" w:eastAsia="Arial" w:hAnsi="Arial"/>
          <w:sz w:val="18"/>
          <w:szCs w:val="18"/>
          <w:color w:val="auto"/>
        </w:rPr>
        <w:t>All agreements of the Company in this Indenture and the Securities shall bind its successor. All agreements of the Trustee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shall bind its successor.</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10.13 Severability. </w:t>
      </w:r>
      <w:r>
        <w:rPr>
          <w:rFonts w:ascii="Arial" w:cs="Arial" w:eastAsia="Arial" w:hAnsi="Arial"/>
          <w:sz w:val="18"/>
          <w:szCs w:val="18"/>
          <w:color w:val="auto"/>
        </w:rPr>
        <w:t>In case any provision in this Indenture or in the Securities shall be invalid, illegal or unenforceable,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shall not in any way be affected or impaired thereby.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10.14 Table of Contents, Headings, Etc. </w:t>
      </w:r>
      <w:r>
        <w:rPr>
          <w:rFonts w:ascii="Arial" w:cs="Arial" w:eastAsia="Arial" w:hAnsi="Arial"/>
          <w:sz w:val="18"/>
          <w:szCs w:val="18"/>
          <w:color w:val="auto"/>
        </w:rPr>
        <w:t>The Table of Contents, Cross-Reference Table, and headings of the Articles and Sections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have been inserted for convenience of reference only, are not to be considered a part hereof, and shall in no way modify or restrict any of the terms or provisions hereof.</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Section 10.15 Securities in a Foreign Currency. </w:t>
      </w:r>
      <w:r>
        <w:rPr>
          <w:rFonts w:ascii="Arial" w:cs="Arial" w:eastAsia="Arial" w:hAnsi="Arial"/>
          <w:sz w:val="16"/>
          <w:szCs w:val="16"/>
          <w:color w:val="auto"/>
        </w:rPr>
        <w:t>Unless otherwise specified in a Board Resolution, a supplemental indenture hereto or an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w:t>
      </w:r>
      <w:r>
        <w:rPr>
          <w:rFonts w:ascii="Arial" w:cs="Arial" w:eastAsia="Arial" w:hAnsi="Arial"/>
          <w:sz w:val="16"/>
          <w:szCs w:val="16"/>
          <w:i w:val="1"/>
          <w:iCs w:val="1"/>
          <w:color w:val="auto"/>
        </w:rPr>
        <w:t>Market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Rate</w:t>
      </w:r>
      <w:r>
        <w:rPr>
          <w:rFonts w:ascii="Arial" w:cs="Arial" w:eastAsia="Arial" w:hAnsi="Arial"/>
          <w:sz w:val="16"/>
          <w:szCs w:val="16"/>
          <w:color w:val="auto"/>
        </w:rPr>
        <w:t>” shall mean the noon Dollar buying rate in New York City for cable transfers of that currency as published by the Federal Reserve Bank of New York.</w:t>
      </w:r>
      <w:r>
        <w:rPr>
          <w:rFonts w:ascii="Arial" w:cs="Arial" w:eastAsia="Arial" w:hAnsi="Arial"/>
          <w:sz w:val="16"/>
          <w:szCs w:val="16"/>
          <w:i w:val="1"/>
          <w:iCs w:val="1"/>
          <w:color w:val="auto"/>
        </w:rPr>
        <w:t xml:space="preserve"> </w:t>
      </w:r>
      <w:r>
        <w:rPr>
          <w:rFonts w:ascii="Arial" w:cs="Arial" w:eastAsia="Arial" w:hAnsi="Arial"/>
          <w:sz w:val="16"/>
          <w:szCs w:val="16"/>
          <w:color w:val="auto"/>
        </w:rPr>
        <w:t>If such Market Exchange Rate is not available for any reason with respect to such currency, the Company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Company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the Trustee and all Holders. The Trustee shall have no duty to calculate or verify the calculations made pursuant to this Section 10.15.</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10.16 U.S.A. Patriot Act. </w:t>
      </w:r>
      <w:r>
        <w:rPr>
          <w:rFonts w:ascii="Arial" w:cs="Arial" w:eastAsia="Arial" w:hAnsi="Arial"/>
          <w:sz w:val="17"/>
          <w:szCs w:val="17"/>
          <w:color w:val="auto"/>
        </w:rPr>
        <w:t>The Company acknowledges that in accordance with Section 326 of the U.S.A. Patriot Act, the Trustee, like all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and in order to help fight the funding of terrorism and money laundering, is required to obtain, verify, and record information that identifies each person or legal entity that establishes a relationship or opens an account with the Trustee. The Company agrees that it will provide the Trustee with such information as it may reasonably request as required in order for the Trustee to satisfy the requirements of the U.S.A. Patriot Act.</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10.17 Waiver of Jury Trial. </w:t>
      </w:r>
      <w:r>
        <w:rPr>
          <w:rFonts w:ascii="Arial" w:cs="Arial" w:eastAsia="Arial" w:hAnsi="Arial"/>
          <w:sz w:val="18"/>
          <w:szCs w:val="18"/>
          <w:color w:val="auto"/>
        </w:rPr>
        <w:t>EACH OF THE COMPANY AND THE TRUSTEE HEREBY IRREVOCABLY WAIVES, TO THE FULLEST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ANY AND ALL RIGHT TO TRIAL BY JURY IN ANY LEGAL PROCEEDING AS BETWEEN THE COMPANY AND THE TRUSTEE ONLY ARISING OUT OF OR RELATING TO THIS INDENTURE OR THE SECURITIES.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11.01 Applicability of Article. </w:t>
      </w:r>
      <w:r>
        <w:rPr>
          <w:rFonts w:ascii="Arial" w:cs="Arial" w:eastAsia="Arial" w:hAnsi="Arial"/>
          <w:sz w:val="17"/>
          <w:szCs w:val="17"/>
          <w:color w:val="auto"/>
        </w:rPr>
        <w:t>The provisions of this Article shall be applicable to any sinking fund for the retirement of the Securities of a Series,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permitted or required by any form of Security of such Series issued pursuant to this Indenture. The minimum amount of any sinking fund payment provided for by the terms of the Securities of any Series is herein referred to as a “</w:t>
      </w:r>
      <w:r>
        <w:rPr>
          <w:rFonts w:ascii="Arial" w:cs="Arial" w:eastAsia="Arial" w:hAnsi="Arial"/>
          <w:sz w:val="17"/>
          <w:szCs w:val="17"/>
          <w:i w:val="1"/>
          <w:iCs w:val="1"/>
          <w:color w:val="auto"/>
        </w:rPr>
        <w:t>mandatory sinking fund payment</w:t>
      </w:r>
      <w:r>
        <w:rPr>
          <w:rFonts w:ascii="Arial" w:cs="Arial" w:eastAsia="Arial" w:hAnsi="Arial"/>
          <w:sz w:val="17"/>
          <w:szCs w:val="17"/>
          <w:color w:val="auto"/>
        </w:rPr>
        <w:t>” and any other amount provided for by the terms of Securities of such Series is herein referred to as an “</w:t>
      </w:r>
      <w:r>
        <w:rPr>
          <w:rFonts w:ascii="Arial" w:cs="Arial" w:eastAsia="Arial" w:hAnsi="Arial"/>
          <w:sz w:val="17"/>
          <w:szCs w:val="17"/>
          <w:i w:val="1"/>
          <w:iCs w:val="1"/>
          <w:color w:val="auto"/>
        </w:rPr>
        <w:t>optional sinking fund payment</w:t>
      </w:r>
      <w:r>
        <w:rPr>
          <w:rFonts w:ascii="Arial" w:cs="Arial" w:eastAsia="Arial" w:hAnsi="Arial"/>
          <w:sz w:val="17"/>
          <w:szCs w:val="17"/>
          <w:color w:val="auto"/>
        </w:rPr>
        <w: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Section 11.02 Satisfaction of Sinking Fund Payments with Securities. </w:t>
      </w:r>
      <w:r>
        <w:rPr>
          <w:rFonts w:ascii="Arial" w:cs="Arial" w:eastAsia="Arial" w:hAnsi="Arial"/>
          <w:sz w:val="16"/>
          <w:szCs w:val="16"/>
          <w:color w:val="auto"/>
        </w:rPr>
        <w:t>The Company may, in satisfaction of all or any part of any sinking fund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3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11.03 Redemption of Securities for Sinking Fund. </w:t>
      </w:r>
      <w:r>
        <w:rPr>
          <w:rFonts w:ascii="Arial" w:cs="Arial" w:eastAsia="Arial" w:hAnsi="Arial"/>
          <w:sz w:val="17"/>
          <w:szCs w:val="17"/>
          <w:color w:val="auto"/>
        </w:rPr>
        <w:t>Not less than 45 days (unless otherwise indicated in the Board Resolution, supplemental</w:t>
      </w:r>
      <w:r>
        <w:rPr>
          <w:rFonts w:ascii="Arial" w:cs="Arial" w:eastAsia="Arial" w:hAnsi="Arial"/>
          <w:sz w:val="17"/>
          <w:szCs w:val="17"/>
          <w:b w:val="1"/>
          <w:bCs w:val="1"/>
          <w:color w:val="auto"/>
        </w:rPr>
        <w:t xml:space="preserve"> </w:t>
      </w:r>
      <w:r>
        <w:rPr>
          <w:rFonts w:ascii="Arial" w:cs="Arial" w:eastAsia="Arial" w:hAnsi="Arial"/>
          <w:sz w:val="17"/>
          <w:szCs w:val="17"/>
          <w:color w:val="auto"/>
        </w:rPr>
        <w:t>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firstLine="441"/>
        <w:spacing w:after="0" w:line="277" w:lineRule="auto"/>
        <w:rPr>
          <w:sz w:val="20"/>
          <w:szCs w:val="20"/>
          <w:color w:val="auto"/>
        </w:rPr>
      </w:pPr>
      <w:r>
        <w:rPr>
          <w:rFonts w:ascii="Arial" w:cs="Arial" w:eastAsia="Arial" w:hAnsi="Arial"/>
          <w:sz w:val="18"/>
          <w:szCs w:val="18"/>
          <w:color w:val="auto"/>
        </w:rPr>
        <w:t>IN WITNESS WHEREOF, the parties hereto have caused this Indenture to be duly executed and attested, all as of the day and year first above written.</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SOUNDHOUND AI.,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51"/>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1"/>
                <w:szCs w:val="21"/>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Keyvan Mohajer</w:t>
            </w:r>
          </w:p>
        </w:tc>
      </w:tr>
      <w:tr>
        <w:trPr>
          <w:trHeight w:val="202"/>
        </w:trPr>
        <w:tc>
          <w:tcPr>
            <w:tcW w:w="560" w:type="dxa"/>
            <w:vAlign w:val="bottom"/>
            <w:gridSpan w:val="2"/>
          </w:tcPr>
          <w:p>
            <w:pPr>
              <w:spacing w:after="0" w:line="201" w:lineRule="exact"/>
              <w:rPr>
                <w:sz w:val="20"/>
                <w:szCs w:val="20"/>
                <w:color w:val="auto"/>
              </w:rPr>
            </w:pPr>
            <w:r>
              <w:rPr>
                <w:rFonts w:ascii="Arial" w:cs="Arial" w:eastAsia="Arial" w:hAnsi="Arial"/>
                <w:sz w:val="18"/>
                <w:szCs w:val="18"/>
                <w:color w:val="auto"/>
              </w:rPr>
              <w:t>Name:</w:t>
            </w: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Dr. Keyvan Mohajer</w:t>
            </w: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940" w:type="dxa"/>
            <w:vAlign w:val="bottom"/>
          </w:tcPr>
          <w:p>
            <w:pPr>
              <w:spacing w:after="0"/>
              <w:rPr>
                <w:sz w:val="24"/>
                <w:szCs w:val="24"/>
                <w:color w:val="auto"/>
              </w:rPr>
            </w:pPr>
          </w:p>
        </w:tc>
      </w:tr>
    </w:tbl>
    <w:p>
      <w:pPr>
        <w:ind w:left="674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Indenture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ELLENOFF GROSSMAN &amp; SCHOLE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10105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370-1300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(212) 370-7889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www.egsllp.com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SoundHound AI,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5499 Betsy Ross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acted as counsel to SoundHound AI, Inc., a Delaware corporation (the “Company”), in connection with the preparation of a registration statement on Form S-3 (the “Registration Statement”), filed by the Company with the Securities and Exchange Commission (the “Commission”) pursuant to the Securities Act of 1933, as amended (the “Securities Act”), relating to the offer and sale from time to time by the Company of up to a maximum of $400,000,000 aggregate initial offering price of a presently indeterminate amount of the following securities (each a “Company Security” and collectively, or in any combination, the “Company Securities”):</w:t>
      </w:r>
    </w:p>
    <w:p>
      <w:pPr>
        <w:spacing w:after="0" w:line="188"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of the Company’s Class A common stock, $0.0001 par value per share (the “Common Stock”);</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shares of the Company’s preferred stock, $0.0001 par value per share (the “Preferred Stock”);</w:t>
      </w:r>
    </w:p>
    <w:p>
      <w:pPr>
        <w:spacing w:after="0" w:line="225" w:lineRule="exact"/>
        <w:rPr>
          <w:rFonts w:ascii="Arial" w:cs="Arial" w:eastAsia="Arial" w:hAnsi="Arial"/>
          <w:sz w:val="18"/>
          <w:szCs w:val="18"/>
          <w:color w:val="auto"/>
        </w:rPr>
      </w:pPr>
    </w:p>
    <w:p>
      <w:pPr>
        <w:ind w:firstLine="8"/>
        <w:spacing w:after="0" w:line="342" w:lineRule="auto"/>
        <w:tabs>
          <w:tab w:leader="none" w:pos="3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purchase contracts entitling or obligating holders to purchase from or sell to the Company, and for the Company to sell to or purchase from such holders, a specific or varying number of debt or equity securities issued by the Company or by an entity other than the Company at a future date or dates;</w:t>
      </w:r>
    </w:p>
    <w:p>
      <w:pPr>
        <w:spacing w:after="0" w:line="123" w:lineRule="exact"/>
        <w:rPr>
          <w:rFonts w:ascii="Arial" w:cs="Arial" w:eastAsia="Arial" w:hAnsi="Arial"/>
          <w:sz w:val="16"/>
          <w:szCs w:val="16"/>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debt securities, other securities or any combination of those securities;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subscription rights to purchase any of the foregoing securities;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225" w:lineRule="exact"/>
        <w:rPr>
          <w:rFonts w:ascii="Arial" w:cs="Arial" w:eastAsia="Arial" w:hAnsi="Arial"/>
          <w:sz w:val="18"/>
          <w:szCs w:val="18"/>
          <w:color w:val="auto"/>
        </w:rPr>
      </w:pPr>
    </w:p>
    <w:p>
      <w:pPr>
        <w:ind w:firstLine="8"/>
        <w:spacing w:after="0" w:line="277" w:lineRule="auto"/>
        <w:tabs>
          <w:tab w:leader="none" w:pos="3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and</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units comprised of, or other combinations of, the foregoing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firstLine="648"/>
        <w:spacing w:after="0" w:line="275" w:lineRule="auto"/>
        <w:rPr>
          <w:sz w:val="20"/>
          <w:szCs w:val="20"/>
          <w:color w:val="auto"/>
        </w:rPr>
      </w:pPr>
      <w:r>
        <w:rPr>
          <w:rFonts w:ascii="Arial" w:cs="Arial" w:eastAsia="Arial" w:hAnsi="Arial"/>
          <w:sz w:val="17"/>
          <w:szCs w:val="17"/>
          <w:color w:val="auto"/>
        </w:rPr>
        <w:t>The Company Securities may be issued and sold by the Company pursuant to applicable provisions of Rule 415 under the Securities Act, in amounts, at prices and on terms to be determined in light of market conditions at the time of sale, and as set forth in the Registration Statement, any amendment thereto, the prospectus contained therein (the “Prospectus”) and any supplements to the Prospectus (each, a “Prospectus Supplement”). The Company Securities may be issued from time to time on a delayed or continuous basis, and this opinion is limited to the laws, including the rules and regulations, as in effect on the date hereof, which laws are subject to change with possible retroactive effect.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have acted as counsel to the Company in connection with the sale through Cantor Fitzgerald &amp; Co., H.C. Wainwright &amp; Co., LLC, and D.A. Davidson &amp; Co. as the sales agents from time to time by the Company of shares of Common Stock (the “Sales Agreement Shares”) having an aggregate offering price of up to $150,000,000 pursuant to the Registration Statement, including the Prospectus and the related prospectus for the sale of Sales Agreement Shares (collectively, the “Sales Agreement Prospectus”).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You have requested our opinion as to the matters set forth below in connection with the Registration Statement. For purposes of rendering the opinions set forth below, we have examined such documents and reviewed such questions of law as we have considered necessary and appropriate for the purposes of our opinion including (i) the Registration Statement, including the exhibits filed therewith, (ii) the Prospectus, (iii) the Sales Agreement Prospectus, (iv) the Company’s second amended and restated certificate of incorporation (the “Certificate of Incorporation”), (iv) the Company’s amended and restated bylaws (the “Bylaws”), (v) the corporate resolutions and other actions of the Company that authorize and provide for the filing of the Registration Statement, and we have made such other investigation as we have deemed appropriate. We have not independently established any of the facts so relied on.</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purposes of this opinion letter, we have assumed the accuracy and completeness of each document submitted to us, the genuineness of all signatures on original documents, the authenticity of all documents submitted to us as originals, the conformity to original documents of all documents submitted to us as facsimile, electronic, certified, conformed or photostatic copies thereof, and the due execution and delivery of all documents where due execution and delivery are prerequisites to the effectiveness thereof. We have further assumed the legal capacity of natural persons, that persons identified to us as officers of the Company are actually serving in such capacity, that the representations of officers and employees of the Company are correct as to questions of fact, that the board of directors will have taken all action necessary to set the issuance price of the Company Securities to be offered and sold and that each party to the documents we have examined or relied on (other than the Company) has the power, corporate or other, to enter into and perform all obligations thereunder and also have assumed the due authorization by all requisite action, corporate or other, the execution and delivery by such parties of such documents, and the validity and binding effect thereof on such parties. We have not independently verified any of these assumptions.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opinions expressed in this opinion letter are limited to (i) the General Corporation Law of the State of Delaware (the “DGCL”) and the applicable statutory provisions of the Delaware Constitution and the reported judicial decisions interpreting such statute and provisions and, solely in connection with the opinions given in numbered paragraphs 1, 2, and 9 below and (ii) the laws of the State of New York solely in connection with the other opinions given below. We are not opining on, and we assume no responsibility for, the applicability to or effect on any of the matters covered herein of (a) any other laws; (b) the laws of any other jurisdiction; or (c) the laws of any county, municipality or other political subdivision or local governmental agency or authority.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firstLine="648"/>
        <w:spacing w:after="0" w:line="277" w:lineRule="auto"/>
        <w:rPr>
          <w:sz w:val="20"/>
          <w:szCs w:val="20"/>
          <w:color w:val="auto"/>
        </w:rPr>
      </w:pPr>
      <w:r>
        <w:rPr>
          <w:rFonts w:ascii="Arial" w:cs="Arial" w:eastAsia="Arial" w:hAnsi="Arial"/>
          <w:sz w:val="18"/>
          <w:szCs w:val="18"/>
          <w:color w:val="auto"/>
        </w:rPr>
        <w:t>Based on the foregoing and in reliance thereon, and subject to the assumptions, qualifications, limitations and exceptions set forth below, we are of the opinion that:</w:t>
      </w:r>
    </w:p>
    <w:p>
      <w:pPr>
        <w:spacing w:after="0" w:line="170" w:lineRule="exact"/>
        <w:rPr>
          <w:sz w:val="20"/>
          <w:szCs w:val="20"/>
          <w:color w:val="auto"/>
        </w:rPr>
      </w:pPr>
    </w:p>
    <w:p>
      <w:pPr>
        <w:jc w:val="both"/>
        <w:ind w:firstLine="8"/>
        <w:spacing w:after="0" w:line="269" w:lineRule="auto"/>
        <w:tabs>
          <w:tab w:leader="none" w:pos="201" w:val="left"/>
        </w:tabs>
        <w:numPr>
          <w:ilvl w:val="0"/>
          <w:numId w:val="76"/>
        </w:numPr>
        <w:rPr>
          <w:rFonts w:ascii="Arial" w:cs="Arial" w:eastAsia="Arial" w:hAnsi="Arial"/>
          <w:sz w:val="17"/>
          <w:szCs w:val="17"/>
          <w:color w:val="auto"/>
        </w:rPr>
      </w:pPr>
      <w:r>
        <w:rPr>
          <w:rFonts w:ascii="Arial" w:cs="Arial" w:eastAsia="Arial" w:hAnsi="Arial"/>
          <w:sz w:val="17"/>
          <w:szCs w:val="17"/>
          <w:color w:val="auto"/>
        </w:rPr>
        <w:t>With respect to shares of Common Stock, when (a) the board of directors of the Company has taken all necessary corporate action to approve the issuance and terms of the offering thereof and related matters, including without limitation the due reservation of any Common Stock for issuance, and (b) certificates representing the shares of Common Stock have been duly executed, countersigned, registered and delivered, in each case in accordance with the Certificate of Incorporation and Bylaws, either (i) in accordance with the applicable definitive purchase, underwriting or similar agreement approved by the board of directors of the Company upon payment of the consideration therefor (which consideration shall not be less than the par value of the Common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which consideration shall not be less than the par value of the Common Stock, such shares of Common Stock will be validly issued, fully paid, and non-assessable.</w:t>
      </w:r>
    </w:p>
    <w:p>
      <w:pPr>
        <w:spacing w:after="0" w:line="185" w:lineRule="exact"/>
        <w:rPr>
          <w:rFonts w:ascii="Arial" w:cs="Arial" w:eastAsia="Arial" w:hAnsi="Arial"/>
          <w:sz w:val="17"/>
          <w:szCs w:val="17"/>
          <w:color w:val="auto"/>
        </w:rPr>
      </w:pPr>
    </w:p>
    <w:p>
      <w:pPr>
        <w:jc w:val="both"/>
        <w:ind w:firstLine="8"/>
        <w:spacing w:after="0" w:line="268" w:lineRule="auto"/>
        <w:tabs>
          <w:tab w:leader="none" w:pos="198" w:val="left"/>
        </w:tabs>
        <w:numPr>
          <w:ilvl w:val="0"/>
          <w:numId w:val="76"/>
        </w:numPr>
        <w:rPr>
          <w:rFonts w:ascii="Arial" w:cs="Arial" w:eastAsia="Arial" w:hAnsi="Arial"/>
          <w:sz w:val="17"/>
          <w:szCs w:val="17"/>
          <w:color w:val="auto"/>
        </w:rPr>
      </w:pPr>
      <w:r>
        <w:rPr>
          <w:rFonts w:ascii="Arial" w:cs="Arial" w:eastAsia="Arial" w:hAnsi="Arial"/>
          <w:sz w:val="17"/>
          <w:szCs w:val="17"/>
          <w:color w:val="auto"/>
        </w:rPr>
        <w:t>With respect to shares of any series of Preferred Stock, when (a) the board of directors of the Company has taken all necessary corporate action to approve the issuance and terms of the shares of such series, the terms of the offering thereof and related matters, including the adoption of a certificate of designation or amendment to the Certificate of Incorporation fixing and determining the terms of such Preferred Stock conforming to the DGCL, the filing of a certificate or amendment, as applicable, with the Secretary of State of Delaware, the payment in full of any filing fees attendant thereto, and the due reservation of any Common Stock and Preferred Stock for issuance, and (b) certificates representing the shares of such series of Preferred Stock have been duly executed, countersigned, registered and delivered, in each case in accordance with the Certificate of Incorporation and Bylaws, either (i) in accordance with the applicable definitive purchase, underwriting or similar agreement approved by the board of directors of the Company upon payment of the consideration therefor (which consideration shall not be less than the par value of the Preferred Stock) provided for in such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which consideration shall not be less than the par value of the Preferred Stock, the shares of such series of Preferred Stock will be validly issued, fully paid, and non-assessable.</w:t>
      </w:r>
    </w:p>
    <w:p>
      <w:pPr>
        <w:spacing w:after="0" w:line="186" w:lineRule="exact"/>
        <w:rPr>
          <w:rFonts w:ascii="Arial" w:cs="Arial" w:eastAsia="Arial" w:hAnsi="Arial"/>
          <w:sz w:val="17"/>
          <w:szCs w:val="17"/>
          <w:color w:val="auto"/>
        </w:rPr>
      </w:pPr>
    </w:p>
    <w:p>
      <w:pPr>
        <w:jc w:val="both"/>
        <w:ind w:firstLine="8"/>
        <w:spacing w:after="0" w:line="289" w:lineRule="auto"/>
        <w:tabs>
          <w:tab w:leader="none" w:pos="199" w:val="left"/>
        </w:tabs>
        <w:numPr>
          <w:ilvl w:val="0"/>
          <w:numId w:val="76"/>
        </w:numPr>
        <w:rPr>
          <w:rFonts w:ascii="Arial" w:cs="Arial" w:eastAsia="Arial" w:hAnsi="Arial"/>
          <w:sz w:val="16"/>
          <w:szCs w:val="16"/>
          <w:color w:val="auto"/>
        </w:rPr>
      </w:pPr>
      <w:r>
        <w:rPr>
          <w:rFonts w:ascii="Arial" w:cs="Arial" w:eastAsia="Arial" w:hAnsi="Arial"/>
          <w:sz w:val="16"/>
          <w:szCs w:val="16"/>
          <w:color w:val="auto"/>
        </w:rPr>
        <w:t>With respect to the issuance of any purchase contracts, when (a) the board of directors of the Company has taken all necessary corporate action to approve the purchase contract agreement to be entered into in connection with the issuance of any purchase contracts and such purchase contract agreement has been validly executed and delivered by the purchase contract agent and Company, (b) the board of directors of the Company has taken all necessary corporate action to approve the specific issuance and terms of any purchase contracts duly established in accordance with the applicable purchase contract agreement and (c) such purchase contracts have been duly executed, countersigned, registered, issued and delivered in accordance with the purchase contract agreement and the applicable definitive purchase, underwriting or similar agreement, as applicable, for the consideration therefor set forth in the applicable agreement and approved by the board of directors of the Company, such purchase contracts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8"/>
        <w:spacing w:after="0" w:line="269" w:lineRule="auto"/>
        <w:tabs>
          <w:tab w:leader="none" w:pos="192"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 respect to the issuance of any warrants, when (a) the board of directors of the Company has taken all necessary corporate action to approve the warrant agreement to be entered into in connection with the issuance of any warrants and such warrant agreement has been validly executed and delivered by the warrant agent and Company, (b) the board of directors of the Company has taken all necessary corporate action to approve the specific issuance and terms of any warrants duly established in accordance with the applicable warrant agreement and (c) such warrants have been duly executed, countersigned, registered, issued and delivered in accordance with the warrant agreement and the applicable definitive purchase, underwriting or similar agreement, as applicable, for the consideration therefor set forth in the applicable agreement and approved by the board of directors of the Company (assuming the securities issuable upon exercise of the warrants have been duly authorized and reserved for issuance by all necessary corporate action and in accordance with applicable law), such warrants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185" w:lineRule="exact"/>
        <w:rPr>
          <w:rFonts w:ascii="Arial" w:cs="Arial" w:eastAsia="Arial" w:hAnsi="Arial"/>
          <w:sz w:val="17"/>
          <w:szCs w:val="17"/>
          <w:color w:val="auto"/>
        </w:rPr>
      </w:pPr>
    </w:p>
    <w:p>
      <w:pPr>
        <w:jc w:val="both"/>
        <w:ind w:firstLine="8"/>
        <w:spacing w:after="0" w:line="279" w:lineRule="auto"/>
        <w:tabs>
          <w:tab w:leader="none" w:pos="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 respect to the subscription rights, when (a) the board of directors of the Company has taken all necessary corporate action to authorize the issuance and the specific terms of such subscription rights, the terms of the offering thereof, and related matters and (b) such subscription rights and agreements relating to the subscription rights have been duly executed and delivered in accordance with the terms thereof, then such subscription rights will be valid and binding obligations of the Company, enforceable against the Company in accordance with their terms.</w:t>
      </w:r>
    </w:p>
    <w:p>
      <w:pPr>
        <w:spacing w:after="0" w:line="171" w:lineRule="exact"/>
        <w:rPr>
          <w:rFonts w:ascii="Arial" w:cs="Arial" w:eastAsia="Arial" w:hAnsi="Arial"/>
          <w:sz w:val="17"/>
          <w:szCs w:val="17"/>
          <w:color w:val="auto"/>
        </w:rPr>
      </w:pPr>
    </w:p>
    <w:p>
      <w:pPr>
        <w:jc w:val="both"/>
        <w:ind w:firstLine="8"/>
        <w:spacing w:after="0" w:line="288" w:lineRule="auto"/>
        <w:tabs>
          <w:tab w:leader="none" w:pos="188" w:val="left"/>
        </w:tabs>
        <w:numPr>
          <w:ilvl w:val="0"/>
          <w:numId w:val="77"/>
        </w:numPr>
        <w:rPr>
          <w:rFonts w:ascii="Arial" w:cs="Arial" w:eastAsia="Arial" w:hAnsi="Arial"/>
          <w:sz w:val="16"/>
          <w:szCs w:val="16"/>
          <w:color w:val="auto"/>
        </w:rPr>
      </w:pPr>
      <w:r>
        <w:rPr>
          <w:rFonts w:ascii="Arial" w:cs="Arial" w:eastAsia="Arial" w:hAnsi="Arial"/>
          <w:sz w:val="16"/>
          <w:szCs w:val="16"/>
          <w:color w:val="auto"/>
        </w:rPr>
        <w:t>With respect to the depositary shares, when (i) the board of directors of the Company has taken all necessary corporate action to approve the issuance and terms of the depositary shares, the terms of the offering thereof and related matters, including the adoption of a certificate of designation relating to the preferred stock underlying the depositary shares as required by applicable law and the filing of the certificate of designation with the Secretary of State of the State of Delaware as required by applicable law; (ii) the depositary agreement or agreements relating to the depositary shares and the related depositary receipts have been duly authorized and validly executed and delivered by the board of directors of the Company and the depositary appointed by the Company; (iii) the shares of preferred stock underlying the depositary shares have been duly authorized, validly issued and deposited with the depositary under the applicable depositary agreement; and (iv) the depositary receipts representing the depositary shares have been duly executed, countersigned, registered and delivered in accordance with the appropriate depositary agreement approved by the Company, upon payment of the consideration therefor provided for in the applicable definitive purchase, underwriting or similar agreement, the depositary shares will be legally issued and will entitle their holders to the rights specified in the deposit agreement and the depositary receipt.</w:t>
      </w:r>
    </w:p>
    <w:p>
      <w:pPr>
        <w:spacing w:after="0" w:line="168" w:lineRule="exact"/>
        <w:rPr>
          <w:rFonts w:ascii="Arial" w:cs="Arial" w:eastAsia="Arial" w:hAnsi="Arial"/>
          <w:sz w:val="16"/>
          <w:szCs w:val="16"/>
          <w:color w:val="auto"/>
        </w:rPr>
      </w:pPr>
    </w:p>
    <w:p>
      <w:pPr>
        <w:jc w:val="both"/>
        <w:ind w:firstLine="8"/>
        <w:spacing w:after="0" w:line="285" w:lineRule="auto"/>
        <w:tabs>
          <w:tab w:leader="none" w:pos="191" w:val="left"/>
        </w:tabs>
        <w:numPr>
          <w:ilvl w:val="0"/>
          <w:numId w:val="77"/>
        </w:numPr>
        <w:rPr>
          <w:rFonts w:ascii="Arial" w:cs="Arial" w:eastAsia="Arial" w:hAnsi="Arial"/>
          <w:sz w:val="16"/>
          <w:szCs w:val="16"/>
          <w:color w:val="auto"/>
        </w:rPr>
      </w:pPr>
      <w:r>
        <w:rPr>
          <w:rFonts w:ascii="Arial" w:cs="Arial" w:eastAsia="Arial" w:hAnsi="Arial"/>
          <w:sz w:val="16"/>
          <w:szCs w:val="16"/>
          <w:color w:val="auto"/>
        </w:rPr>
        <w:t>With respect to any debt securities, when (a) the board of directors of the Company has taken all necessary corporate action to approve an applicable indenture, if any, or any amendment or supplement thereto or other agreement in respect thereof, if any, and such indenture, if any, or any amendment or supplement thereto or other agreement in respect thereof, if any, has been validly executed and delivered by the Company, (b) any applicable indenture, if required, has been duly qualified under the Trust Indenture Act of 1939, as amended, if qualification is required thereunder, (c) the board of directors of the Company has taken all necessary corporate action to approve the specific issuance and terms of any series of debt security duly established in accordance with the applicable indenture, if any, and (d) such debt security have been duly executed, countersigned, registered, issued and delivered either (i) in accordance with the indenture, if any, or any amendment or supplement thereto or other agreement in respect thereof, if any, the applicable definitive purchase, underwriting or similar agreement, as applicable, or (ii) upon conversion, exchange or exercise of any other Company Security in accordance with the terms of such Company Security or the instrument governing such Company Security providing for the conversion, exchange or exercise as approved by the board of directors of the Company, for the consideration therefor set forth in the applicable agreement and approved by the board of directors of the Company, such debt securities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state law, (y) the validity, legally binding effect or enforceability of any provision of the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principle amount upon acceleration of the debt securities to the extent determined to constitute unearned interest.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8"/>
        <w:spacing w:after="0" w:line="290" w:lineRule="auto"/>
        <w:tabs>
          <w:tab w:leader="none" w:pos="189"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 respect to the issuance of any units, when (a) the board of directors of the Company has taken all necessary corporate action to approve the unit agreement, if any, to be entered into in connection with the issuance of any units and such unit agreement, if any, has been validly executed and delivered by the unit agent, if any, and Company, (b) the board of directors of the Company has taken all necessary corporate action to approve the specific issuance and terms of any units duly established in accordance with the applicable unit agreement, if any, and (c) such units have been duly executed, countersigned, registered, issued and delivered in accordance with the unit agreement, if any, and the applicable definitive purchase, underwriting or similar agreement, as applicable, for the consideration therefor set forth in the applicable agreement and approved by the board of directors of the Company, such units will constitute valid and binding obligations of the Company, enforceable against the Company in accordance with their terms, subject to applicable bankruptcy, insolvency and similar laws affecting creditors’ rights generally, concepts of reasonableness and equitable principles of general applicability.</w:t>
      </w:r>
    </w:p>
    <w:p>
      <w:pPr>
        <w:spacing w:after="0" w:line="165" w:lineRule="exact"/>
        <w:rPr>
          <w:rFonts w:ascii="Arial" w:cs="Arial" w:eastAsia="Arial" w:hAnsi="Arial"/>
          <w:sz w:val="16"/>
          <w:szCs w:val="16"/>
          <w:color w:val="auto"/>
        </w:rPr>
      </w:pPr>
    </w:p>
    <w:p>
      <w:pPr>
        <w:jc w:val="both"/>
        <w:ind w:firstLine="8"/>
        <w:spacing w:after="0" w:line="279" w:lineRule="auto"/>
        <w:tabs>
          <w:tab w:leader="none" w:pos="191" w:val="left"/>
        </w:tabs>
        <w:numPr>
          <w:ilvl w:val="0"/>
          <w:numId w:val="78"/>
        </w:numPr>
        <w:rPr>
          <w:rFonts w:ascii="Arial" w:cs="Arial" w:eastAsia="Arial" w:hAnsi="Arial"/>
          <w:sz w:val="17"/>
          <w:szCs w:val="17"/>
          <w:color w:val="auto"/>
        </w:rPr>
      </w:pPr>
      <w:r>
        <w:rPr>
          <w:rFonts w:ascii="Arial" w:cs="Arial" w:eastAsia="Arial" w:hAnsi="Arial"/>
          <w:sz w:val="17"/>
          <w:szCs w:val="17"/>
          <w:color w:val="auto"/>
        </w:rPr>
        <w:t>With respect to the Sales Agreement Shares which are a portion of the Common Stock being registered, when the Sales Agreement Shares have been duly registered on the books of the transfer agent and registrar therefor in the name or on behalf of the purchasers thereof, and have been issued by the Company against payment therefor (not less than par value) in the circumstances contemplated by the Sales Agreement Prospectus, the issuance and sale of the Sales Agreement Shares will be duly authorized, validly issued, fully paid and nonassessable.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set forth above are subject to the following additional assumptions:</w:t>
      </w:r>
    </w:p>
    <w:p>
      <w:pPr>
        <w:spacing w:after="0" w:line="225" w:lineRule="exact"/>
        <w:rPr>
          <w:sz w:val="20"/>
          <w:szCs w:val="20"/>
          <w:color w:val="auto"/>
        </w:rPr>
      </w:pPr>
    </w:p>
    <w:p>
      <w:pPr>
        <w:ind w:firstLine="8"/>
        <w:spacing w:after="0" w:line="277" w:lineRule="auto"/>
        <w:tabs>
          <w:tab w:leader="none" w:pos="2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Registration Statement, any amendments thereto (including post-effective amendments), will have been declared effective under the Securities Act and such effectiveness shall not have been terminated, suspended or rescinded;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Company Securities will be issued and sold in compliance with applicable federal and state securities laws, rules and regulations and solely in the manner provided in the Registration Statement and the appropriate Prospectus Supplement and there will not have occurred any change in law or fact affecting the validity of any of the opinions rendered herein;</w:t>
      </w:r>
    </w:p>
    <w:p>
      <w:pPr>
        <w:spacing w:after="0" w:line="183" w:lineRule="exact"/>
        <w:rPr>
          <w:rFonts w:ascii="Arial" w:cs="Arial" w:eastAsia="Arial" w:hAnsi="Arial"/>
          <w:sz w:val="18"/>
          <w:szCs w:val="18"/>
          <w:color w:val="auto"/>
        </w:rPr>
      </w:pPr>
    </w:p>
    <w:p>
      <w:pPr>
        <w:ind w:firstLine="8"/>
        <w:spacing w:after="0" w:line="277" w:lineRule="auto"/>
        <w:tabs>
          <w:tab w:leader="none" w:pos="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and any other necessary agreements with respect to any Company Securities offered or issued will have been duly authorized and duly executed and delivered by the Company and the other parties thereto;</w:t>
      </w:r>
    </w:p>
    <w:p>
      <w:pPr>
        <w:spacing w:after="0" w:line="170" w:lineRule="exact"/>
        <w:rPr>
          <w:rFonts w:ascii="Arial" w:cs="Arial" w:eastAsia="Arial" w:hAnsi="Arial"/>
          <w:sz w:val="18"/>
          <w:szCs w:val="18"/>
          <w:color w:val="auto"/>
        </w:rPr>
      </w:pPr>
    </w:p>
    <w:p>
      <w:pPr>
        <w:jc w:val="both"/>
        <w:ind w:firstLine="8"/>
        <w:spacing w:after="0" w:line="272" w:lineRule="auto"/>
        <w:tabs>
          <w:tab w:leader="none" w:pos="32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final terms of any of the Company Securities (including any Company Securities comprising the same or subject thereto), and when issued, the issuance, sale and delivery thereof by the Company, and the incurrence and performance of the Company’s obligations thereunder or respect thereof in accordance with the terms thereof, and any consideration received by the Company for any such issuance, sale and delivery, will comply with, and will not violate, the Certificate of Incorporation or Bylaws or any applicable law, rule or regulation, or result in a default under or breach of any agreement or instrument binding upon the Company and will comply with any requirement or restriction imposed by any court or governmental body having jurisdiction over the Company or to which the issuance, sale and delivery of such Company Securities or the incurrence and performance of such obligations may be subject or violate any applicable public policy, or be subject to any defense in law or equity;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8"/>
        <w:spacing w:after="0" w:line="270" w:lineRule="auto"/>
        <w:tabs>
          <w:tab w:leader="none" w:pos="26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 shall have taken any action required to be taken by the Company, based on the type of Company Security being offered, to authorize the offer and issuance thereof, and such authorization shall remain in effect and unchanged at all times during which the Company Securities are offered and issued and shall not have been modified or rescinded (subject to the further assumption that the sale of any Company Security takes place in accordance with such authorization), the board of directors of the Company shall have duly established the terms of such Company Security and duly authorized and taken any other necessary corporate action to approve the issuance and sale of such Company Security in conformity with the Certificate of Incorporation and Bylaws (subject to the further assumption that neither the Certificate of Incorporation nor Bylaws have been amended from the date hereof in a manner that would affect the validity of any of the opinions rendered herein), and such authorization shall remain in effect and unchanged at all times during which the Company Securities are offered and issued and shall not have been modified or rescinded (subject to the further assumption that the sale of any Company Security takes place in accordance with such authorization);</w:t>
      </w:r>
    </w:p>
    <w:p>
      <w:pPr>
        <w:spacing w:after="0" w:line="180" w:lineRule="exact"/>
        <w:rPr>
          <w:rFonts w:ascii="Arial" w:cs="Arial" w:eastAsia="Arial" w:hAnsi="Arial"/>
          <w:sz w:val="17"/>
          <w:szCs w:val="17"/>
          <w:color w:val="auto"/>
        </w:rPr>
      </w:pPr>
    </w:p>
    <w:p>
      <w:pPr>
        <w:ind w:firstLine="8"/>
        <w:spacing w:after="0" w:line="277" w:lineRule="auto"/>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will exist, under the Certificate of Incorporation, the requisite number of authorized but unissued shares of Common Stock or Preferred Stock (and securities of any class into which any of the Preferred Stock may be convertible), as the case may be;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3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extent they purport to relate to liabilities resulting from or based upon gross negligence, recklessness or other conduct committed or omitted willfully or in bad faith or any violation of federal or state securities or blue sky laws, we express no opinions concerning the enforceability of indemnification provisions.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opinions above are subject to the effects of (i) bankruptcy, insolvency, fraudulent conveyance, fraudulent transfer, reorganization, receivership, moratorium and other similar laws relating to or affecting enforcement of creditors’ rights or remedies generally, (ii) general principles of equity, whether such principles are considered in a proceeding of law or at equity, and (iii) an implied covenant of good faith, reasonableness and fair dealing and standards of materiality.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opinion is limited to the Delaware General Corporation Law, including the statutory provisions of the Delaware General Corporation Law and all applicable provisions of the Delaware Constitution and reported judicial decisions interpreting these laws. We hereby consent to the filing of this opinion as an exhibit to the Registration Statement and to the use of our name under the caption “Legal Matters” in the Prospectus. In giving our consent, we do not thereby admit that we are experts with respect to any part of the Registration Statement, the Prospectus, the Sales Agreement Prospectus or any Prospectus Supplement within the meaning of the term “expert,” as used in Section 11 of the Securities Act or the rules and regulations promulgated thereunder by the Commission, nor do we admit that we are in the category of persons whose consent is required under Section 7 of the Securities Act or the rules and regulations thereunder.</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Ellenoff Grossman &amp; Schole LLP</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Ellenoff Grossman &amp; Schole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Controlled Equity Offering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jc w:val="center"/>
        <w:ind w:right="9660" w:firstLine="8"/>
        <w:spacing w:after="0" w:line="323" w:lineRule="auto"/>
        <w:tabs>
          <w:tab w:leader="none" w:pos="3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Park Avenue New York, NY 10022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 A. Davidson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757 3rd Ave, Suite 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430 Park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SoundHound AI, Inc., a Delaware corporation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confirms its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with Cantor Fitzgerald &amp; Co., D.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Davidson &amp; Co., and H.C. Wainwright &amp; Co. (collectively, the “</w:t>
      </w:r>
      <w:r>
        <w:rPr>
          <w:rFonts w:ascii="Arial" w:cs="Arial" w:eastAsia="Arial" w:hAnsi="Arial"/>
          <w:sz w:val="18"/>
          <w:szCs w:val="18"/>
          <w:b w:val="1"/>
          <w:bCs w:val="1"/>
          <w:u w:val="single" w:color="auto"/>
          <w:color w:val="auto"/>
        </w:rPr>
        <w:t>Agents</w:t>
      </w:r>
      <w:r>
        <w:rPr>
          <w:rFonts w:ascii="Arial" w:cs="Arial" w:eastAsia="Arial" w:hAnsi="Arial"/>
          <w:sz w:val="18"/>
          <w:szCs w:val="18"/>
          <w:color w:val="auto"/>
        </w:rPr>
        <w:t>” and each, an “</w:t>
      </w:r>
      <w:r>
        <w:rPr>
          <w:rFonts w:ascii="Arial" w:cs="Arial" w:eastAsia="Arial" w:hAnsi="Arial"/>
          <w:sz w:val="18"/>
          <w:szCs w:val="18"/>
          <w:b w:val="1"/>
          <w:bCs w:val="1"/>
          <w:color w:val="auto"/>
        </w:rPr>
        <w:t>Agent</w:t>
      </w:r>
      <w:r>
        <w:rPr>
          <w:rFonts w:ascii="Arial" w:cs="Arial" w:eastAsia="Arial" w:hAnsi="Arial"/>
          <w:sz w:val="18"/>
          <w:szCs w:val="18"/>
          <w:color w:val="auto"/>
        </w:rPr>
        <w:t>”), as follows:</w:t>
      </w:r>
    </w:p>
    <w:p>
      <w:pPr>
        <w:spacing w:after="0" w:line="211" w:lineRule="exact"/>
        <w:rPr>
          <w:sz w:val="20"/>
          <w:szCs w:val="20"/>
          <w:color w:val="auto"/>
        </w:rPr>
      </w:pPr>
    </w:p>
    <w:p>
      <w:pPr>
        <w:jc w:val="both"/>
        <w:ind w:left="660" w:hanging="652"/>
        <w:spacing w:after="0" w:line="286"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the Agents, shares of common stock (the “</w:t>
      </w:r>
      <w:r>
        <w:rPr>
          <w:rFonts w:ascii="Arial" w:cs="Arial" w:eastAsia="Arial" w:hAnsi="Arial"/>
          <w:sz w:val="16"/>
          <w:szCs w:val="16"/>
          <w:b w:val="1"/>
          <w:bCs w:val="1"/>
          <w:u w:val="single" w:color="auto"/>
          <w:color w:val="auto"/>
        </w:rPr>
        <w:t>Placement Shares</w:t>
      </w:r>
      <w:r>
        <w:rPr>
          <w:rFonts w:ascii="Arial" w:cs="Arial" w:eastAsia="Arial" w:hAnsi="Arial"/>
          <w:sz w:val="16"/>
          <w:szCs w:val="16"/>
          <w:color w:val="auto"/>
        </w:rPr>
        <w:t>”) of the Company, par value $0.0001 per share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Company issue or sell through the Agents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Arial" w:cs="Arial" w:eastAsia="Arial" w:hAnsi="Arial"/>
          <w:sz w:val="16"/>
          <w:szCs w:val="16"/>
          <w:b w:val="1"/>
          <w:bCs w:val="1"/>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Amount</w:t>
      </w:r>
      <w:r>
        <w:rPr>
          <w:rFonts w:ascii="Arial" w:cs="Arial" w:eastAsia="Arial" w:hAnsi="Arial"/>
          <w:sz w:val="16"/>
          <w:szCs w:val="16"/>
          <w:color w:val="auto"/>
        </w:rPr>
        <w:t>”). Notwithstanding anything to the contrary contained herein, the parties hereto agree that compliance with the limitations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on the amount of Placement Shares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(as defined below) to be filed by the Company, and which will be declared effective by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although nothing in this Agreement shall be construed as requiring the Company to use the Registration Statement to issue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both"/>
        <w:ind w:firstLine="648"/>
        <w:spacing w:after="0" w:line="285" w:lineRule="auto"/>
        <w:rPr>
          <w:sz w:val="20"/>
          <w:szCs w:val="20"/>
          <w:color w:val="auto"/>
        </w:rPr>
      </w:pPr>
      <w:r>
        <w:rPr>
          <w:rFonts w:ascii="Arial" w:cs="Arial" w:eastAsia="Arial" w:hAnsi="Arial"/>
          <w:sz w:val="16"/>
          <w:szCs w:val="16"/>
          <w:color w:val="auto"/>
        </w:rPr>
        <w:t>The Company will file, in accordance with the provisions of the Securities Act of 1933, as amended (the “</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and the rules and regulations thereunder (the “</w:t>
      </w:r>
      <w:r>
        <w:rPr>
          <w:rFonts w:ascii="Arial" w:cs="Arial" w:eastAsia="Arial" w:hAnsi="Arial"/>
          <w:sz w:val="16"/>
          <w:szCs w:val="16"/>
          <w:b w:val="1"/>
          <w:bCs w:val="1"/>
          <w:u w:val="single" w:color="auto"/>
          <w:color w:val="auto"/>
        </w:rPr>
        <w:t>Securities Act Regulations</w:t>
      </w:r>
      <w:r>
        <w:rPr>
          <w:rFonts w:ascii="Arial" w:cs="Arial" w:eastAsia="Arial" w:hAnsi="Arial"/>
          <w:sz w:val="16"/>
          <w:szCs w:val="16"/>
          <w:color w:val="auto"/>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and the rules and regulations thereunder. The Company has prepared a prospectus or a prospectus supplement to the base prospectus included as part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registration statement, which prospectus or prospectus supplement relates to the Placement Shares to be issued from time to time by the Company (the “</w:t>
      </w:r>
      <w:r>
        <w:rPr>
          <w:rFonts w:ascii="Arial" w:cs="Arial" w:eastAsia="Arial" w:hAnsi="Arial"/>
          <w:sz w:val="16"/>
          <w:szCs w:val="16"/>
          <w:b w:val="1"/>
          <w:bCs w:val="1"/>
          <w:u w:val="single" w:color="auto"/>
          <w:color w:val="auto"/>
        </w:rPr>
        <w:t>Prospectus Supplement</w:t>
      </w:r>
      <w:r>
        <w:rPr>
          <w:rFonts w:ascii="Arial" w:cs="Arial" w:eastAsia="Arial" w:hAnsi="Arial"/>
          <w:sz w:val="16"/>
          <w:szCs w:val="16"/>
          <w:color w:val="auto"/>
        </w:rPr>
        <w:t>”). The Company will furnish to the Agents, for use by the Agents, copies of the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is herein called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if any, is herein called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Any reference herein to the Registration Statement, Prospectus Supplement, Prospectus or any Issuer Free Writing Prospectus (as defined below) shall be deemed to refer to and include the documents, if any, incorporated by reference therein (the “</w:t>
      </w:r>
      <w:r>
        <w:rPr>
          <w:rFonts w:ascii="Arial" w:cs="Arial" w:eastAsia="Arial" w:hAnsi="Arial"/>
          <w:sz w:val="16"/>
          <w:szCs w:val="16"/>
          <w:b w:val="1"/>
          <w:bCs w:val="1"/>
          <w:u w:val="single" w:color="auto"/>
          <w:color w:val="auto"/>
        </w:rPr>
        <w:t>Incorporated Documents</w:t>
      </w:r>
      <w:r>
        <w:rPr>
          <w:rFonts w:ascii="Arial" w:cs="Arial" w:eastAsia="Arial" w:hAnsi="Arial"/>
          <w:sz w:val="16"/>
          <w:szCs w:val="16"/>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w:t>
      </w:r>
    </w:p>
    <w:p>
      <w:pPr>
        <w:spacing w:after="0" w:line="162" w:lineRule="exact"/>
        <w:rPr>
          <w:sz w:val="20"/>
          <w:szCs w:val="20"/>
          <w:color w:val="auto"/>
        </w:rPr>
      </w:pPr>
    </w:p>
    <w:p>
      <w:pPr>
        <w:jc w:val="both"/>
        <w:ind w:left="660" w:hanging="652"/>
        <w:spacing w:after="0" w:line="285"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in its sole discretion, to issue and sell Placement Shares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Cantor Fitzgerald &amp; Co. (the “Designated Agent”) by email notice (if receipt of such correspondence is actually acknowledged by any of the individuals to whom the notice is sent, other than via auto reply, or by other method mutually agreed to in writing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the form of which is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Placement Notice shall originate from any of the individuals from the Company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(with a copy to each of the other individuals from the Company listed on such schedule), and shall be addressed to each of the individuals from the Designated Agent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may be amended from time to time. The Placement Notice shall be effective immediately upon receipt by the Agents unless and until (i) the Designated Agent declines to accept the terms contained therein for any reason, in its sole discretion, (ii) the entire amount of the Placement Shares, either the Maximum Amount under this Agreement, under the relevant Prospectus Supplement or pursuant to a Placement Notice thereunder have been sold, (iii) the Company suspends or terminates the Placement Notice, which suspension or termination rights may be exercised by the Company in its sole discretion, or (iv) this Agreement has been terminated under the provisions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Arial" w:cs="Arial" w:eastAsia="Arial" w:hAnsi="Arial"/>
          <w:sz w:val="16"/>
          <w:szCs w:val="16"/>
          <w:u w:val="single" w:color="auto"/>
          <w:color w:val="auto"/>
        </w:rPr>
        <w:t>Schedule 2</w:t>
      </w:r>
      <w:r>
        <w:rPr>
          <w:rFonts w:ascii="Arial" w:cs="Arial" w:eastAsia="Arial" w:hAnsi="Arial"/>
          <w:sz w:val="16"/>
          <w:szCs w:val="16"/>
          <w:color w:val="auto"/>
        </w:rPr>
        <w:t>.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left="660" w:hanging="652"/>
        <w:spacing w:after="0" w:line="285"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Sale of Placement Shares by the Designated Agent</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5(a)</w:t>
      </w:r>
      <w:r>
        <w:rPr>
          <w:rFonts w:ascii="Arial" w:cs="Arial" w:eastAsia="Arial" w:hAnsi="Arial"/>
          <w:sz w:val="16"/>
          <w:szCs w:val="16"/>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Stock Market LLC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to sell the Placement Shares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with respect to such sales, and the Net Proceeds (as defined below) payable to the Company, with an itemization of the deductions made by the Designated Agent (as set forth in </w:t>
      </w:r>
      <w:r>
        <w:rPr>
          <w:rFonts w:ascii="Arial" w:cs="Arial" w:eastAsia="Arial" w:hAnsi="Arial"/>
          <w:sz w:val="16"/>
          <w:szCs w:val="16"/>
          <w:u w:val="single" w:color="auto"/>
          <w:color w:val="auto"/>
        </w:rPr>
        <w:t>Section 5(b)</w:t>
      </w:r>
      <w:r>
        <w:rPr>
          <w:rFonts w:ascii="Arial" w:cs="Arial" w:eastAsia="Arial" w:hAnsi="Arial"/>
          <w:sz w:val="16"/>
          <w:szCs w:val="16"/>
          <w:color w:val="auto"/>
        </w:rPr>
        <w:t>) from the gross proceeds that it receives from such sales. Subject to the terms of the Placement Notice, the Designated Agent may sell Placement Shares by any method permitted by law deemed to be an “at the market offering” as defined in Rule 415(a)(4) of the Securities Act Regulations, including sales made directly on or through the Exchange or any other existing trading market for the Common Stock, in negotiated transactions at market prices prevailing at the time of sale or at prices related to such prevailing market prices and/or any other method permitted by law. Notwithstanding the foregoing, to the Designated Agent reserves all rights to engage in bona fide transactions executed by the Agents on behalf and at the direction of any of their third party customer accounts. In the event the Company engages the Agents for a sale of Common Stock in a Placement that would constitute a “distribution,” within the meaning of Rule 100 of Regulation M under the Exchange Act or a “block” within the meaning of Rule 10b-18(a)(5) under the Exchange Act, the Company will provide the Agents, at the Agent’s reasonable request and upon reasonable advance notice to the Company, on or prior to the Settlement Date (as defined below) the opinions of counsel, accountants’ letters and officers’ certificates pursuant to Section 7 hereof, each dated the Settlement Date, and such other documents and information as the Agents shall reasonably request, and the Company and the Agents will agree to compensation that is customary for the Agents with respect to such transaction. “</w:t>
      </w:r>
      <w:r>
        <w:rPr>
          <w:rFonts w:ascii="Arial" w:cs="Arial" w:eastAsia="Arial" w:hAnsi="Arial"/>
          <w:sz w:val="16"/>
          <w:szCs w:val="16"/>
          <w:b w:val="1"/>
          <w:bCs w:val="1"/>
          <w:u w:val="single" w:color="auto"/>
          <w:color w:val="auto"/>
        </w:rPr>
        <w:t>Trading Day</w:t>
      </w:r>
      <w:r>
        <w:rPr>
          <w:rFonts w:ascii="Arial" w:cs="Arial" w:eastAsia="Arial" w:hAnsi="Arial"/>
          <w:sz w:val="16"/>
          <w:szCs w:val="16"/>
          <w:color w:val="auto"/>
        </w:rPr>
        <w:t>” means any day on which Common Stock is traded on the Exchange.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left="660" w:hanging="652"/>
        <w:spacing w:after="0" w:line="253"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 xml:space="preserve">. The Company or the Designated Agent may, upon notice to the other party in writing (including by email correspondence to each of the individuals of the other party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18"/>
          <w:szCs w:val="18"/>
          <w:u w:val="single" w:color="auto"/>
          <w:color w:val="auto"/>
        </w:rPr>
        <w:t>Schedule 3</w:t>
      </w:r>
      <w:r>
        <w:rPr>
          <w:rFonts w:ascii="Arial" w:cs="Arial" w:eastAsia="Arial" w:hAnsi="Arial"/>
          <w:sz w:val="18"/>
          <w:szCs w:val="18"/>
          <w:color w:val="auto"/>
        </w:rPr>
        <w:t>), suspend any sale of Placement Shares (a “</w:t>
      </w:r>
      <w:r>
        <w:rPr>
          <w:rFonts w:ascii="Arial" w:cs="Arial" w:eastAsia="Arial" w:hAnsi="Arial"/>
          <w:sz w:val="18"/>
          <w:szCs w:val="18"/>
          <w:b w:val="1"/>
          <w:bCs w:val="1"/>
          <w:u w:val="single" w:color="auto"/>
          <w:color w:val="auto"/>
        </w:rPr>
        <w:t>Suspension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Arial" w:cs="Arial" w:eastAsia="Arial" w:hAnsi="Arial"/>
          <w:sz w:val="18"/>
          <w:szCs w:val="18"/>
          <w:u w:val="single" w:color="auto"/>
          <w:color w:val="auto"/>
        </w:rPr>
        <w:t>Sections 7(l)</w:t>
      </w:r>
      <w:r>
        <w:rPr>
          <w:rFonts w:ascii="Arial" w:cs="Arial" w:eastAsia="Arial" w:hAnsi="Arial"/>
          <w:sz w:val="18"/>
          <w:szCs w:val="18"/>
          <w:color w:val="auto"/>
        </w:rPr>
        <w:t xml:space="preserve">, </w:t>
      </w:r>
      <w:r>
        <w:rPr>
          <w:rFonts w:ascii="Arial" w:cs="Arial" w:eastAsia="Arial" w:hAnsi="Arial"/>
          <w:sz w:val="18"/>
          <w:szCs w:val="18"/>
          <w:u w:val="single" w:color="auto"/>
          <w:color w:val="auto"/>
        </w:rPr>
        <w:t>7(m)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7(n)</w:t>
      </w:r>
      <w:r>
        <w:rPr>
          <w:rFonts w:ascii="Arial" w:cs="Arial" w:eastAsia="Arial" w:hAnsi="Arial"/>
          <w:sz w:val="18"/>
          <w:szCs w:val="18"/>
          <w:color w:val="auto"/>
        </w:rPr>
        <w:t xml:space="preserve"> with respect to the delivery of certificates, opinions, or comfort letters to the Agents, shall be waived. Each of the parties agrees that no such notice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effective against any other party unless it is made to one of the individuals named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 as such Schedule may be amended from time to time.</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Sale and Delivery to the Designated Agent; 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Sale of Placement Shares</w:t>
      </w:r>
      <w:r>
        <w:rPr>
          <w:rFonts w:ascii="Arial" w:cs="Arial" w:eastAsia="Arial" w:hAnsi="Arial"/>
          <w:sz w:val="17"/>
          <w:szCs w:val="17"/>
          <w:i w:val="1"/>
          <w:iCs w:val="1"/>
          <w:color w:val="auto"/>
        </w:rPr>
        <w:t>.</w:t>
      </w:r>
      <w:r>
        <w:rPr>
          <w:rFonts w:ascii="Arial" w:cs="Arial" w:eastAsia="Arial" w:hAnsi="Arial"/>
          <w:sz w:val="17"/>
          <w:szCs w:val="17"/>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regulations and the rules of the Exchange to sell such Placement Shares up to the amount specified in,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regulations and the rules of the Exchange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78" w:lineRule="exact"/>
        <w:rPr>
          <w:rFonts w:ascii="Arial" w:cs="Arial" w:eastAsia="Arial" w:hAnsi="Arial"/>
          <w:sz w:val="17"/>
          <w:szCs w:val="17"/>
          <w:color w:val="auto"/>
        </w:rPr>
      </w:pPr>
    </w:p>
    <w:p>
      <w:pPr>
        <w:jc w:val="both"/>
        <w:ind w:left="980" w:hanging="324"/>
        <w:spacing w:after="0" w:line="271" w:lineRule="auto"/>
        <w:tabs>
          <w:tab w:leader="none" w:pos="980"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Settlement of Placement Shares</w:t>
      </w:r>
      <w:r>
        <w:rPr>
          <w:rFonts w:ascii="Arial" w:cs="Arial" w:eastAsia="Arial" w:hAnsi="Arial"/>
          <w:sz w:val="17"/>
          <w:szCs w:val="17"/>
          <w:i w:val="1"/>
          <w:iCs w:val="1"/>
          <w:color w:val="auto"/>
        </w:rPr>
        <w:t>.</w:t>
      </w:r>
      <w:r>
        <w:rPr>
          <w:rFonts w:ascii="Arial" w:cs="Arial" w:eastAsia="Arial" w:hAnsi="Arial"/>
          <w:sz w:val="17"/>
          <w:szCs w:val="17"/>
          <w:color w:val="auto"/>
        </w:rPr>
        <w:t xml:space="preserve"> 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Arial" w:cs="Arial" w:eastAsia="Arial" w:hAnsi="Arial"/>
          <w:sz w:val="17"/>
          <w:szCs w:val="17"/>
          <w:b w:val="1"/>
          <w:bCs w:val="1"/>
          <w:u w:val="single" w:color="auto"/>
          <w:color w:val="auto"/>
        </w:rPr>
        <w:t>Settlement Date</w:t>
      </w:r>
      <w:r>
        <w:rPr>
          <w:rFonts w:ascii="Arial" w:cs="Arial" w:eastAsia="Arial" w:hAnsi="Arial"/>
          <w:sz w:val="17"/>
          <w:szCs w:val="17"/>
          <w:color w:val="auto"/>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Arial" w:cs="Arial" w:eastAsia="Arial" w:hAnsi="Arial"/>
          <w:sz w:val="17"/>
          <w:szCs w:val="17"/>
          <w:b w:val="1"/>
          <w:bCs w:val="1"/>
          <w:u w:val="single" w:color="auto"/>
          <w:color w:val="auto"/>
        </w:rPr>
        <w:t>Net Proceeds</w:t>
      </w:r>
      <w:r>
        <w:rPr>
          <w:rFonts w:ascii="Arial" w:cs="Arial" w:eastAsia="Arial" w:hAnsi="Arial"/>
          <w:sz w:val="17"/>
          <w:szCs w:val="17"/>
          <w:color w:val="auto"/>
        </w:rPr>
        <w:t xml:space="preserve">”) will be equal to the aggregate sales price received by the Designated Agent, after deduction for (i) the Designated Agent’s commission, discount or other compensation for such sales payable by the Company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and (ii) any transaction fees imposed by any Governmental Authority in respect of such sales.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left="324" w:hanging="324"/>
        <w:spacing w:after="0" w:line="287" w:lineRule="auto"/>
        <w:tabs>
          <w:tab w:leader="none" w:pos="324"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then the Company agrees that in addition to and in no way limiting the rights and obligations set forth in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hereto, it will (i) hold the Designated Agent harmless against any loss, claim, damage, or reasonable, documented expense (including reasonable and documented legal fees and expenses), as incurred, arising out of or in connection with such default by the Company or its transfer agent (if applicable) and (ii) pay to the Designated Agent (without duplication) any commission, discount, or other compensation to which it would otherwise have been entitled absent such default.</w:t>
      </w:r>
    </w:p>
    <w:p>
      <w:pPr>
        <w:spacing w:after="0" w:line="167" w:lineRule="exact"/>
        <w:rPr>
          <w:rFonts w:ascii="Arial" w:cs="Arial" w:eastAsia="Arial" w:hAnsi="Arial"/>
          <w:sz w:val="16"/>
          <w:szCs w:val="16"/>
          <w:color w:val="auto"/>
        </w:rPr>
      </w:pPr>
    </w:p>
    <w:p>
      <w:pPr>
        <w:jc w:val="both"/>
        <w:ind w:left="324" w:hanging="324"/>
        <w:spacing w:after="0" w:line="279" w:lineRule="auto"/>
        <w:tabs>
          <w:tab w:leader="none" w:pos="324"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Denominations; Registration</w:t>
      </w:r>
      <w:r>
        <w:rPr>
          <w:rFonts w:ascii="Arial" w:cs="Arial" w:eastAsia="Arial" w:hAnsi="Arial"/>
          <w:sz w:val="17"/>
          <w:szCs w:val="17"/>
          <w:i w:val="1"/>
          <w:iCs w:val="1"/>
          <w:color w:val="auto"/>
        </w:rPr>
        <w:t>.</w:t>
      </w:r>
      <w:r>
        <w:rPr>
          <w:rFonts w:ascii="Arial" w:cs="Arial" w:eastAsia="Arial" w:hAnsi="Arial"/>
          <w:sz w:val="17"/>
          <w:szCs w:val="17"/>
          <w:color w:val="auto"/>
        </w:rPr>
        <w:t xml:space="preserve"> Certificates for the Placement Shares, if any, shall be in such denominations and registered in such names as the Designated Agent may request in writing at least two full Business Days (as defined below) before the Settlement Date. The certificates for the Placement Shares, if any, will be made available by the Company for examination and packaging by the Designated Agent in The City of New York not later than noon (New York time) on the Business Day prior to the Settlement Date.</w:t>
      </w:r>
    </w:p>
    <w:p>
      <w:pPr>
        <w:spacing w:after="0" w:line="171" w:lineRule="exact"/>
        <w:rPr>
          <w:rFonts w:ascii="Arial" w:cs="Arial" w:eastAsia="Arial" w:hAnsi="Arial"/>
          <w:sz w:val="17"/>
          <w:szCs w:val="17"/>
          <w:color w:val="auto"/>
        </w:rPr>
      </w:pPr>
    </w:p>
    <w:p>
      <w:pPr>
        <w:jc w:val="both"/>
        <w:ind w:left="324" w:hanging="324"/>
        <w:spacing w:after="0" w:line="270" w:lineRule="auto"/>
        <w:tabs>
          <w:tab w:leader="none" w:pos="324"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Limitations on Offering Size</w:t>
      </w:r>
      <w:r>
        <w:rPr>
          <w:rFonts w:ascii="Arial" w:cs="Arial" w:eastAsia="Arial" w:hAnsi="Arial"/>
          <w:sz w:val="17"/>
          <w:szCs w:val="17"/>
          <w:i w:val="1"/>
          <w:iCs w:val="1"/>
          <w:color w:val="auto"/>
        </w:rPr>
        <w:t>.</w:t>
      </w:r>
      <w:r>
        <w:rPr>
          <w:rFonts w:ascii="Arial" w:cs="Arial" w:eastAsia="Arial" w:hAnsi="Arial"/>
          <w:sz w:val="17"/>
          <w:szCs w:val="17"/>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Agents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39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6" w:name="page107"/>
    <w:bookmarkEnd w:id="106"/>
    <w:p>
      <w:pPr>
        <w:jc w:val="both"/>
        <w:ind w:left="660" w:hanging="652"/>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of the Agents that as of the date of this Agreement and as of each Applicable Time (as defined below), unless such representation, warranty or agreement specifies a different date or time:</w:t>
      </w:r>
    </w:p>
    <w:p>
      <w:pPr>
        <w:spacing w:after="0" w:line="183" w:lineRule="exact"/>
        <w:rPr>
          <w:rFonts w:ascii="Arial" w:cs="Arial" w:eastAsia="Arial" w:hAnsi="Arial"/>
          <w:sz w:val="18"/>
          <w:szCs w:val="18"/>
          <w:color w:val="auto"/>
        </w:rPr>
      </w:pPr>
    </w:p>
    <w:p>
      <w:pPr>
        <w:jc w:val="both"/>
        <w:ind w:left="980" w:hanging="324"/>
        <w:spacing w:after="0" w:line="285" w:lineRule="auto"/>
        <w:tabs>
          <w:tab w:leader="none" w:pos="980"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and the transactions contemplated by this Agreement meet the requirements for and comply with the applicable conditions set forth in Form S-3 (including General Instructions I.A and I.B) under the Securities Act. The Registration Statement will be filed with the Commission and will be declared effective by the Commission under the Securities Act prior to the issuance of any Placement Notices by the Company. The Prospectus Supplement will name the Agents, each as the agent in the section entitled “Plan of Distribution.” The Company has not received, and has no notice of, any order of the Commission preventing or suspending the use of the Registration Statement, or threatening or instituting proceedings for such purposes or pursuant to Section 8A under the Securities Act.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Agents have consented. The Common Stock is registered pursuant to Section 12(b) of the Exchange Act and is currently listed on the Exchange under the trading symbol “SOUN.”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6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Conformity with EDGAR Filing</w:t>
      </w:r>
      <w:r>
        <w:rPr>
          <w:rFonts w:ascii="Arial" w:cs="Arial" w:eastAsia="Arial" w:hAnsi="Arial"/>
          <w:sz w:val="18"/>
          <w:szCs w:val="18"/>
          <w:color w:val="auto"/>
        </w:rPr>
        <w:t>. The Prospectus delivered to Agents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83" w:lineRule="exact"/>
        <w:rPr>
          <w:rFonts w:ascii="Arial" w:cs="Arial" w:eastAsia="Arial" w:hAnsi="Arial"/>
          <w:sz w:val="18"/>
          <w:szCs w:val="18"/>
          <w:color w:val="auto"/>
        </w:rPr>
      </w:pPr>
    </w:p>
    <w:p>
      <w:pPr>
        <w:jc w:val="both"/>
        <w:ind w:left="980" w:hanging="324"/>
        <w:spacing w:after="0" w:line="288" w:lineRule="auto"/>
        <w:tabs>
          <w:tab w:leader="none" w:pos="980"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Organization, Good Standing and Power</w:t>
      </w:r>
      <w:r>
        <w:rPr>
          <w:rFonts w:ascii="Arial" w:cs="Arial" w:eastAsia="Arial" w:hAnsi="Arial"/>
          <w:sz w:val="16"/>
          <w:szCs w:val="16"/>
          <w:color w:val="auto"/>
        </w:rPr>
        <w:t>. The Company and each of its Subsidiaries are duly organized, validly existing as a corporation and in good standing under the laws of their respective jurisdictions of organization. The Company and each of its Subsidiaries are duly licensed or qualified as a foreign corporation (or other entity, if applicable) for transaction of business and in good standing under the laws of each other jurisdiction in which their respective ownership or lease of property or the conduct of their respective businesses requires such license or qualification, and have all entity power and authority necessary to own or hold their respective properties and to conduct their respective businesses as described in the Registration Statement, Prospectus, and Issuer Free Writing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stockholders’ equity or results of operations of the Company and the Subsidiaries taken as a whole, or prevent or materially interfere with consummation of the transactions contemplated hereby (a “</w:t>
      </w:r>
      <w:r>
        <w:rPr>
          <w:rFonts w:ascii="Arial" w:cs="Arial" w:eastAsia="Arial" w:hAnsi="Arial"/>
          <w:sz w:val="16"/>
          <w:szCs w:val="16"/>
          <w:b w:val="1"/>
          <w:bCs w:val="1"/>
          <w:u w:val="single" w:color="auto"/>
          <w:color w:val="auto"/>
        </w:rPr>
        <w:t>Material Adverse Effect</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both"/>
        <w:ind w:left="324" w:hanging="324"/>
        <w:spacing w:after="0" w:line="272" w:lineRule="auto"/>
        <w:tabs>
          <w:tab w:leader="none" w:pos="324"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The subsidiaries set forth on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(collectively, the “</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are the Company’s only significant subsidiaries (as such term is defined in Rule 1-02 of Regulation S-X promulgated by the Commission). Except as set forth in the Registration Statement, Prospectus, and Issuer Free Writing Prospectuses, if any,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75" w:lineRule="exact"/>
        <w:rPr>
          <w:rFonts w:ascii="Arial" w:cs="Arial" w:eastAsia="Arial" w:hAnsi="Arial"/>
          <w:sz w:val="17"/>
          <w:szCs w:val="17"/>
          <w:color w:val="auto"/>
        </w:rPr>
      </w:pPr>
    </w:p>
    <w:p>
      <w:pPr>
        <w:jc w:val="both"/>
        <w:ind w:left="324" w:hanging="324"/>
        <w:spacing w:after="0" w:line="287" w:lineRule="auto"/>
        <w:tabs>
          <w:tab w:leader="none" w:pos="324"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perform its obligations under the Agreement and to issue the Common Stock in accordance with the terms hereof. Except for approvals of the Company’s board of directors or a committee thereof as may be required in connection with any issuance and sale of Common Stock to the Agents hereunder, the execution, delivery and performance by the Company of the Agreement and the consummation by it of the transactions contemplated hereby have been duly and validly authorized by all necessary corporate action, and no further consent or authorization of the Company, its board of directors or its stockholders is required. The Agreement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 and (ii) the indemnification and contribution provisions of Section 10 hereof as may be limited by federal or state securities laws and public policy considerations in respect thereof.</w:t>
      </w:r>
    </w:p>
    <w:p>
      <w:pPr>
        <w:spacing w:after="0" w:line="171" w:lineRule="exact"/>
        <w:rPr>
          <w:rFonts w:ascii="Arial" w:cs="Arial" w:eastAsia="Arial" w:hAnsi="Arial"/>
          <w:sz w:val="16"/>
          <w:szCs w:val="16"/>
          <w:color w:val="auto"/>
        </w:rPr>
      </w:pPr>
    </w:p>
    <w:p>
      <w:pPr>
        <w:jc w:val="both"/>
        <w:ind w:left="324" w:hanging="324"/>
        <w:spacing w:after="0" w:line="285" w:lineRule="auto"/>
        <w:tabs>
          <w:tab w:leader="none" w:pos="324"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authorized capital stock of the Company and the shares thereof issued and outstanding were as set forth in the Registration Statement, Prospectus, and Issuer Free Writing Prospectuses, if any, as of the dates reflected therein. All of the outstanding shares of Common Stock have been duly authorized and validly issued and are fully paid and non-assessable. Except as set forth in the Registration Statement, Prospectus, and Issuer Free Writing Prospectuses, if any, and this Agreement, there are no agreements or arrangements under which the Company is obligated to register the sale of any securities under the Securities Act. Except as set forth in the Registration Statement, Prospectus, and Issuer Free Writing Prospectuses, if any, (i) no shares of Common Stock are entitled to preemptive rights and (ii)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 by the Company to sell restricted securities or as set forth in the Registration Statement, Prospectus, and Issuer Free Writing Prospectuses, if any, the Company is not a party to, and it has no knowledge of, any agreement restricting the voting or transfer of any shares of the capital stock of the Company. Except as set forth in the Registration Statement, Prospectus, and Issuer Free Writing Prospectuses, if any, there are no securities or instruments containing anti-dilution or similar provisions that will be triggered by this Agreement or the consummation of the transactions described herein or therein. The Company has filed with the Commission true and correct copies of the Company’s Certificate of Incorporation as in effect on the closing date (the “</w:t>
      </w:r>
      <w:r>
        <w:rPr>
          <w:rFonts w:ascii="Arial" w:cs="Arial" w:eastAsia="Arial" w:hAnsi="Arial"/>
          <w:sz w:val="16"/>
          <w:szCs w:val="16"/>
          <w:b w:val="1"/>
          <w:bCs w:val="1"/>
          <w:u w:val="single" w:color="auto"/>
          <w:color w:val="auto"/>
        </w:rPr>
        <w:t>Charter</w:t>
      </w:r>
      <w:r>
        <w:rPr>
          <w:rFonts w:ascii="Arial" w:cs="Arial" w:eastAsia="Arial" w:hAnsi="Arial"/>
          <w:sz w:val="16"/>
          <w:szCs w:val="16"/>
          <w:color w:val="auto"/>
        </w:rPr>
        <w:t>”), and the Company’s Amended and Restated By-laws as in effect on the closing date (the “</w:t>
      </w:r>
      <w:r>
        <w:rPr>
          <w:rFonts w:ascii="Arial" w:cs="Arial" w:eastAsia="Arial" w:hAnsi="Arial"/>
          <w:sz w:val="16"/>
          <w:szCs w:val="16"/>
          <w:b w:val="1"/>
          <w:bCs w:val="1"/>
          <w:u w:val="single" w:color="auto"/>
          <w:color w:val="auto"/>
        </w:rPr>
        <w:t>Bylaws</w:t>
      </w:r>
      <w:r>
        <w:rPr>
          <w:rFonts w:ascii="Arial" w:cs="Arial" w:eastAsia="Arial" w:hAnsi="Arial"/>
          <w:sz w:val="16"/>
          <w:szCs w:val="16"/>
          <w:color w:val="auto"/>
        </w:rPr>
        <w:t>”).</w:t>
      </w:r>
    </w:p>
    <w:p>
      <w:pPr>
        <w:spacing w:after="0" w:line="39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8" w:name="page109"/>
    <w:bookmarkEnd w:id="108"/>
    <w:p>
      <w:pPr>
        <w:jc w:val="both"/>
        <w:ind w:left="324" w:hanging="324"/>
        <w:spacing w:after="0" w:line="279" w:lineRule="auto"/>
        <w:tabs>
          <w:tab w:leader="none" w:pos="324"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Issuance of Common Stock</w:t>
      </w:r>
      <w:r>
        <w:rPr>
          <w:rFonts w:ascii="Arial" w:cs="Arial" w:eastAsia="Arial" w:hAnsi="Arial"/>
          <w:sz w:val="17"/>
          <w:szCs w:val="17"/>
          <w:color w:val="auto"/>
        </w:rPr>
        <w:t>. The Placement Shares, when issued and delivered pursuant to the terms approved by the board of directors of the Company or a duly authorized committee thereof, or a duly authorized executive committee, against payment therefor as provided herein, will be validly issued and outstanding, fully paid and non-assessable and free from all liens, charges, taxes, security interests, encumbrances, rights of first refusal, preemptive or similar rights and other encumbrances with respect to the issue thereof.</w:t>
      </w:r>
    </w:p>
    <w:p>
      <w:pPr>
        <w:spacing w:after="0" w:line="171" w:lineRule="exact"/>
        <w:rPr>
          <w:rFonts w:ascii="Arial" w:cs="Arial" w:eastAsia="Arial" w:hAnsi="Arial"/>
          <w:sz w:val="17"/>
          <w:szCs w:val="17"/>
          <w:color w:val="auto"/>
        </w:rPr>
      </w:pPr>
    </w:p>
    <w:p>
      <w:pPr>
        <w:jc w:val="both"/>
        <w:ind w:left="324" w:hanging="324"/>
        <w:spacing w:after="0" w:line="255" w:lineRule="auto"/>
        <w:tabs>
          <w:tab w:leader="none" w:pos="32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Misstatement or Omission in an Issuer Free Writing Prospectus</w:t>
      </w:r>
      <w:r>
        <w:rPr>
          <w:rFonts w:ascii="Arial" w:cs="Arial" w:eastAsia="Arial" w:hAnsi="Arial"/>
          <w:sz w:val="18"/>
          <w:szCs w:val="18"/>
          <w:color w:val="auto"/>
        </w:rPr>
        <w:t>. Each Issuer Free Writing Prospectus, as of its issue date and as of each Applicable Time (as defined in Section 23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Agents specifically for use therein.</w:t>
      </w:r>
    </w:p>
    <w:p>
      <w:pPr>
        <w:spacing w:after="0" w:line="192" w:lineRule="exact"/>
        <w:rPr>
          <w:rFonts w:ascii="Arial" w:cs="Arial" w:eastAsia="Arial" w:hAnsi="Arial"/>
          <w:sz w:val="18"/>
          <w:szCs w:val="18"/>
          <w:color w:val="auto"/>
        </w:rPr>
      </w:pPr>
    </w:p>
    <w:p>
      <w:pPr>
        <w:jc w:val="both"/>
        <w:ind w:left="324" w:hanging="324"/>
        <w:spacing w:after="0" w:line="285" w:lineRule="auto"/>
        <w:tabs>
          <w:tab w:leader="none" w:pos="324"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The execution, delivery and performance by the Company of the Agreement and the consummation by the Company of the transactions contemplated hereby does not and shall not (i) result in a violation of any provision of the Company’s Charter or Bylaws, (ii) conflict with or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Company or any of its Subsidiaries is a party or is bound, (iii) result in a violation of any federal, state, local or foreign statute, rule, regulation, order, judgment or decree applicable to the Company or any of its Subsidiaries (including federal and state securities laws and regulations and the rules and regulations of the Exchange), except, in the case of clauses (ii) and (iii), for such conflicts, defaults, terminations, amendments, acceleration, cancellations, liens, charges, encumbrances and violations as would not, individually or in the aggregate, reasonably be expected to result in a Material Adverse Effect or that have been waived. Except as specifically contemplated by this Agreement and as required under the Securities Act, any applicable state securities laws and applicable rules of the Exchange, the Company is not required under any federal, state or local rule or regulation to obtain any consent, authorization or order of, or make any filing or registration with, any court or governmental agency (including, without limitation, the Exchange) in order for it to execute, deliver or perform any of its obligations under the Agreement, or to issue the Common Stock to the Agents in accordance with the terms hereof and thereof (other than such consents, authorizations, orders, filings or registrations as have been obtained or made prior to the date hereof provided, however, that, for purposes of the representation made in this sentence, the Company is assuming and relying upon the accuracy of the representations and warranties of the Agents, if any, in this Agreement and the compliance by it with its covenants and agreements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9" w:name="page110"/>
    <w:bookmarkEnd w:id="109"/>
    <w:p>
      <w:pPr>
        <w:ind w:left="324" w:hanging="324"/>
        <w:spacing w:after="0" w:line="277" w:lineRule="auto"/>
        <w:tabs>
          <w:tab w:leader="none" w:pos="32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Misstatement or Omission; Financial Statements; Disclosure Controls and Procedures; Internal Controls Over Financial Reporting; Accountants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4" w:hanging="320"/>
        <w:spacing w:after="0" w:line="286" w:lineRule="auto"/>
        <w:tabs>
          <w:tab w:leader="none" w:pos="644"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Agents specifically for use in the preparation thereof.</w:t>
      </w:r>
    </w:p>
    <w:p>
      <w:pPr>
        <w:spacing w:after="0" w:line="173" w:lineRule="exact"/>
        <w:rPr>
          <w:rFonts w:ascii="Arial" w:cs="Arial" w:eastAsia="Arial" w:hAnsi="Arial"/>
          <w:sz w:val="16"/>
          <w:szCs w:val="16"/>
          <w:color w:val="auto"/>
        </w:rPr>
      </w:pPr>
    </w:p>
    <w:p>
      <w:pPr>
        <w:jc w:val="both"/>
        <w:ind w:left="644" w:hanging="320"/>
        <w:spacing w:after="0" w:line="283" w:lineRule="auto"/>
        <w:tabs>
          <w:tab w:leader="none" w:pos="644"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included or incorporated by reference in the Registration Statement, Prospectus, and Issuer Free Writing Prospectuses, if any, together with the related notes and schedules, present fairly, in all material respects, the consolidated financial position of the Company and its then consolidated subsidiaries as of the dates indicated, and the consolidated results of operations, cash flows and changes in stockholders’ equity of the Company and its then consolidated subsidiaries for the periods specified (subject, in the case of unaudited statements, to normal year 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applied on a consistent basis (except (i) for such adjustments to accounting standards and practices as are noted therein and (ii) in the case of unaudited interim financial statements, to the extent that they may not include footnotes or may be condensed or summary statements) during the periods involved. The summary consolidated financial data included or incorporated by reference in the Registration Statement, Prospectus, and Issuer Free Writing Prospectuses, if any, present fairly the information shown therein and have been compiled on a basis consistent with that of the financial statements included or incorporated by reference in the Registration Statement, Prospectus, and Issuer Free Writing Prospectuses, if any, as of and at the dates indicated. The pro forma condensed combined financial statements and the pro forma combined financial statements and any other pro forma financial statements or data included or incorporated by reference in the Registration Statement, Prospectus, and Issuer Free Writing Prospectuses, if any, comply with the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Prospectus, and Issuer Free Writing Prospectuses, if any, that are not included or incorporated by reference as required. The Company and the Subsidiaries do not have any material liabilities or obligations, direct or contingent (including any off-balance sheet obligations or any “variable interest entities” as that term is used in Accounting Standards Codification Paragraph 810-10-25-20), not described in Registration Statement, Prospectus, and Issuer Free Writing Prospectuses, if any, which are required to be described in the Registration Statement, Prospectus, and Issuer Free Writing Prospectuses, if any. All disclosures contained or incorporated by reference in the Registration Statement, Prospectus, and Issuer Free Writing Prospectuses, if any, regarding “non-GAAP financial measures” (as such term is defined by the rules and regulations of the Commission), if any, comply in all material respects with Regulation G of the Exchange Act and Item 10 of Regulation S-K under the Securities Act, to the extent applicable. The interactive data in eXtensible Business Reporting Language included in the Registration Statement, Prospectus, and Issuer Free Writing Prospectuses, if any, fairly presents the information called for in all material respects and has been prepared in accordance with the Commission’s rules and guidelines applicable thereto.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0" w:name="page111"/>
    <w:bookmarkEnd w:id="110"/>
    <w:p>
      <w:pPr>
        <w:jc w:val="both"/>
        <w:ind w:left="320" w:hanging="320"/>
        <w:spacing w:after="0" w:line="256" w:lineRule="auto"/>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Armanino LLP, (“</w:t>
      </w:r>
      <w:r>
        <w:rPr>
          <w:rFonts w:ascii="Arial" w:cs="Arial" w:eastAsia="Arial" w:hAnsi="Arial"/>
          <w:sz w:val="18"/>
          <w:szCs w:val="18"/>
          <w:b w:val="1"/>
          <w:bCs w:val="1"/>
          <w:u w:val="single" w:color="auto"/>
          <w:color w:val="auto"/>
        </w:rPr>
        <w:t>Armanino</w:t>
      </w:r>
      <w:r>
        <w:rPr>
          <w:rFonts w:ascii="Arial" w:cs="Arial" w:eastAsia="Arial" w:hAnsi="Arial"/>
          <w:sz w:val="18"/>
          <w:szCs w:val="18"/>
          <w:color w:val="auto"/>
        </w:rPr>
        <w:t>”)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public accounting firm within the meaning of the Securities Act and the Public Company Accounting Oversight Board (United States). To the Company’s knowledge, Armanino is not in violation of the auditor independence requirements of the Sarbanes-Oxley Act of 2002 (the “</w:t>
      </w: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with respect to the Company.</w:t>
      </w:r>
    </w:p>
    <w:p>
      <w:pPr>
        <w:spacing w:after="0" w:line="191" w:lineRule="exact"/>
        <w:rPr>
          <w:rFonts w:ascii="Arial" w:cs="Arial" w:eastAsia="Arial" w:hAnsi="Arial"/>
          <w:sz w:val="18"/>
          <w:szCs w:val="18"/>
          <w:color w:val="auto"/>
        </w:rPr>
      </w:pPr>
    </w:p>
    <w:p>
      <w:pPr>
        <w:jc w:val="both"/>
        <w:ind w:left="320" w:hanging="320"/>
        <w:spacing w:after="0" w:line="272" w:lineRule="auto"/>
        <w:tabs>
          <w:tab w:leader="none" w:pos="3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39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11" w:name="page112"/>
    <w:bookmarkEnd w:id="111"/>
    <w:p>
      <w:pPr>
        <w:jc w:val="both"/>
        <w:ind w:left="324" w:hanging="324"/>
        <w:spacing w:after="0" w:line="287" w:lineRule="auto"/>
        <w:tabs>
          <w:tab w:leader="none" w:pos="324"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 Material Adverse Effect; Absence of Certain Changes</w:t>
      </w:r>
      <w:r>
        <w:rPr>
          <w:rFonts w:ascii="Arial" w:cs="Arial" w:eastAsia="Arial" w:hAnsi="Arial"/>
          <w:sz w:val="16"/>
          <w:szCs w:val="16"/>
          <w:color w:val="auto"/>
        </w:rPr>
        <w:t>. Since the date of the most recent financial statements of the Company included or incorporated by reference in the Registration Statement, Prospectus, and Issuer Free Writing Prospectuses, if any, there has not been (i) any Material Adverse Effect or the occurrence of any development that the Company reasonably expects will result in a Material Adverse Effect,</w:t>
      </w:r>
    </w:p>
    <w:p>
      <w:pPr>
        <w:spacing w:after="0" w:line="2" w:lineRule="exact"/>
        <w:rPr>
          <w:rFonts w:ascii="Arial" w:cs="Arial" w:eastAsia="Arial" w:hAnsi="Arial"/>
          <w:sz w:val="16"/>
          <w:szCs w:val="16"/>
          <w:color w:val="auto"/>
        </w:rPr>
      </w:pPr>
    </w:p>
    <w:p>
      <w:pPr>
        <w:jc w:val="both"/>
        <w:ind w:left="324"/>
        <w:spacing w:after="0" w:line="285" w:lineRule="auto"/>
        <w:tabs>
          <w:tab w:leader="none" w:pos="624"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(other than (A) the grant of additional options under the Company’s existing stock option plans, (B) changes in the number of outstanding Common Stock of the Company due to the issuance of shares upon the exercise or conversion of securities exercisable for, or convertible into, Common Stock outstanding on the date hereof, (C) as a result of the issuance of Placement Shares, (D) any repurchases of capital stock of the Company, or (E) as described in the Prospectus or an Incorporated Document, a proxy statement filed on Schedule 14A or a Registration Statement on Form S-4, or (F) otherwise publicly announced)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Prospectus, and Issuer Free Writing Prospectuses, if any (including any document deemed incorporated by reference therein); and during such time, the Company and its Subsidiaries have conducted their respective businesses in the ordinary course of business consistent with past practice in all material respects.</w:t>
      </w:r>
    </w:p>
    <w:p>
      <w:pPr>
        <w:spacing w:after="0" w:line="172" w:lineRule="exact"/>
        <w:rPr>
          <w:sz w:val="20"/>
          <w:szCs w:val="20"/>
          <w:color w:val="auto"/>
        </w:rPr>
      </w:pPr>
    </w:p>
    <w:p>
      <w:pPr>
        <w:jc w:val="both"/>
        <w:ind w:left="324"/>
        <w:spacing w:after="0" w:line="269" w:lineRule="auto"/>
        <w:rPr>
          <w:sz w:val="20"/>
          <w:szCs w:val="20"/>
          <w:color w:val="auto"/>
        </w:rPr>
      </w:pPr>
      <w:r>
        <w:rPr>
          <w:rFonts w:ascii="Arial" w:cs="Arial" w:eastAsia="Arial" w:hAnsi="Arial"/>
          <w:sz w:val="17"/>
          <w:szCs w:val="17"/>
          <w:color w:val="auto"/>
        </w:rPr>
        <w:t>Market Capitalization. At the time the Registration Statement will be originally declared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“Non-Affiliate Shares”), was equal to or greater than $75.0 million (calculated by multiplying (x) the highest price at which the common equity of the Company closed on the Exchange within 60 days of the date of this Agreement times (y) the number of Non-Affiliate Shares).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182" w:lineRule="exact"/>
        <w:rPr>
          <w:sz w:val="20"/>
          <w:szCs w:val="20"/>
          <w:color w:val="auto"/>
        </w:rPr>
      </w:pPr>
    </w:p>
    <w:p>
      <w:pPr>
        <w:jc w:val="both"/>
        <w:ind w:left="324" w:hanging="324"/>
        <w:spacing w:after="0" w:line="269" w:lineRule="auto"/>
        <w:tabs>
          <w:tab w:leader="none" w:pos="324"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No Material Defaults.</w:t>
      </w:r>
      <w:r>
        <w:rPr>
          <w:rFonts w:ascii="Arial" w:cs="Arial" w:eastAsia="Arial" w:hAnsi="Arial"/>
          <w:sz w:val="17"/>
          <w:szCs w:val="17"/>
          <w:color w:val="auto"/>
        </w:rPr>
        <w:t xml:space="preserve"> Neither the Company nor any of its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indicating that it (i) has failed to pay any dividend or sinking fund installment on preferred shares or (ii) has defaulted on any installment on indebtedness for borrowed money or on any rental on one or more long-term leases, which defaults, individually or in the aggregate, would have a Material Adverse Effect.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2" w:name="page113"/>
    <w:bookmarkEnd w:id="112"/>
    <w:p>
      <w:pPr>
        <w:jc w:val="both"/>
        <w:ind w:left="324" w:hanging="324"/>
        <w:spacing w:after="0" w:line="287" w:lineRule="auto"/>
        <w:tabs>
          <w:tab w:leader="none" w:pos="324"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No Preferential Rights</w:t>
      </w:r>
      <w:r>
        <w:rPr>
          <w:rFonts w:ascii="Arial" w:cs="Arial" w:eastAsia="Arial" w:hAnsi="Arial"/>
          <w:sz w:val="16"/>
          <w:szCs w:val="16"/>
          <w:color w:val="auto"/>
        </w:rPr>
        <w:t>. Except as set forth in the Registration Statement and the Prospectus, (i) no person, as such term is defined in Rule 1-02 of Regulation S-X promulgated under the Securities Act or provided hereunder, (i) no Person, has the right, contractual or otherwise, to cause the Company to issue or sell to such Person any Common Stock or shares of any other capital stock or other securities of the Company,</w:t>
      </w:r>
    </w:p>
    <w:p>
      <w:pPr>
        <w:spacing w:after="0" w:line="2" w:lineRule="exact"/>
        <w:rPr>
          <w:rFonts w:ascii="Arial" w:cs="Arial" w:eastAsia="Arial" w:hAnsi="Arial"/>
          <w:sz w:val="16"/>
          <w:szCs w:val="16"/>
          <w:color w:val="auto"/>
        </w:rPr>
      </w:pPr>
    </w:p>
    <w:p>
      <w:pPr>
        <w:jc w:val="both"/>
        <w:ind w:left="324"/>
        <w:spacing w:after="0" w:line="287" w:lineRule="auto"/>
        <w:tabs>
          <w:tab w:leader="none" w:pos="612"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 Person has any preemptive rights, resale rights, rights of first refusal, rights of co-sale, or any other rights (whether pursuant to a “poison pill” provision or otherwise) to purchase any Common Stock or shares of any other capital stock or other securities of the Company (other than upon the exercise of options or warrants to purchase Common Stock or upon the exercise of options that may be granted from time to time under the Company’s stock option plan), (iii) no Person has the right to act as an underwriter or as a financial advisor to the Company in connection with the offer and sale of the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169" w:lineRule="exact"/>
        <w:rPr>
          <w:rFonts w:ascii="Arial" w:cs="Arial" w:eastAsia="Arial" w:hAnsi="Arial"/>
          <w:sz w:val="16"/>
          <w:szCs w:val="16"/>
          <w:color w:val="auto"/>
        </w:rPr>
      </w:pPr>
    </w:p>
    <w:p>
      <w:pPr>
        <w:jc w:val="both"/>
        <w:ind w:left="324" w:hanging="324"/>
        <w:spacing w:after="0" w:line="290" w:lineRule="auto"/>
        <w:tabs>
          <w:tab w:leader="none" w:pos="324"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Material Agreements</w:t>
      </w:r>
      <w:r>
        <w:rPr>
          <w:rFonts w:ascii="Arial" w:cs="Arial" w:eastAsia="Arial" w:hAnsi="Arial"/>
          <w:sz w:val="16"/>
          <w:szCs w:val="16"/>
          <w:color w:val="auto"/>
        </w:rPr>
        <w:t>. Neither the Company nor any of its Subsidiaries is in material breach of or default in any respect under the terms of any material agreement listed in the exhibit index to (i) the Company’s most recent Annual Report on Form 10-K (the “Form 10-K”), (ii) a Quarterly Report on Form 10-Q filed after the Form 10-K, or (iii) a Current Report on Form 8-K filed after the Form 10-K (a “</w:t>
      </w:r>
      <w:r>
        <w:rPr>
          <w:rFonts w:ascii="Arial" w:cs="Arial" w:eastAsia="Arial" w:hAnsi="Arial"/>
          <w:sz w:val="16"/>
          <w:szCs w:val="16"/>
          <w:b w:val="1"/>
          <w:bCs w:val="1"/>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and, to the knowledge of the Company, as of the date hereof, no other party to any Material Agreement is in material breach of</w:t>
      </w:r>
      <w:r>
        <w:rPr>
          <w:rFonts w:ascii="Arial" w:cs="Arial" w:eastAsia="Arial" w:hAnsi="Arial"/>
          <w:sz w:val="16"/>
          <w:szCs w:val="16"/>
          <w:b w:val="1"/>
          <w:bCs w:val="1"/>
          <w:color w:val="auto"/>
        </w:rPr>
        <w:t xml:space="preserve"> </w:t>
      </w:r>
      <w:r>
        <w:rPr>
          <w:rFonts w:ascii="Arial" w:cs="Arial" w:eastAsia="Arial" w:hAnsi="Arial"/>
          <w:sz w:val="16"/>
          <w:szCs w:val="16"/>
          <w:color w:val="auto"/>
        </w:rPr>
        <w:t>or default under the terms of any Material Agreement. Each Material Agreement between the Company and a third party is in full force and effect and is a valid and binding obligation of the Company or the Subsidiary of the Company that is party thereto and, to the knowledge of the Company, is a valid and binding obligation of each other party thereto. The Company has not received any written notice of the intention of any other party to a Material Agreement to terminate for default, convenience or otherwise, or not renew, any Material Agreement.</w:t>
      </w:r>
    </w:p>
    <w:p>
      <w:pPr>
        <w:spacing w:after="0" w:line="165" w:lineRule="exact"/>
        <w:rPr>
          <w:rFonts w:ascii="Arial" w:cs="Arial" w:eastAsia="Arial" w:hAnsi="Arial"/>
          <w:sz w:val="16"/>
          <w:szCs w:val="16"/>
          <w:color w:val="auto"/>
        </w:rPr>
      </w:pPr>
    </w:p>
    <w:p>
      <w:pPr>
        <w:jc w:val="both"/>
        <w:ind w:left="324" w:hanging="324"/>
        <w:spacing w:after="0" w:line="257" w:lineRule="auto"/>
        <w:tabs>
          <w:tab w:leader="none" w:pos="32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Company has not taken any steps, and does not currently expect to take any steps, to seek protection pursuant to Title 11 of the United States Code or any similar federal or state bankruptcy law or law for the relief of debtors, nor does the Company have any knowledge that its creditors intend to initiate involuntary bankruptcy, insolvency, reorganization or liquidation proceedings or other proceedings for relief under Title 11 of the United States Code or any other federal or state bankruptcy law or any law for the relief of debtors. The Company is financially solvent and is generally able to pay its debts as they become due.</w:t>
      </w:r>
    </w:p>
    <w:p>
      <w:pPr>
        <w:spacing w:after="0" w:line="200" w:lineRule="exact"/>
        <w:rPr>
          <w:sz w:val="20"/>
          <w:szCs w:val="20"/>
          <w:color w:val="auto"/>
        </w:rPr>
      </w:pPr>
    </w:p>
    <w:p>
      <w:pPr>
        <w:spacing w:after="0" w:line="20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3" w:name="page114"/>
    <w:bookmarkEnd w:id="113"/>
    <w:p>
      <w:pPr>
        <w:ind w:left="980" w:hanging="324"/>
        <w:spacing w:after="0"/>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Real Property;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7" w:lineRule="auto"/>
        <w:tabs>
          <w:tab w:leader="none" w:pos="2165" w:val="left"/>
        </w:tabs>
        <w:numPr>
          <w:ilvl w:val="2"/>
          <w:numId w:val="95"/>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Prospectus, and Issuer Free Writing Prospectuses, if any, the Company and its Subsidiaries have good and marketable title in fee simple to all material items of real property owned by them, good and valid title to all personal property described in the Registration Statement, Prospectus and Issuer Free Writing Prospectuses, if any, as being owned by them that are material to their businesses,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described in the Registration Statement, Prospectus, and Issuer Free Writing Prospectuses, if any,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Any real or personal property described in the Registration Statement, Prospectus, and Issuer Free Writing Prospectuses as being leased by the Company and any of its Subsidiaries is held by them under valid, existing and enforceable leases, except those that (1) do not materially interfere with the use made or proposed to be made of such property by the Company or any of its Subsidiaries or (2) would not be reasonably expected, individually or in the aggregate, to have a Material Adverse Effect.</w:t>
      </w:r>
    </w:p>
    <w:p>
      <w:pPr>
        <w:spacing w:after="0" w:line="167" w:lineRule="exact"/>
        <w:rPr>
          <w:rFonts w:ascii="Arial" w:cs="Arial" w:eastAsia="Arial" w:hAnsi="Arial"/>
          <w:sz w:val="16"/>
          <w:szCs w:val="16"/>
          <w:color w:val="auto"/>
        </w:rPr>
      </w:pPr>
    </w:p>
    <w:p>
      <w:pPr>
        <w:jc w:val="both"/>
        <w:ind w:firstLine="1952"/>
        <w:spacing w:after="0" w:line="284" w:lineRule="auto"/>
        <w:tabs>
          <w:tab w:leader="none" w:pos="2226" w:val="left"/>
        </w:tabs>
        <w:numPr>
          <w:ilvl w:val="2"/>
          <w:numId w:val="95"/>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Prospectus, and Issuer Free Writing Prospectuses, if any,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Except as disclosed in the Registration Statement, Prospectus, and Issuer Free Writing Prospectuses (a) to the Company’s knowledge, there are no rights of third parties to any such Intellectual Property owned by the Company and its Subsidiaries(except under agreements entered into in the ordinary course of business); (b) to the Company’s knowledge, there is no infringement by third parties of any such Intellectual Property;</w:t>
      </w:r>
    </w:p>
    <w:p>
      <w:pPr>
        <w:jc w:val="both"/>
        <w:ind w:firstLine="8"/>
        <w:spacing w:after="0" w:line="286" w:lineRule="auto"/>
        <w:tabs>
          <w:tab w:leader="none" w:pos="2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there is no pending action, suit or proceeding by others against the Company and its Subsidiaries before any governmental authority challenging the Company’s and its Subsidiaries’ rights in or to any such Intellectual Property (other than relating to prosecution of Intellectual Property), action, suit or proceeding; (d) there is no pending action, suit or proceeding by others against the Company and its Subsidiaries before any governmental authority challenging the validity of any such Intellectual Property (other than relating to prosecution of Intellectual Property); (e) there is no pending action, suit or proceeding by others against the Company and its Subsidiaries before any governmental authority that the Company and its Subsidiaries infringe or otherwise violate any patent, trademark, copyright, trade secret or other proprietary rights of others; and (f) to the Company’s knowledge, there is no third-party U.S. patent or published U.S. patent application which contains claims for which an Interference Proceeding (as defined in 35 U.S.C. § 135) is pending against any patent or patent application described in the Registration Statement, Prospectus, and Issuer Free Writing Prospectuses as being owned by to the Company, except, in the case of any of clauses (a)-(f) above, as would not, individually or in the aggregate, result in a Material Adverse Effect.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1952"/>
        <w:spacing w:after="0" w:line="259" w:lineRule="auto"/>
        <w:tabs>
          <w:tab w:leader="none" w:pos="2259"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Company and its Subsidiaries takes commercially reasonable efforts to maintain the confidentiality of all material trade secrets and other material confidential information owned by Company and its Subsidiaries and any confidential information owned by any Person to whom the Company or any of its Subsidiaries has a written confidentiality obligation, except for as would not, individually or in the aggregate, result in a Material Adverse Effect.</w:t>
      </w:r>
    </w:p>
    <w:p>
      <w:pPr>
        <w:spacing w:after="0" w:line="186"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Actions Pending</w:t>
      </w:r>
      <w:r>
        <w:rPr>
          <w:rFonts w:ascii="Arial" w:cs="Arial" w:eastAsia="Arial" w:hAnsi="Arial"/>
          <w:sz w:val="17"/>
          <w:szCs w:val="17"/>
          <w:color w:val="auto"/>
        </w:rPr>
        <w:t>. Except as disclosed in the Registration Statement, Prospectus, and Issuer Free Writing Prospectuses,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would, individually or in the aggregate, have a Material Adverse Effect; and (i) there are no current or pending audits or investigations, actions, suits or proceedings by or before any Governmental Authority that are required under the Securities Act to be described in the Registration Statement, Prospectus, and Issuer Free Writing Prospectuses that are not so described; and (ii) there are no contracts or other documents that are required under the Securities Act to be filed as exhibits to the Registration Statement, Prospectus, and Issuer Free Writing Prospectuses that are not so filed.</w:t>
      </w:r>
    </w:p>
    <w:p>
      <w:pPr>
        <w:spacing w:after="0" w:line="1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The information provided to the Agents by the Company, its counsel, and its officers and directors for purposes of the Agents’ compliance with applicable FINRA rules in connection with the offering of the Placement Shares is true, complete, and correct and compliant with FINRA’s rules.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Underwriter Agreements</w:t>
      </w:r>
      <w:r>
        <w:rPr>
          <w:rFonts w:ascii="Arial" w:cs="Arial" w:eastAsia="Arial" w:hAnsi="Arial"/>
          <w:sz w:val="18"/>
          <w:szCs w:val="18"/>
          <w:color w:val="auto"/>
        </w:rPr>
        <w:t>. The Company is not party to any agreement with an agent or underwriter for any other “at the market” or continuous equity transaction.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Status Under the Securities Act</w:t>
      </w:r>
      <w:r>
        <w:rPr>
          <w:rFonts w:ascii="Arial" w:cs="Arial" w:eastAsia="Arial" w:hAnsi="Arial"/>
          <w:sz w:val="18"/>
          <w:szCs w:val="18"/>
          <w:color w:val="auto"/>
        </w:rPr>
        <w:t>. The Company is an ineligible issuer as defined under Rule 405 under the Securities Act at the times specified in Rules 164 and 433 under the Securities Act in connection with the offering of the Placement Shares.</w:t>
      </w:r>
    </w:p>
    <w:p>
      <w:pPr>
        <w:spacing w:after="0" w:line="170" w:lineRule="exact"/>
        <w:rPr>
          <w:sz w:val="20"/>
          <w:szCs w:val="20"/>
          <w:color w:val="auto"/>
        </w:rPr>
      </w:pPr>
    </w:p>
    <w:p>
      <w:pPr>
        <w:jc w:val="both"/>
        <w:ind w:left="980" w:hanging="324"/>
        <w:spacing w:after="0" w:line="275" w:lineRule="auto"/>
        <w:tabs>
          <w:tab w:leader="none" w:pos="98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xml:space="preserve"> The Company and each of its Subsidiaries are in compliance with all applicable laws, regulations and statutes except as would not, individually or in the aggregate, reasonably be expected to result in a Material Adverse Effect; the Company has not received a notice of non-compliance with any such laws, regulations and statutes by which it or any of its properties, assets, employees, business or operations are or were bound or to which they were subject, except for any non-compliance, default or violation would not, individually or in the aggregate, reasonably be expected to result in a Material Adverse Effect or that have been waived.</w:t>
      </w:r>
    </w:p>
    <w:p>
      <w:pPr>
        <w:spacing w:after="0" w:line="17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Neither the Company nor any of its Subsidiaries has incurred any liability for any finder’s fees, brokerage commissions or similar payments in connection with the transactions herein contemplated, except as may otherwise exist with respect to the Agents pursuant to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left="324" w:hanging="324"/>
        <w:spacing w:after="0"/>
        <w:tabs>
          <w:tab w:leader="none" w:pos="32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Broker/Dealer Relationships</w:t>
      </w:r>
      <w:r>
        <w:rPr>
          <w:rFonts w:ascii="Arial" w:cs="Arial" w:eastAsia="Arial" w:hAnsi="Arial"/>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83" w:lineRule="exact"/>
        <w:rPr>
          <w:rFonts w:ascii="Arial" w:cs="Arial" w:eastAsia="Arial" w:hAnsi="Arial"/>
          <w:sz w:val="18"/>
          <w:szCs w:val="18"/>
          <w:color w:val="auto"/>
        </w:rPr>
      </w:pPr>
    </w:p>
    <w:p>
      <w:pPr>
        <w:jc w:val="both"/>
        <w:ind w:left="324" w:hanging="324"/>
        <w:spacing w:after="0" w:line="284" w:lineRule="auto"/>
        <w:tabs>
          <w:tab w:leader="none" w:pos="32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xml:space="preserve">. The Company together with its Subsidiaries maintains systems of internal accounting controls sufficient to provide reasonable assurance that (i) transactions, including receipts and expenditures,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its policies and procedures provide reasonable assurance regarding prevention or timely detection of unauthorized acquisition, use or disposition of the Company’s assets, including the comparison of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designed to ensure that information required to be disclosed by the Company in the reports that it files or submits under the Exchange Act is recorded, processed, summarized and reported, within the time periods specified in the Commission’s rules and forms,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ninety (90) days prior to the filing date of the Form 10-K for the fiscal year most recently ended (such date,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Evaluation Date</w:t>
      </w:r>
      <w:r>
        <w:rPr>
          <w:rFonts w:ascii="Arial" w:cs="Arial" w:eastAsia="Arial" w:hAnsi="Arial"/>
          <w:sz w:val="16"/>
          <w:szCs w:val="16"/>
          <w:color w:val="auto"/>
        </w:rPr>
        <w:t>”). The Company presented in its Form 10-K for the fiscal year most recently ended the conclusions of the certifying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spacing w:after="0" w:line="394" w:lineRule="exact"/>
        <w:rPr>
          <w:rFonts w:ascii="Arial" w:cs="Arial" w:eastAsia="Arial" w:hAnsi="Arial"/>
          <w:sz w:val="16"/>
          <w:szCs w:val="16"/>
          <w:color w:val="auto"/>
        </w:rPr>
      </w:pPr>
    </w:p>
    <w:p>
      <w:pPr>
        <w:jc w:val="both"/>
        <w:ind w:left="784" w:hanging="460"/>
        <w:spacing w:after="0" w:line="254" w:lineRule="auto"/>
        <w:tabs>
          <w:tab w:leader="none" w:pos="784"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Except as disclosed in the Registration Statement, Prospectus, and Issuer Free Writing Prospectuses, the Company and each Subsidiary possess such valid and current certificates, authorizations or permits issued by the appropriate state, federal or foreign regulatory agencies or bodies necessary to conduct their respective businesses except for any failure to obtain such certificates, authorizations or permits would not, individually or in the aggregate, reasonably be expected to result in a Material Adverse Effect or that have been waived, and, neither the Company nor any Subsidiary has received, or has any reason to believe that it will receive, any notice of proceedings relating to the revocation or modification of, or non-compliance with, any such certificate, authorization or permit which, if the subject of an unfavorable decision, ruling or finding, would, individually or in the aggregate, have a Material Adverse Effect.</w:t>
      </w:r>
    </w:p>
    <w:p>
      <w:pPr>
        <w:spacing w:after="0" w:line="191" w:lineRule="exact"/>
        <w:rPr>
          <w:rFonts w:ascii="Arial" w:cs="Arial" w:eastAsia="Arial" w:hAnsi="Arial"/>
          <w:sz w:val="18"/>
          <w:szCs w:val="18"/>
          <w:color w:val="auto"/>
        </w:rPr>
      </w:pPr>
    </w:p>
    <w:p>
      <w:pPr>
        <w:jc w:val="both"/>
        <w:ind w:left="784" w:hanging="460"/>
        <w:spacing w:after="0" w:line="269" w:lineRule="auto"/>
        <w:tabs>
          <w:tab w:leader="none" w:pos="784"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Environmental Compliance.</w:t>
      </w:r>
      <w:r>
        <w:rPr>
          <w:rFonts w:ascii="Arial" w:cs="Arial" w:eastAsia="Arial" w:hAnsi="Arial"/>
          <w:sz w:val="17"/>
          <w:szCs w:val="17"/>
          <w:color w:val="auto"/>
        </w:rPr>
        <w:t xml:space="preserve"> Except as set forth in the Registration Statement, Prospectus, and Issuer Free Writing Prospectuses, if any,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(ii) have received and are in compliance with all permits, licenses or other approvals required of them under applicable Environmental Laws to conduct their respective businesses as described in the Registration Statement, Prospectus, and Issuer Free Writing Prospectuses, if any;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16" w:name="page117"/>
    <w:bookmarkEnd w:id="116"/>
    <w:p>
      <w:pPr>
        <w:jc w:val="both"/>
        <w:ind w:left="460" w:hanging="460"/>
        <w:spacing w:after="0" w:line="283"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No Improper Practices</w:t>
      </w:r>
      <w:r>
        <w:rPr>
          <w:rFonts w:ascii="Arial" w:cs="Arial" w:eastAsia="Arial" w:hAnsi="Arial"/>
          <w:sz w:val="16"/>
          <w:szCs w:val="16"/>
          <w:color w:val="auto"/>
        </w:rPr>
        <w:t>. (i) Neither the Company nor the Subsidiaries, nor any director, or officer of the Company or any Subsidiary nor, to the Company’s knowledge, any employee,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Registration Statement, Prospectus, and Issuer Free Writing Prospectuses, if any;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Registration Statement, Prospectus, and Issuer Free Writing Prospectuses, if any, that is not so described;</w:t>
      </w:r>
    </w:p>
    <w:p>
      <w:pPr>
        <w:spacing w:after="0" w:line="5" w:lineRule="exact"/>
        <w:rPr>
          <w:rFonts w:ascii="Arial" w:cs="Arial" w:eastAsia="Arial" w:hAnsi="Arial"/>
          <w:sz w:val="16"/>
          <w:szCs w:val="16"/>
          <w:color w:val="auto"/>
        </w:rPr>
      </w:pPr>
    </w:p>
    <w:p>
      <w:pPr>
        <w:jc w:val="both"/>
        <w:ind w:left="460" w:hanging="6"/>
        <w:spacing w:after="0" w:line="281" w:lineRule="auto"/>
        <w:tabs>
          <w:tab w:leader="none" w:pos="78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or the Subsidiaries or any affiliate of them, on the one hand, and the directors, officers, or stockholders of the Company or any Subsidiary, on the other hand, that is required by the rules of FINRA to be described in the Registration Statement, Prospectus, and Issuer Free Writing Prospectuses, if any, that is not so described;</w:t>
      </w:r>
    </w:p>
    <w:p>
      <w:pPr>
        <w:spacing w:after="0" w:line="1" w:lineRule="exact"/>
        <w:rPr>
          <w:rFonts w:ascii="Arial" w:cs="Arial" w:eastAsia="Arial" w:hAnsi="Arial"/>
          <w:sz w:val="16"/>
          <w:szCs w:val="16"/>
          <w:color w:val="auto"/>
        </w:rPr>
      </w:pPr>
    </w:p>
    <w:p>
      <w:pPr>
        <w:jc w:val="both"/>
        <w:ind w:left="460" w:hanging="6"/>
        <w:spacing w:after="0" w:line="281" w:lineRule="auto"/>
        <w:tabs>
          <w:tab w:leader="none" w:pos="77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Prospectus, and Issuer Free Writing Prospectuses, if any,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the Subsidiaries to alter the customer’s or supplier’s level or type of business with the Company or any Subsidiary or</w:t>
      </w:r>
    </w:p>
    <w:p>
      <w:pPr>
        <w:spacing w:after="0" w:line="2" w:lineRule="exact"/>
        <w:rPr>
          <w:rFonts w:ascii="Arial" w:cs="Arial" w:eastAsia="Arial" w:hAnsi="Arial"/>
          <w:sz w:val="16"/>
          <w:szCs w:val="16"/>
          <w:color w:val="auto"/>
        </w:rPr>
      </w:pPr>
    </w:p>
    <w:p>
      <w:pPr>
        <w:jc w:val="both"/>
        <w:ind w:left="460"/>
        <w:spacing w:after="0" w:line="287" w:lineRule="auto"/>
        <w:rPr>
          <w:rFonts w:ascii="Arial" w:cs="Arial" w:eastAsia="Arial" w:hAnsi="Arial"/>
          <w:sz w:val="16"/>
          <w:szCs w:val="16"/>
          <w:color w:val="auto"/>
        </w:rPr>
      </w:pPr>
      <w:r>
        <w:rPr>
          <w:rFonts w:ascii="Arial" w:cs="Arial" w:eastAsia="Arial" w:hAnsi="Arial"/>
          <w:sz w:val="16"/>
          <w:szCs w:val="16"/>
          <w:color w:val="auto"/>
        </w:rPr>
        <w:t>(B) a trade journalist or publication to write or publish favorable information about the Company or the Subsidiaries or any of their respective products or services, and, (vi) neither the Company nor the Subsidiaries nor any director, or officer of the Company or any Subsidiary nor, to the Company’s knowledge, any employee,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Arial" w:cs="Arial" w:eastAsia="Arial" w:hAnsi="Arial"/>
          <w:sz w:val="16"/>
          <w:szCs w:val="16"/>
          <w:b w:val="1"/>
          <w:bCs w:val="1"/>
          <w:u w:val="single" w:color="auto"/>
          <w:color w:val="auto"/>
        </w:rPr>
        <w:t>Anti-Corruption Laws</w:t>
      </w:r>
      <w:r>
        <w:rPr>
          <w:rFonts w:ascii="Arial" w:cs="Arial" w:eastAsia="Arial" w:hAnsi="Arial"/>
          <w:sz w:val="16"/>
          <w:szCs w:val="16"/>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38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17" w:name="page118"/>
    <w:bookmarkEnd w:id="117"/>
    <w:p>
      <w:pPr>
        <w:jc w:val="both"/>
        <w:ind w:left="460" w:hanging="460"/>
        <w:spacing w:after="0" w:line="25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AML Compliance.</w:t>
      </w:r>
      <w:r>
        <w:rPr>
          <w:rFonts w:ascii="Arial" w:cs="Arial" w:eastAsia="Arial" w:hAnsi="Arial"/>
          <w:sz w:val="18"/>
          <w:szCs w:val="18"/>
          <w:color w:val="auto"/>
        </w:rPr>
        <w:t xml:space="preserve">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Arial" w:cs="Arial" w:eastAsia="Arial" w:hAnsi="Arial"/>
          <w:sz w:val="18"/>
          <w:szCs w:val="18"/>
          <w:b w:val="1"/>
          <w:bCs w:val="1"/>
          <w:u w:val="single" w:color="auto"/>
          <w:color w:val="auto"/>
        </w:rPr>
        <w:t>Money Laundering Laws</w:t>
      </w:r>
      <w:r>
        <w:rPr>
          <w:rFonts w:ascii="Arial" w:cs="Arial" w:eastAsia="Arial" w:hAnsi="Arial"/>
          <w:sz w:val="18"/>
          <w:szCs w:val="18"/>
          <w:color w:val="auto"/>
        </w:rPr>
        <w:t>”); and no action, suit or proceeding by or before any Governmental Authority involving the Company or any of its Subsidiaries with respect to the Money Laundering Laws is pending or, to the knowledge of the Company, threatened.</w:t>
      </w:r>
    </w:p>
    <w:p>
      <w:pPr>
        <w:spacing w:after="0" w:line="194" w:lineRule="exact"/>
        <w:rPr>
          <w:rFonts w:ascii="Arial" w:cs="Arial" w:eastAsia="Arial" w:hAnsi="Arial"/>
          <w:sz w:val="18"/>
          <w:szCs w:val="18"/>
          <w:color w:val="auto"/>
        </w:rPr>
      </w:pPr>
    </w:p>
    <w:p>
      <w:pPr>
        <w:jc w:val="both"/>
        <w:ind w:left="460" w:hanging="460"/>
        <w:spacing w:after="0" w:line="272"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Off-Balance Sheet Arrangements.</w:t>
      </w:r>
      <w:r>
        <w:rPr>
          <w:rFonts w:ascii="Arial" w:cs="Arial" w:eastAsia="Arial" w:hAnsi="Arial"/>
          <w:sz w:val="17"/>
          <w:szCs w:val="17"/>
          <w:color w:val="auto"/>
        </w:rPr>
        <w:t xml:space="preserve"> There are no transactions, arrangements and other relationships between and/or among the Company, and/or any of its affiliates and any unconsolidated entity, including, but not limited to, any structural finance, special purpose or limited purpose entity (each, an “</w:t>
      </w:r>
      <w:r>
        <w:rPr>
          <w:rFonts w:ascii="Arial" w:cs="Arial" w:eastAsia="Arial" w:hAnsi="Arial"/>
          <w:sz w:val="17"/>
          <w:szCs w:val="17"/>
          <w:b w:val="1"/>
          <w:bCs w:val="1"/>
          <w:u w:val="single" w:color="auto"/>
          <w:color w:val="auto"/>
        </w:rPr>
        <w:t>Off-Balance Sheet Transaction</w:t>
      </w:r>
      <w:r>
        <w:rPr>
          <w:rFonts w:ascii="Arial" w:cs="Arial" w:eastAsia="Arial" w:hAnsi="Arial"/>
          <w:sz w:val="17"/>
          <w:szCs w:val="17"/>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Registration Statement, Prospectus, and Issuer Free Writing Prospectuses, if any, which have not been described as required.</w:t>
      </w:r>
    </w:p>
    <w:p>
      <w:pPr>
        <w:spacing w:after="0" w:line="177" w:lineRule="exact"/>
        <w:rPr>
          <w:rFonts w:ascii="Arial" w:cs="Arial" w:eastAsia="Arial" w:hAnsi="Arial"/>
          <w:sz w:val="17"/>
          <w:szCs w:val="17"/>
          <w:color w:val="auto"/>
        </w:rPr>
      </w:pPr>
    </w:p>
    <w:p>
      <w:pPr>
        <w:ind w:left="460" w:hanging="460"/>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jc w:val="both"/>
        <w:ind w:left="460" w:hanging="460"/>
        <w:spacing w:after="0" w:line="273"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Labor Disputes.</w:t>
      </w:r>
      <w:r>
        <w:rPr>
          <w:rFonts w:ascii="Arial" w:cs="Arial" w:eastAsia="Arial" w:hAnsi="Arial"/>
          <w:sz w:val="17"/>
          <w:szCs w:val="17"/>
          <w:color w:val="auto"/>
        </w:rPr>
        <w:t xml:space="preserve"> None of the Company nor any of its Subsidiaries is bound by or subject to any collective bargaining or similar agreement with any labor union, and, to the knowledge of the Company, none of the employees, representatives or agents of the Company or any of its Subsidiaries is represented by any labor union. The Company and its Subsidiaries have complied with all employment laws applicable to employees of the Company and its Subsidiaries, except where non-compliance with any such employment laws would not have a Material Adverse Effect. No labor disturbance by or dispute with employees of the Company or any of its Subsidiaries exists or, to the knowledge of the Company, is threatened which would result in a Material Adverse Effect.</w:t>
      </w:r>
    </w:p>
    <w:p>
      <w:pPr>
        <w:spacing w:after="0" w:line="177" w:lineRule="exact"/>
        <w:rPr>
          <w:rFonts w:ascii="Arial" w:cs="Arial" w:eastAsia="Arial" w:hAnsi="Arial"/>
          <w:sz w:val="17"/>
          <w:szCs w:val="17"/>
          <w:color w:val="auto"/>
        </w:rPr>
      </w:pPr>
    </w:p>
    <w:p>
      <w:pPr>
        <w:jc w:val="both"/>
        <w:ind w:left="460" w:hanging="460"/>
        <w:spacing w:after="0" w:line="263"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proceeds from the sale of the Common Stock by the Company to Agents shall be used by the Company in the manner as will be set forth in the Prospectus included in any Registration Statement (and any post-effective amendment thereto) and any Prospectus Supplement thereto.</w:t>
      </w:r>
    </w:p>
    <w:p>
      <w:pPr>
        <w:spacing w:after="0" w:line="40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18" w:name="page119"/>
    <w:bookmarkEnd w:id="118"/>
    <w:p>
      <w:pPr>
        <w:jc w:val="both"/>
        <w:ind w:left="460" w:hanging="460"/>
        <w:spacing w:after="0" w:line="279"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Investment Company Act Status.</w:t>
      </w:r>
      <w:r>
        <w:rPr>
          <w:rFonts w:ascii="Arial" w:cs="Arial" w:eastAsia="Arial" w:hAnsi="Arial"/>
          <w:sz w:val="17"/>
          <w:szCs w:val="17"/>
          <w:color w:val="auto"/>
        </w:rPr>
        <w:t xml:space="preserve"> The Company is not, and as a result of the consummation of the transactions contemplated by the Agreement and the application of the proceeds from the sale of the Common Stock as will be set forth in the Prospectus included in any Registration Statement (and any post-effective amendment thereto) and any Prospectus Supplement thereto the Company will not be an “investment company” within the meaning of the Investment Company Act of 1940, as amended.</w:t>
      </w:r>
    </w:p>
    <w:p>
      <w:pPr>
        <w:spacing w:after="0" w:line="171" w:lineRule="exact"/>
        <w:rPr>
          <w:rFonts w:ascii="Arial" w:cs="Arial" w:eastAsia="Arial" w:hAnsi="Arial"/>
          <w:sz w:val="17"/>
          <w:szCs w:val="17"/>
          <w:color w:val="auto"/>
        </w:rPr>
      </w:pPr>
    </w:p>
    <w:p>
      <w:pPr>
        <w:jc w:val="both"/>
        <w:ind w:left="460" w:hanging="460"/>
        <w:spacing w:after="0" w:line="311"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Margin Rules.</w:t>
      </w:r>
      <w:r>
        <w:rPr>
          <w:rFonts w:ascii="Arial" w:cs="Arial" w:eastAsia="Arial" w:hAnsi="Arial"/>
          <w:sz w:val="16"/>
          <w:szCs w:val="16"/>
          <w:color w:val="auto"/>
        </w:rPr>
        <w:t xml:space="preserve"> Neither the issuance, sale and delivery of the Placement Shares nor the application of the proceeds thereof by the Company as described in the Registration Statement, Prospectus, and Issuer Free Writing Prospectuses, if any, will violate Regulation T, U or X of the Board of Governors of the Federal Reserve System or any other regulation of such Board of Governors.</w:t>
      </w:r>
    </w:p>
    <w:p>
      <w:pPr>
        <w:spacing w:after="0" w:line="148" w:lineRule="exact"/>
        <w:rPr>
          <w:rFonts w:ascii="Arial" w:cs="Arial" w:eastAsia="Arial" w:hAnsi="Arial"/>
          <w:sz w:val="16"/>
          <w:szCs w:val="16"/>
          <w:color w:val="auto"/>
        </w:rPr>
      </w:pPr>
    </w:p>
    <w:p>
      <w:pPr>
        <w:jc w:val="both"/>
        <w:ind w:left="460" w:hanging="460"/>
        <w:spacing w:after="0" w:line="254"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Prospectus, and Issuer Free Writing Prospectuses, if any, no tax deficiency has been determined adversely to the Company or any of its Subsidiaries which has had, or would have, individually or in the aggregate, reasonably expected to be a Material Adverse Effect. The Company has no knowledge of any federal, state or other governmental tax deficiency, penalty or assessment which has been or might be asserted or threatened against it which would reasonably have a Material Adverse Effect.</w:t>
      </w:r>
    </w:p>
    <w:p>
      <w:pPr>
        <w:spacing w:after="0" w:line="191" w:lineRule="exact"/>
        <w:rPr>
          <w:rFonts w:ascii="Arial" w:cs="Arial" w:eastAsia="Arial" w:hAnsi="Arial"/>
          <w:sz w:val="18"/>
          <w:szCs w:val="18"/>
          <w:color w:val="auto"/>
        </w:rPr>
      </w:pPr>
    </w:p>
    <w:p>
      <w:pPr>
        <w:jc w:val="both"/>
        <w:ind w:left="460" w:hanging="460"/>
        <w:spacing w:after="0" w:line="287" w:lineRule="auto"/>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xml:space="preserve"> Except for noncompliance which would not have a Material Adverse Effect, (i) to the knowledge of the Company, each material employee benefit plan, within the meaning of Section 3(3) of the Employee Retirement Income Security Act of 1974, as amended (“ERISA”), that is maintained, administered or contributed to by the Company or any of its Subsidiaries for current employees of the Company and any of its Subsidiaries has been maintained in material compliance with its terms and the requirements of any applicable statutes, orders, rules and regulations, including but not limited to ERISA and the Internal Revenue Code of 1986, as amended (the “Code”); and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71" w:lineRule="exact"/>
        <w:rPr>
          <w:rFonts w:ascii="Arial" w:cs="Arial" w:eastAsia="Arial" w:hAnsi="Arial"/>
          <w:sz w:val="16"/>
          <w:szCs w:val="16"/>
          <w:color w:val="auto"/>
        </w:rPr>
      </w:pPr>
    </w:p>
    <w:p>
      <w:pPr>
        <w:jc w:val="both"/>
        <w:ind w:left="460" w:hanging="460"/>
        <w:spacing w:after="0" w:line="259"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Stock Transfer Taxes. On each Settlement Date,</w:t>
      </w:r>
      <w:r>
        <w:rPr>
          <w:rFonts w:ascii="Arial" w:cs="Arial" w:eastAsia="Arial" w:hAnsi="Arial"/>
          <w:sz w:val="18"/>
          <w:szCs w:val="18"/>
          <w:color w:val="auto"/>
        </w:rPr>
        <w:t xml:space="preserve"> all stock transfer or other taxes (other than income taxes) which are required to be paid in connection with the sale and transfer of the Common Stock to be sold hereunder will be, or will have been, fully paid or provided for by the Company and all laws imposing such taxes will be or will have been fully complied with by the Company in all material respects.</w:t>
      </w:r>
    </w:p>
    <w:p>
      <w:pPr>
        <w:spacing w:after="0" w:line="200" w:lineRule="exact"/>
        <w:rPr>
          <w:sz w:val="20"/>
          <w:szCs w:val="20"/>
          <w:color w:val="auto"/>
        </w:rPr>
      </w:pPr>
    </w:p>
    <w:p>
      <w:pPr>
        <w:spacing w:after="0" w:line="2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19" w:name="page120"/>
    <w:bookmarkEnd w:id="119"/>
    <w:p>
      <w:pPr>
        <w:ind w:left="460" w:hanging="460"/>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Dilutive Effect</w:t>
      </w:r>
      <w:r>
        <w:rPr>
          <w:rFonts w:ascii="Arial" w:cs="Arial" w:eastAsia="Arial" w:hAnsi="Arial"/>
          <w:sz w:val="18"/>
          <w:szCs w:val="18"/>
          <w:color w:val="auto"/>
        </w:rPr>
        <w:t>. The Company is aware and acknowledges that issuance of the Common Stock could cause dilution to existing stockholders and could significantly increase the outstanding number of shares of Common Stock.</w:t>
      </w:r>
    </w:p>
    <w:p>
      <w:pPr>
        <w:spacing w:after="0" w:line="170" w:lineRule="exact"/>
        <w:rPr>
          <w:rFonts w:ascii="Arial" w:cs="Arial" w:eastAsia="Arial" w:hAnsi="Arial"/>
          <w:sz w:val="18"/>
          <w:szCs w:val="18"/>
          <w:color w:val="auto"/>
        </w:rPr>
      </w:pPr>
    </w:p>
    <w:p>
      <w:pPr>
        <w:jc w:val="both"/>
        <w:ind w:left="460" w:hanging="460"/>
        <w:spacing w:after="0" w:line="270"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Manipulation of Price.</w:t>
      </w:r>
      <w:r>
        <w:rPr>
          <w:rFonts w:ascii="Arial" w:cs="Arial" w:eastAsia="Arial" w:hAnsi="Arial"/>
          <w:sz w:val="17"/>
          <w:szCs w:val="17"/>
          <w:color w:val="auto"/>
        </w:rPr>
        <w:t xml:space="preserve"> Neither the Company nor any of its officers, directors or Affiliates has, and, to the knowledge of the 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Common Stock, (ii) sold, bid for, purchased, or paid any compensation for soliciting purchases of, any of the Common Stock, or (iii) paid or agreed to pay to any Person any compensation for soliciting another to purchase any other securities of the Company. Neither the Company nor any of its officers, directors or Affiliates will during the term of this Agreement, and, to the knowledge of the Company, no Person acting on their behalf will during the term of this Agreement, take any of the actions referred to in the immediately preceding sentence.</w:t>
      </w:r>
    </w:p>
    <w:p>
      <w:pPr>
        <w:spacing w:after="0" w:line="180" w:lineRule="exact"/>
        <w:rPr>
          <w:rFonts w:ascii="Arial" w:cs="Arial" w:eastAsia="Arial" w:hAnsi="Arial"/>
          <w:sz w:val="17"/>
          <w:szCs w:val="17"/>
          <w:color w:val="auto"/>
        </w:rPr>
      </w:pPr>
    </w:p>
    <w:p>
      <w:pPr>
        <w:jc w:val="both"/>
        <w:ind w:left="460" w:hanging="460"/>
        <w:spacing w:after="0" w:line="255"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xml:space="preserve">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Charter or the laws of its state of incorporation that is or could become applicable to the Agents as a result of the Agents and the Company fulfilling their respective obligations or exercising their respective rights under the Agreement (as applicable), including, without limitation, as a result of the Company’s issuance of the Placement Shares.</w:t>
      </w:r>
    </w:p>
    <w:p>
      <w:pPr>
        <w:spacing w:after="0" w:line="188" w:lineRule="exact"/>
        <w:rPr>
          <w:rFonts w:ascii="Arial" w:cs="Arial" w:eastAsia="Arial" w:hAnsi="Arial"/>
          <w:sz w:val="18"/>
          <w:szCs w:val="18"/>
          <w:color w:val="auto"/>
        </w:rPr>
      </w:pPr>
    </w:p>
    <w:p>
      <w:pPr>
        <w:jc w:val="both"/>
        <w:ind w:left="460" w:hanging="460"/>
        <w:spacing w:after="0" w:line="286"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xml:space="preserve"> Neither the Company nor any of its Subsidiaries (collectively, the “</w:t>
      </w:r>
      <w:r>
        <w:rPr>
          <w:rFonts w:ascii="Arial" w:cs="Arial" w:eastAsia="Arial" w:hAnsi="Arial"/>
          <w:sz w:val="16"/>
          <w:szCs w:val="16"/>
          <w:b w:val="1"/>
          <w:bCs w:val="1"/>
          <w:u w:val="single" w:color="auto"/>
          <w:color w:val="auto"/>
        </w:rPr>
        <w:t>Entity</w:t>
      </w:r>
      <w:r>
        <w:rPr>
          <w:rFonts w:ascii="Arial" w:cs="Arial" w:eastAsia="Arial" w:hAnsi="Arial"/>
          <w:sz w:val="16"/>
          <w:szCs w:val="16"/>
          <w:color w:val="auto"/>
        </w:rPr>
        <w:t xml:space="preserve">”), nor any director, or officer, nor to the Company’s knowledge any employee, agent, affiliate or representative of the Company, is a </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xml:space="preserve"> that is, or is owned or controlled by a Person that is (i) the subject of any sanctions administered or enforced by the U.S. Department of Treasury’s Office of Foreign Assets Control (“</w:t>
      </w:r>
      <w:r>
        <w:rPr>
          <w:rFonts w:ascii="Arial" w:cs="Arial" w:eastAsia="Arial" w:hAnsi="Arial"/>
          <w:sz w:val="16"/>
          <w:szCs w:val="16"/>
          <w:b w:val="1"/>
          <w:bCs w:val="1"/>
          <w:u w:val="single" w:color="auto"/>
          <w:color w:val="auto"/>
        </w:rPr>
        <w:t>OFAC</w:t>
      </w:r>
      <w:r>
        <w:rPr>
          <w:rFonts w:ascii="Arial" w:cs="Arial" w:eastAsia="Arial" w:hAnsi="Arial"/>
          <w:sz w:val="16"/>
          <w:szCs w:val="16"/>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Arial" w:cs="Arial" w:eastAsia="Arial" w:hAnsi="Arial"/>
          <w:sz w:val="16"/>
          <w:szCs w:val="16"/>
          <w:b w:val="1"/>
          <w:bCs w:val="1"/>
          <w:u w:val="single" w:color="auto"/>
          <w:color w:val="auto"/>
        </w:rPr>
        <w:t>Sanctions</w:t>
      </w:r>
      <w:r>
        <w:rPr>
          <w:rFonts w:ascii="Arial" w:cs="Arial" w:eastAsia="Arial" w:hAnsi="Arial"/>
          <w:sz w:val="16"/>
          <w:szCs w:val="16"/>
          <w:color w:val="auto"/>
        </w:rPr>
        <w:t>”), nor (ii) located, organized or resident in a country or territory that is the subject of Sanctions that broadly prohibit dealings with that country or territory (including, without limitation, the Crimea region of the Ukraine, Cuba, Iran, North Korea, Sudan and Syria (the “</w:t>
      </w:r>
      <w:r>
        <w:rPr>
          <w:rFonts w:ascii="Arial" w:cs="Arial" w:eastAsia="Arial" w:hAnsi="Arial"/>
          <w:sz w:val="16"/>
          <w:szCs w:val="16"/>
          <w:b w:val="1"/>
          <w:bCs w:val="1"/>
          <w:color w:val="auto"/>
        </w:rPr>
        <w:t>Sanctioned Countries</w:t>
      </w:r>
      <w:r>
        <w:rPr>
          <w:rFonts w:ascii="Arial" w:cs="Arial" w:eastAsia="Arial" w:hAnsi="Arial"/>
          <w:sz w:val="16"/>
          <w:szCs w:val="16"/>
          <w:color w:val="auto"/>
        </w:rPr>
        <w:t>”)). The Entity will not, directly or indirectly, use the proceeds from the sale of Common Stock, or lend, contribute or otherwise make available such proceeds to any subsidiary, joint venture partner or other Person(a) to fund or facilitate any activities or business of or with any Person or in any country or territory that, at the time of such funding or facilitation, is the subject of Sanctions or is a Sanctioned Country, or in any other manner that will result in a violation of Sanctions by any Person (including any Person participating in the transactions contemplated by this agreement, whether as underwriter, advisor, investor or otherwise). For the past five years, the Entity has not engaged in, and is now not engaged in, any dealings or transactions with any Person, or in any country or territory, that at the time of the dealing or transaction is or was the subject of Sanctions or was a Sanctioned Country.</w:t>
      </w: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20" w:name="page121"/>
    <w:bookmarkEnd w:id="120"/>
    <w:p>
      <w:pPr>
        <w:jc w:val="both"/>
        <w:ind w:left="980" w:hanging="324"/>
        <w:spacing w:after="0" w:line="287" w:lineRule="auto"/>
        <w:tabs>
          <w:tab w:leader="none" w:pos="98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Information Technology; Compliance with Data Privacy Laws.</w:t>
      </w:r>
      <w:r>
        <w:rPr>
          <w:rFonts w:ascii="Arial" w:cs="Arial" w:eastAsia="Arial" w:hAnsi="Arial"/>
          <w:sz w:val="16"/>
          <w:szCs w:val="16"/>
          <w:color w:val="auto"/>
        </w:rPr>
        <w:t xml:space="preserve"> The Company and its Subsidiaries comply in all respects with (i) all applicable Privacy/Data Security Laws, (ii) any applicable privacy or other policies of the Company or any of its Subsidiaries, respectively, concerning the collection, dissemination, storage or use of Personal Information or other Business Data, (iii) industry standards to which the Company or any of its Subsidiaries, respectively, purports to adhere, and (iv) all contractual commitments that the Company or any of its Subsidiaries has entered into with respect to privacy and/or data security (collectively, the “</w:t>
      </w:r>
      <w:r>
        <w:rPr>
          <w:rFonts w:ascii="Arial" w:cs="Arial" w:eastAsia="Arial" w:hAnsi="Arial"/>
          <w:sz w:val="16"/>
          <w:szCs w:val="16"/>
          <w:b w:val="1"/>
          <w:bCs w:val="1"/>
          <w:u w:val="single" w:color="auto"/>
          <w:color w:val="auto"/>
        </w:rPr>
        <w:t>Data Security Requirements</w:t>
      </w:r>
      <w:r>
        <w:rPr>
          <w:rFonts w:ascii="Arial" w:cs="Arial" w:eastAsia="Arial" w:hAnsi="Arial"/>
          <w:sz w:val="16"/>
          <w:szCs w:val="16"/>
          <w:color w:val="auto"/>
        </w:rPr>
        <w:t>”), except where the failure to so comply would not reasonably be expected to have a Material Adverse Effect. The Company and its Subsidiaries have implemented commercially reasonable data security safeguards designed to protect the security and integrity of the Business Systems and Business Data. Except as has not resulted in a Material Adverse Effect, to the Company’s knowledge, neither the Company nor any Subsidiary has experienced any data security breaches, unauthorized access or use of any of the Business Systems, or unauthorized acquisition, destruction, damage, disclosure, loss, corruption, alteration, or use of any Business Data; or been subject to or received written notice of any audits, proceedings or investigations by any Governmental Authority or any customer, or received any material claims or complaints regarding the collection, dissemination, storage or use of Personal Information, or the violation of any applicable Data Security Requirements.</w:t>
      </w:r>
    </w:p>
    <w:p>
      <w:pPr>
        <w:spacing w:after="0" w:line="16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is an “emerging growth company,” as defined in Section 2(a) of the Securities Act (an “</w:t>
      </w:r>
      <w:r>
        <w:rPr>
          <w:rFonts w:ascii="Arial" w:cs="Arial" w:eastAsia="Arial" w:hAnsi="Arial"/>
          <w:sz w:val="18"/>
          <w:szCs w:val="18"/>
          <w:b w:val="1"/>
          <w:bCs w:val="1"/>
          <w:u w:val="single" w:color="auto"/>
          <w:color w:val="auto"/>
        </w:rPr>
        <w:t>Emerging Growth Company</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46"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the Agents that:</w:t>
      </w:r>
    </w:p>
    <w:p>
      <w:pPr>
        <w:spacing w:after="0" w:line="225" w:lineRule="exact"/>
        <w:rPr>
          <w:rFonts w:ascii="Arial" w:cs="Arial" w:eastAsia="Arial" w:hAnsi="Arial"/>
          <w:sz w:val="18"/>
          <w:szCs w:val="18"/>
          <w:color w:val="auto"/>
        </w:rPr>
      </w:pPr>
    </w:p>
    <w:p>
      <w:pPr>
        <w:jc w:val="both"/>
        <w:ind w:left="980" w:hanging="324"/>
        <w:spacing w:after="0" w:line="283" w:lineRule="auto"/>
        <w:tabs>
          <w:tab w:leader="none" w:pos="98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or similar rule),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the Agents’ request, any amendments or supplements to the Registration Statement or Prospectus that, in such Agent’s reasonable opinion and in the advice of the Company’s legal counsel, may be necessary or advisable in connection with the distribution of the Placement Shares by the Agents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of the Agents to make such request shall not relieve the Company of any obligation or liability hereunder, or affect any Agent’s right to rely on the representations and warranties made by the Company in this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(other than an Incorporated Document) unless a copy thereof has been submitted to the Agents within a reasonable period of time before the filing and the Agents has not reasonably objected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jc w:val="both"/>
        <w:ind w:left="980"/>
        <w:spacing w:after="0" w:line="268" w:lineRule="auto"/>
        <w:tabs>
          <w:tab w:leader="none" w:pos="1296" w:val="left"/>
        </w:tabs>
        <w:numPr>
          <w:ilvl w:val="2"/>
          <w:numId w:val="106"/>
        </w:numPr>
        <w:rPr>
          <w:rFonts w:ascii="Arial" w:cs="Arial" w:eastAsia="Arial" w:hAnsi="Arial"/>
          <w:sz w:val="17"/>
          <w:szCs w:val="17"/>
          <w:color w:val="auto"/>
        </w:rPr>
      </w:pPr>
      <w:r>
        <w:rPr>
          <w:rFonts w:ascii="Arial" w:cs="Arial" w:eastAsia="Arial" w:hAnsi="Arial"/>
          <w:sz w:val="17"/>
          <w:szCs w:val="17"/>
          <w:color w:val="auto"/>
        </w:rPr>
        <w:t xml:space="preserve">the failure of the Agents to make such objection shall not relieve the Company of any obligation or liability hereunder, or affect any Agent’s right to rely on the representations and warranties made by the Company in this Agreement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Arial" w:cs="Arial" w:eastAsia="Arial" w:hAnsi="Arial"/>
          <w:sz w:val="17"/>
          <w:szCs w:val="17"/>
          <w:u w:val="single" w:color="auto"/>
          <w:color w:val="auto"/>
        </w:rPr>
        <w:t>Section 7(a)</w:t>
      </w:r>
      <w:r>
        <w:rPr>
          <w:rFonts w:ascii="Arial" w:cs="Arial" w:eastAsia="Arial" w:hAnsi="Arial"/>
          <w:sz w:val="17"/>
          <w:szCs w:val="17"/>
          <w:color w:val="auto"/>
        </w:rPr>
        <w:t>, based on the Company’s reasonable opinion or reasonable objections, shall be made exclusively by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left="324" w:hanging="324"/>
        <w:spacing w:after="0" w:line="271" w:lineRule="auto"/>
        <w:tabs>
          <w:tab w:leader="none" w:pos="324"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Notice of Commission Stop Orders</w:t>
      </w:r>
      <w:r>
        <w:rPr>
          <w:rFonts w:ascii="Arial" w:cs="Arial" w:eastAsia="Arial" w:hAnsi="Arial"/>
          <w:sz w:val="17"/>
          <w:szCs w:val="17"/>
          <w:color w:val="auto"/>
        </w:rPr>
        <w:t>. The Company will advise the Agents, promptly after they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they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78" w:lineRule="exact"/>
        <w:rPr>
          <w:rFonts w:ascii="Arial" w:cs="Arial" w:eastAsia="Arial" w:hAnsi="Arial"/>
          <w:sz w:val="17"/>
          <w:szCs w:val="17"/>
          <w:color w:val="auto"/>
        </w:rPr>
      </w:pPr>
    </w:p>
    <w:p>
      <w:pPr>
        <w:jc w:val="both"/>
        <w:ind w:left="324" w:hanging="324"/>
        <w:spacing w:after="0" w:line="286" w:lineRule="auto"/>
        <w:tabs>
          <w:tab w:leader="none" w:pos="324"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xml:space="preserve">. During any period in which a Prospectus relating to the Placement Shares is required to be delivered by the Agents under the Securities Act with respect to the offer and sale of the Placement Shares, (including in circumstances where such requirement may be satisfied pursuant to Rule 172 under the Securities Act or similar rule),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Commission pursuant to said Rule 430B and to notify the Agents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may delay the filing of any amendment or supplement, if in the reasonable judgment of the Company, it is in the best interest of the Company.</w:t>
      </w:r>
    </w:p>
    <w:p>
      <w:pPr>
        <w:spacing w:after="0" w:line="383"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2" w:name="page123"/>
    <w:bookmarkEnd w:id="122"/>
    <w:p>
      <w:pPr>
        <w:ind w:left="324" w:hanging="324"/>
        <w:spacing w:after="0" w:line="277" w:lineRule="auto"/>
        <w:tabs>
          <w:tab w:leader="none" w:pos="32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Prior to the date of the first Placement Notice, the Company will use its reasonable best efforts to cause the Placement Shares to be listed on the Exchange.</w:t>
      </w:r>
    </w:p>
    <w:p>
      <w:pPr>
        <w:spacing w:after="0" w:line="170" w:lineRule="exact"/>
        <w:rPr>
          <w:rFonts w:ascii="Arial" w:cs="Arial" w:eastAsia="Arial" w:hAnsi="Arial"/>
          <w:sz w:val="18"/>
          <w:szCs w:val="18"/>
          <w:color w:val="auto"/>
        </w:rPr>
      </w:pPr>
    </w:p>
    <w:p>
      <w:pPr>
        <w:jc w:val="both"/>
        <w:ind w:left="324" w:hanging="324"/>
        <w:spacing w:after="0" w:line="290" w:lineRule="auto"/>
        <w:tabs>
          <w:tab w:leader="none" w:pos="324"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xml:space="preserve">.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furnish any document (other than the Prospectus) to the Agents to the extent such document is available on EDGAR.</w:t>
      </w:r>
    </w:p>
    <w:p>
      <w:pPr>
        <w:spacing w:after="0" w:line="165" w:lineRule="exact"/>
        <w:rPr>
          <w:rFonts w:ascii="Arial" w:cs="Arial" w:eastAsia="Arial" w:hAnsi="Arial"/>
          <w:sz w:val="16"/>
          <w:szCs w:val="16"/>
          <w:color w:val="auto"/>
        </w:rPr>
      </w:pPr>
    </w:p>
    <w:p>
      <w:pPr>
        <w:jc w:val="both"/>
        <w:ind w:left="324" w:hanging="324"/>
        <w:spacing w:after="0" w:line="263" w:lineRule="auto"/>
        <w:tabs>
          <w:tab w:leader="none" w:pos="32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as described in the Prospectus in the section entitled “Use of Proceeds.”</w:t>
      </w:r>
    </w:p>
    <w:p>
      <w:pPr>
        <w:spacing w:after="0" w:line="236" w:lineRule="exact"/>
        <w:rPr>
          <w:rFonts w:ascii="Arial" w:cs="Arial" w:eastAsia="Arial" w:hAnsi="Arial"/>
          <w:sz w:val="17"/>
          <w:szCs w:val="17"/>
          <w:color w:val="auto"/>
        </w:rPr>
      </w:pPr>
    </w:p>
    <w:p>
      <w:pPr>
        <w:jc w:val="both"/>
        <w:ind w:left="324" w:hanging="324"/>
        <w:spacing w:after="0" w:line="260" w:lineRule="auto"/>
        <w:tabs>
          <w:tab w:leader="none" w:pos="324"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Notice of Other Sales</w:t>
      </w:r>
      <w:r>
        <w:rPr>
          <w:rFonts w:ascii="Arial" w:cs="Arial" w:eastAsia="Arial" w:hAnsi="Arial"/>
          <w:sz w:val="17"/>
          <w:szCs w:val="17"/>
          <w:color w:val="auto"/>
        </w:rPr>
        <w:t>. Without the prior written consent of the Agents,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date on which any Placement Notice is delivered to Agents hereunder and ending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Trading Day immediately following the final Settlement Date with respect to Placement Shares sold pursuant to such Placement Notice (or, if the Placement Notice has been terminated or suspended prior to the sale of all Placement Shares covered by a Placement Notice, ending on the date of such suspension or termination); and will not directly or indirectly engage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restrictions will not apply in connection with the Company’s issuance or sale of (i) Common Stock, options to purchase Common Stock or Common Stock issuable upon the exercise of options, pursuant to any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Agents, and (iii) Common Stock in connection with any acquisition, strategic investment or other similar transaction (including any joint venture, strategic alliance or partnership).</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3" w:name="page124"/>
    <w:bookmarkEnd w:id="123"/>
    <w:p>
      <w:pPr>
        <w:jc w:val="both"/>
        <w:ind w:left="324" w:hanging="324"/>
        <w:spacing w:after="0" w:line="286" w:lineRule="auto"/>
        <w:tabs>
          <w:tab w:leader="none" w:pos="32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Change of Circumstances</w:t>
      </w:r>
      <w:r>
        <w:rPr>
          <w:rFonts w:ascii="Arial" w:cs="Arial" w:eastAsia="Arial" w:hAnsi="Arial"/>
          <w:sz w:val="17"/>
          <w:szCs w:val="17"/>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65" w:lineRule="exact"/>
        <w:rPr>
          <w:rFonts w:ascii="Arial" w:cs="Arial" w:eastAsia="Arial" w:hAnsi="Arial"/>
          <w:sz w:val="17"/>
          <w:szCs w:val="17"/>
          <w:color w:val="auto"/>
        </w:rPr>
      </w:pPr>
    </w:p>
    <w:p>
      <w:pPr>
        <w:jc w:val="both"/>
        <w:ind w:left="324" w:hanging="324"/>
        <w:spacing w:after="0" w:line="259" w:lineRule="auto"/>
        <w:tabs>
          <w:tab w:leader="none" w:pos="32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Due Diligence Cooperation</w:t>
      </w:r>
      <w:r>
        <w:rPr>
          <w:rFonts w:ascii="Arial" w:cs="Arial" w:eastAsia="Arial" w:hAnsi="Arial"/>
          <w:sz w:val="18"/>
          <w:szCs w:val="18"/>
          <w:color w:val="auto"/>
        </w:rPr>
        <w:t>. During the term of this Agreement,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86" w:lineRule="exact"/>
        <w:rPr>
          <w:rFonts w:ascii="Arial" w:cs="Arial" w:eastAsia="Arial" w:hAnsi="Arial"/>
          <w:sz w:val="18"/>
          <w:szCs w:val="18"/>
          <w:color w:val="auto"/>
        </w:rPr>
      </w:pPr>
    </w:p>
    <w:p>
      <w:pPr>
        <w:jc w:val="both"/>
        <w:ind w:left="324" w:hanging="324"/>
        <w:spacing w:after="0" w:line="293" w:lineRule="auto"/>
        <w:tabs>
          <w:tab w:leader="none" w:pos="324"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Arial" w:cs="Arial" w:eastAsia="Arial" w:hAnsi="Arial"/>
          <w:sz w:val="16"/>
          <w:szCs w:val="16"/>
          <w:b w:val="1"/>
          <w:bCs w:val="1"/>
          <w:u w:val="single" w:color="auto"/>
          <w:color w:val="auto"/>
        </w:rPr>
        <w:t>Filing Date</w:t>
      </w:r>
      <w:r>
        <w:rPr>
          <w:rFonts w:ascii="Arial" w:cs="Arial" w:eastAsia="Arial" w:hAnsi="Arial"/>
          <w:sz w:val="16"/>
          <w:szCs w:val="16"/>
          <w:color w:val="auto"/>
        </w:rPr>
        <w:t>”), which prospectus supplement will set forth, within the relevant period, the amount of Placement Shares sold through the 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64" w:lineRule="exact"/>
        <w:rPr>
          <w:rFonts w:ascii="Arial" w:cs="Arial" w:eastAsia="Arial" w:hAnsi="Arial"/>
          <w:sz w:val="16"/>
          <w:szCs w:val="16"/>
          <w:color w:val="auto"/>
        </w:rPr>
      </w:pPr>
    </w:p>
    <w:p>
      <w:pPr>
        <w:ind w:left="324" w:hanging="324"/>
        <w:spacing w:after="0"/>
        <w:tabs>
          <w:tab w:leader="none" w:pos="32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Representation Dates; Certificate</w:t>
      </w:r>
      <w:r>
        <w:rPr>
          <w:rFonts w:ascii="Arial" w:cs="Arial" w:eastAsia="Arial" w:hAnsi="Arial"/>
          <w:sz w:val="18"/>
          <w:szCs w:val="18"/>
          <w:color w:val="auto"/>
        </w:rPr>
        <w:t>. (1) Prior to the date of the first Placement Notice and (2) each time the Company:</w:t>
      </w:r>
    </w:p>
    <w:p>
      <w:pPr>
        <w:spacing w:after="0" w:line="225" w:lineRule="exact"/>
        <w:rPr>
          <w:rFonts w:ascii="Arial" w:cs="Arial" w:eastAsia="Arial" w:hAnsi="Arial"/>
          <w:sz w:val="18"/>
          <w:szCs w:val="18"/>
          <w:color w:val="auto"/>
        </w:rPr>
      </w:pPr>
    </w:p>
    <w:p>
      <w:pPr>
        <w:jc w:val="both"/>
        <w:ind w:left="644" w:hanging="320"/>
        <w:spacing w:after="0" w:line="259" w:lineRule="auto"/>
        <w:tabs>
          <w:tab w:leader="none" w:pos="6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86" w:lineRule="exact"/>
        <w:rPr>
          <w:rFonts w:ascii="Arial" w:cs="Arial" w:eastAsia="Arial" w:hAnsi="Arial"/>
          <w:sz w:val="18"/>
          <w:szCs w:val="18"/>
          <w:color w:val="auto"/>
        </w:rPr>
      </w:pPr>
    </w:p>
    <w:p>
      <w:pPr>
        <w:ind w:left="644" w:hanging="320"/>
        <w:spacing w:after="0" w:line="277" w:lineRule="auto"/>
        <w:tabs>
          <w:tab w:leader="none" w:pos="6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amended audited financial information or a material amendment to the previously filed Form 10-K);</w:t>
      </w:r>
    </w:p>
    <w:p>
      <w:pPr>
        <w:spacing w:after="0" w:line="170" w:lineRule="exact"/>
        <w:rPr>
          <w:rFonts w:ascii="Arial" w:cs="Arial" w:eastAsia="Arial" w:hAnsi="Arial"/>
          <w:sz w:val="18"/>
          <w:szCs w:val="18"/>
          <w:color w:val="auto"/>
        </w:rPr>
      </w:pPr>
    </w:p>
    <w:p>
      <w:pPr>
        <w:ind w:left="644" w:hanging="320"/>
        <w:spacing w:after="0"/>
        <w:tabs>
          <w:tab w:leader="none" w:pos="6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files its quarterly reports on Form 10-Q under the Exchange Act; or</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4" w:name="page125"/>
    <w:bookmarkEnd w:id="124"/>
    <w:p>
      <w:pPr>
        <w:jc w:val="both"/>
        <w:ind w:left="644" w:hanging="320"/>
        <w:spacing w:after="0" w:line="301" w:lineRule="auto"/>
        <w:tabs>
          <w:tab w:leader="none" w:pos="64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16"/>
          <w:szCs w:val="16"/>
          <w:b w:val="1"/>
          <w:bCs w:val="1"/>
          <w:u w:val="single" w:color="auto"/>
          <w:color w:val="auto"/>
        </w:rPr>
        <w:t>Representation Date</w:t>
      </w:r>
      <w:r>
        <w:rPr>
          <w:rFonts w:ascii="Arial" w:cs="Arial" w:eastAsia="Arial" w:hAnsi="Arial"/>
          <w:sz w:val="16"/>
          <w:szCs w:val="16"/>
          <w:color w:val="auto"/>
        </w:rPr>
        <w:t>”);</w:t>
      </w:r>
    </w:p>
    <w:p>
      <w:pPr>
        <w:spacing w:after="0" w:line="157" w:lineRule="exact"/>
        <w:rPr>
          <w:sz w:val="20"/>
          <w:szCs w:val="20"/>
          <w:color w:val="auto"/>
        </w:rPr>
      </w:pPr>
    </w:p>
    <w:p>
      <w:pPr>
        <w:jc w:val="both"/>
        <w:ind w:left="324"/>
        <w:spacing w:after="0" w:line="269" w:lineRule="auto"/>
        <w:rPr>
          <w:sz w:val="20"/>
          <w:szCs w:val="20"/>
          <w:color w:val="auto"/>
        </w:rPr>
      </w:pPr>
      <w:r>
        <w:rPr>
          <w:rFonts w:ascii="Arial" w:cs="Arial" w:eastAsia="Arial" w:hAnsi="Arial"/>
          <w:sz w:val="17"/>
          <w:szCs w:val="17"/>
          <w:color w:val="auto"/>
        </w:rPr>
        <w:t xml:space="preserve">the Company shall furnish the Agents (but in the case of clause (iv) above only if any Agent reasonably determines that the information contained in such Form 8-K is material) with a certificate dated the Representation Date, in the form and substance satisfactory to the Agents and their counsel, substantially similar to the form previously provided to the Agent and their counsel, modified, as necessary, to relate to the Registration Statement and the Prospectus as amended or supplemented. The requirement to provide a certificate under this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shall be waived for any Representation Date occurring at a time a Suspension is in effect,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10-K. Notwithstanding the foregoing, (i) upon the delivery of the first Placement Notice hereunder and (ii) if the Company subsequently decides to sell Placement Shares following a Representation Date when the Company relied on such waiver and did not provide the Agents with a certificate under this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then before the Company delivers the instructions for the sale of Placement Shares or the Agents sells any Placement Shares pursuant to such instructions, the Company shall provide the Agents with a certificate in conformity with this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dated as of the date that the instructions for the sale of Placement Shares are issued.</w:t>
      </w:r>
    </w:p>
    <w:p>
      <w:pPr>
        <w:spacing w:after="0" w:line="179" w:lineRule="exact"/>
        <w:rPr>
          <w:sz w:val="20"/>
          <w:szCs w:val="20"/>
          <w:color w:val="auto"/>
        </w:rPr>
      </w:pPr>
    </w:p>
    <w:p>
      <w:pPr>
        <w:jc w:val="both"/>
        <w:ind w:left="324" w:hanging="324"/>
        <w:spacing w:after="0" w:line="269" w:lineRule="auto"/>
        <w:tabs>
          <w:tab w:leader="none" w:pos="32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Opinions of Company Counsel</w:t>
      </w:r>
      <w:r>
        <w:rPr>
          <w:rFonts w:ascii="Arial" w:cs="Arial" w:eastAsia="Arial" w:hAnsi="Arial"/>
          <w:sz w:val="17"/>
          <w:szCs w:val="17"/>
          <w:color w:val="auto"/>
        </w:rPr>
        <w:t xml:space="preserve">. (1) Prior to the date of the first Placement Notice and (2) within five (5) Trading Days of each Representation Date with respect to which the Company is obligated to deliver a certificate pursuant to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for which no waiver is applicable and excluding the date of this Agreement, the Company shall cause to be furnished to the Agents a written opinion and negative assurance letter of Ellenoff Grossman &amp; Schole LLP (“</w:t>
      </w:r>
      <w:r>
        <w:rPr>
          <w:rFonts w:ascii="Arial" w:cs="Arial" w:eastAsia="Arial" w:hAnsi="Arial"/>
          <w:sz w:val="17"/>
          <w:szCs w:val="17"/>
          <w:b w:val="1"/>
          <w:bCs w:val="1"/>
          <w:u w:val="single" w:color="auto"/>
          <w:color w:val="auto"/>
        </w:rPr>
        <w:t>Company Counsel</w:t>
      </w:r>
      <w:r>
        <w:rPr>
          <w:rFonts w:ascii="Arial" w:cs="Arial" w:eastAsia="Arial" w:hAnsi="Arial"/>
          <w:sz w:val="17"/>
          <w:szCs w:val="17"/>
          <w:color w:val="auto"/>
        </w:rPr>
        <w:t xml:space="preserve">”) and of other counsel satisfactory to the Agents, each in form and substance satisfactory to Agents and their counsel, substantially similar to the form previously provided to the Agents and their counsel, modified, as necessary, to relate to the Registration Statement and the Prospectus as then amended or supplemented;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Company shall be required to furnish to the Agents no more than one opinion hereunder per calendar quarter;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in lieu of such opinions for subsequent periodic filings under the Exchange Act, counsel may furnish the Agents with a letter (a “</w:t>
      </w:r>
      <w:r>
        <w:rPr>
          <w:rFonts w:ascii="Arial" w:cs="Arial" w:eastAsia="Arial" w:hAnsi="Arial"/>
          <w:sz w:val="17"/>
          <w:szCs w:val="17"/>
          <w:b w:val="1"/>
          <w:bCs w:val="1"/>
          <w:u w:val="single" w:color="auto"/>
          <w:color w:val="auto"/>
        </w:rPr>
        <w:t>Reliance Letter</w:t>
      </w:r>
      <w:r>
        <w:rPr>
          <w:rFonts w:ascii="Arial" w:cs="Arial" w:eastAsia="Arial" w:hAnsi="Arial"/>
          <w:sz w:val="17"/>
          <w:szCs w:val="17"/>
          <w:color w:val="auto"/>
        </w:rPr>
        <w:t xml:space="preserve">”) to the effect that each Agents may rely on a prior opinion delivered under this </w:t>
      </w:r>
      <w:r>
        <w:rPr>
          <w:rFonts w:ascii="Arial" w:cs="Arial" w:eastAsia="Arial" w:hAnsi="Arial"/>
          <w:sz w:val="17"/>
          <w:szCs w:val="17"/>
          <w:u w:val="single" w:color="auto"/>
          <w:color w:val="auto"/>
        </w:rPr>
        <w:t>Section 7(m)</w:t>
      </w:r>
      <w:r>
        <w:rPr>
          <w:rFonts w:ascii="Arial" w:cs="Arial" w:eastAsia="Arial" w:hAnsi="Arial"/>
          <w:sz w:val="17"/>
          <w:szCs w:val="17"/>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81" w:lineRule="exact"/>
        <w:rPr>
          <w:rFonts w:ascii="Arial" w:cs="Arial" w:eastAsia="Arial" w:hAnsi="Arial"/>
          <w:sz w:val="17"/>
          <w:szCs w:val="17"/>
          <w:color w:val="auto"/>
        </w:rPr>
      </w:pPr>
    </w:p>
    <w:p>
      <w:pPr>
        <w:jc w:val="both"/>
        <w:ind w:left="324" w:hanging="324"/>
        <w:spacing w:after="0" w:line="268" w:lineRule="auto"/>
        <w:tabs>
          <w:tab w:leader="none" w:pos="324"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(1) Prior to the date of the first Placement Notice and (2) within five (5) Trading Days of each Representation Date with respect to which the Company is obligated to deliver a certificate pursuant to </w:t>
      </w:r>
      <w:r>
        <w:rPr>
          <w:rFonts w:ascii="Arial" w:cs="Arial" w:eastAsia="Arial" w:hAnsi="Arial"/>
          <w:sz w:val="17"/>
          <w:szCs w:val="17"/>
          <w:u w:val="single" w:color="auto"/>
          <w:color w:val="auto"/>
        </w:rPr>
        <w:t>Section 7(l)</w:t>
      </w:r>
      <w:r>
        <w:rPr>
          <w:rFonts w:ascii="Arial" w:cs="Arial" w:eastAsia="Arial" w:hAnsi="Arial"/>
          <w:sz w:val="17"/>
          <w:szCs w:val="17"/>
          <w:color w:val="auto"/>
        </w:rPr>
        <w:t xml:space="preserve"> for which no waiver is applicable and excluding the date of this Agreement, the Company shall cause its independent registered public accounting firm to furnish the Agents letters (the “</w:t>
      </w:r>
      <w:r>
        <w:rPr>
          <w:rFonts w:ascii="Arial" w:cs="Arial" w:eastAsia="Arial" w:hAnsi="Arial"/>
          <w:sz w:val="17"/>
          <w:szCs w:val="17"/>
          <w:b w:val="1"/>
          <w:bCs w:val="1"/>
          <w:u w:val="single" w:color="auto"/>
          <w:color w:val="auto"/>
        </w:rPr>
        <w:t>Comfort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Letters</w:t>
      </w:r>
      <w:r>
        <w:rPr>
          <w:rFonts w:ascii="Arial" w:cs="Arial" w:eastAsia="Arial" w:hAnsi="Arial"/>
          <w:sz w:val="17"/>
          <w:szCs w:val="17"/>
          <w:color w:val="auto"/>
        </w:rPr>
        <w:t>”), dated the date the Comfort Letter is delivered, which shall meet the requirements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if</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requested by the Agents, the Company shall cause a Comfort Letter to be furnished to the Agents within ten (10) Trading Days of the date of occurrence of any material transaction or event, including the restatement of the Company’s financial statements. The Comfort Letter from the Company’s independent registered public accounting firm shall be in a form and substance reasonably satisfactory to the Agents,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7"/>
          <w:szCs w:val="17"/>
          <w:b w:val="1"/>
          <w:bCs w:val="1"/>
          <w:u w:val="single" w:color="auto"/>
          <w:color w:val="auto"/>
        </w:rPr>
        <w:t>Initial Comfort Letter</w:t>
      </w:r>
      <w:r>
        <w:rPr>
          <w:rFonts w:ascii="Arial" w:cs="Arial" w:eastAsia="Arial" w:hAnsi="Arial"/>
          <w:sz w:val="17"/>
          <w:szCs w:val="17"/>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200" w:lineRule="exact"/>
        <w:rPr>
          <w:sz w:val="20"/>
          <w:szCs w:val="20"/>
          <w:color w:val="auto"/>
        </w:rPr>
      </w:pPr>
    </w:p>
    <w:p>
      <w:pPr>
        <w:spacing w:after="0" w:line="20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5" w:name="page126"/>
    <w:bookmarkEnd w:id="125"/>
    <w:p>
      <w:pPr>
        <w:jc w:val="both"/>
        <w:ind w:left="324" w:hanging="324"/>
        <w:spacing w:after="0" w:line="259" w:lineRule="auto"/>
        <w:tabs>
          <w:tab w:leader="none" w:pos="32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Agents.</w:t>
      </w:r>
    </w:p>
    <w:p>
      <w:pPr>
        <w:spacing w:after="0" w:line="186"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83" w:lineRule="exact"/>
        <w:rPr>
          <w:rFonts w:ascii="Arial" w:cs="Arial" w:eastAsia="Arial" w:hAnsi="Arial"/>
          <w:sz w:val="18"/>
          <w:szCs w:val="18"/>
          <w:color w:val="auto"/>
        </w:rPr>
      </w:pPr>
    </w:p>
    <w:p>
      <w:pPr>
        <w:jc w:val="both"/>
        <w:ind w:left="324" w:hanging="324"/>
        <w:spacing w:after="0" w:line="301" w:lineRule="auto"/>
        <w:tabs>
          <w:tab w:leader="none" w:pos="324"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No Offer to Sell</w:t>
      </w:r>
      <w:r>
        <w:rPr>
          <w:rFonts w:ascii="Arial" w:cs="Arial" w:eastAsia="Arial" w:hAnsi="Arial"/>
          <w:sz w:val="16"/>
          <w:szCs w:val="16"/>
          <w:color w:val="auto"/>
        </w:rPr>
        <w:t>. Other than an Issuer Free Writing Prospectus approved in advance by the Company and the Agents in their capacity as agent hereunder, neither the Agents nor the Company (including its agents and representatives, other than any of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57" w:lineRule="exact"/>
        <w:rPr>
          <w:rFonts w:ascii="Arial" w:cs="Arial" w:eastAsia="Arial" w:hAnsi="Arial"/>
          <w:sz w:val="16"/>
          <w:szCs w:val="16"/>
          <w:color w:val="auto"/>
        </w:rPr>
      </w:pPr>
    </w:p>
    <w:p>
      <w:pPr>
        <w:jc w:val="both"/>
        <w:ind w:left="324" w:hanging="324"/>
        <w:spacing w:after="0" w:line="269" w:lineRule="auto"/>
        <w:tabs>
          <w:tab w:leader="none" w:pos="324"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Blue Sky and Other Qualifications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85" w:lineRule="exact"/>
        <w:rPr>
          <w:rFonts w:ascii="Arial" w:cs="Arial" w:eastAsia="Arial" w:hAnsi="Arial"/>
          <w:sz w:val="17"/>
          <w:szCs w:val="17"/>
          <w:color w:val="auto"/>
        </w:rPr>
      </w:pPr>
    </w:p>
    <w:p>
      <w:pPr>
        <w:jc w:val="both"/>
        <w:ind w:left="324" w:hanging="324"/>
        <w:spacing w:after="0" w:line="287" w:lineRule="auto"/>
        <w:tabs>
          <w:tab w:leader="none" w:pos="324"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together with its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w:t>
      </w:r>
    </w:p>
    <w:p>
      <w:pPr>
        <w:spacing w:after="0" w:line="2" w:lineRule="exact"/>
        <w:rPr>
          <w:rFonts w:ascii="Arial" w:cs="Arial" w:eastAsia="Arial" w:hAnsi="Arial"/>
          <w:sz w:val="16"/>
          <w:szCs w:val="16"/>
          <w:color w:val="auto"/>
        </w:rPr>
      </w:pPr>
    </w:p>
    <w:p>
      <w:pPr>
        <w:jc w:val="both"/>
        <w:ind w:left="324"/>
        <w:spacing w:after="0" w:line="284" w:lineRule="auto"/>
        <w:rPr>
          <w:rFonts w:ascii="Arial" w:cs="Arial" w:eastAsia="Arial" w:hAnsi="Arial"/>
          <w:sz w:val="16"/>
          <w:szCs w:val="16"/>
          <w:color w:val="auto"/>
        </w:rPr>
      </w:pPr>
      <w:r>
        <w:rPr>
          <w:rFonts w:ascii="Arial" w:cs="Arial" w:eastAsia="Arial" w:hAnsi="Arial"/>
          <w:sz w:val="16"/>
          <w:szCs w:val="16"/>
          <w:color w:val="auto"/>
        </w:rPr>
        <w:t>(i)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together with its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6" w:name="page127"/>
    <w:bookmarkEnd w:id="126"/>
    <w:p>
      <w:pPr>
        <w:jc w:val="both"/>
        <w:ind w:left="980" w:hanging="324"/>
        <w:spacing w:after="0" w:line="285" w:lineRule="auto"/>
        <w:tabs>
          <w:tab w:leader="none" w:pos="98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Secretary’s Certificate; Further Documentation</w:t>
      </w:r>
      <w:r>
        <w:rPr>
          <w:rFonts w:ascii="Arial" w:cs="Arial" w:eastAsia="Arial" w:hAnsi="Arial"/>
          <w:sz w:val="16"/>
          <w:szCs w:val="16"/>
          <w:color w:val="auto"/>
        </w:rPr>
        <w:t>. Prior to the date of the first Placement Notice, the Company shall deliver to the Agents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w:t>
      </w:r>
    </w:p>
    <w:p>
      <w:pPr>
        <w:spacing w:after="0" w:line="1" w:lineRule="exact"/>
        <w:rPr>
          <w:rFonts w:ascii="Arial" w:cs="Arial" w:eastAsia="Arial" w:hAnsi="Arial"/>
          <w:sz w:val="16"/>
          <w:szCs w:val="16"/>
          <w:color w:val="auto"/>
        </w:rPr>
      </w:pPr>
    </w:p>
    <w:p>
      <w:pPr>
        <w:ind w:left="980"/>
        <w:spacing w:after="0" w:line="260" w:lineRule="auto"/>
        <w:tabs>
          <w:tab w:leader="none" w:pos="1254"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Trading Days of each Representation Date, the Company shall have furnished to the Agents such further information, certificates and documents as any Agent may reasonably request.</w:t>
      </w:r>
    </w:p>
    <w:p>
      <w:pPr>
        <w:spacing w:after="0" w:line="18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will promptly notify the Agents if the Company ceases to be an Emerging Growth Company at any time during the term of this Agreement.</w:t>
      </w:r>
    </w:p>
    <w:p>
      <w:pPr>
        <w:spacing w:after="0" w:line="170" w:lineRule="exact"/>
        <w:rPr>
          <w:rFonts w:ascii="Arial" w:cs="Arial" w:eastAsia="Arial" w:hAnsi="Arial"/>
          <w:sz w:val="18"/>
          <w:szCs w:val="18"/>
          <w:color w:val="auto"/>
        </w:rPr>
      </w:pPr>
    </w:p>
    <w:p>
      <w:pPr>
        <w:jc w:val="both"/>
        <w:ind w:left="660" w:hanging="652"/>
        <w:spacing w:after="0" w:line="284" w:lineRule="auto"/>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w:t>
      </w:r>
    </w:p>
    <w:p>
      <w:pPr>
        <w:spacing w:after="0" w:line="2" w:lineRule="exact"/>
        <w:rPr>
          <w:rFonts w:ascii="Arial" w:cs="Arial" w:eastAsia="Arial" w:hAnsi="Arial"/>
          <w:sz w:val="16"/>
          <w:szCs w:val="16"/>
          <w:color w:val="auto"/>
        </w:rPr>
      </w:pPr>
    </w:p>
    <w:p>
      <w:pPr>
        <w:jc w:val="both"/>
        <w:ind w:left="660" w:hanging="4"/>
        <w:spacing w:after="0" w:line="285" w:lineRule="auto"/>
        <w:tabs>
          <w:tab w:leader="none" w:pos="941"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the reasonable and documented out-of-pocket fees and expenses of the Agents, including but not limited to the fees and expenses of the counsel to the Agents, payable upon the execution of this Agreement, in an amount not to exceed $75,000 in the aggregate in connection with the execution of this Agreement, and $5,000 for each program “refresh” executed pursuant to this Agreement (for the avoidance of doubt, such $5,000 expense reimbursement shall be paid only in connection with a Representation Date to the extent that a certificate under Section 7(l) is required to be delivered to the Agents), (vi) the qualification or exemption of the Placement Shares under state securities laws in accordance with the provisions of </w:t>
      </w:r>
      <w:r>
        <w:rPr>
          <w:rFonts w:ascii="Arial" w:cs="Arial" w:eastAsia="Arial" w:hAnsi="Arial"/>
          <w:sz w:val="16"/>
          <w:szCs w:val="16"/>
          <w:u w:val="single" w:color="auto"/>
          <w:color w:val="auto"/>
        </w:rPr>
        <w:t>Section 7(r)</w:t>
      </w:r>
      <w:r>
        <w:rPr>
          <w:rFonts w:ascii="Arial" w:cs="Arial" w:eastAsia="Arial" w:hAnsi="Arial"/>
          <w:sz w:val="16"/>
          <w:szCs w:val="16"/>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reasonably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 The Company agrees to pay the fees and expenses of counsel to the Agents set forth in clause (v) above by wire transfer of immediately available funds directly to such counsel upon presentation of an invoice containing the requisite payment information prepared by such counsel.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left="660" w:hanging="652"/>
        <w:spacing w:after="0" w:line="25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Conditions to Agents’ Obligations</w:t>
      </w:r>
      <w:r>
        <w:rPr>
          <w:rFonts w:ascii="Arial" w:cs="Arial" w:eastAsia="Arial" w:hAnsi="Arial"/>
          <w:sz w:val="18"/>
          <w:szCs w:val="18"/>
          <w:color w:val="auto"/>
        </w:rPr>
        <w:t>. The obligations of the Agents hereunder with respect to a Placement will be subject to the continuing accuracy and completeness of the representations and warranties made by the Company herein (other than those representations and warranties made as of a specified date or time), to the due performance by the Company of its obligations hereunder, to the completion by the Agents of a due diligence review satisfactory to it in their reasonable judgment, and to the continuing reasonable satisfaction (or waiver by the Agents in their sole discretion) of the following additional conditions:</w:t>
      </w:r>
    </w:p>
    <w:p>
      <w:pPr>
        <w:spacing w:after="0" w:line="18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(i) resale of all Placement Shares issued to the Agents and not yet sold by the Agents and (ii) sale of all Placement Shares contemplated to be issued by any Placement Notice.</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or, pursuant to Section 8A under the Exchange Act, an order pending before or, to the knowledge of the Company, threatened by the Commission;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 untrue statement of a material fact or omit to state any material fact required to be stated therein or necessary to make the statements therein not misleading and, that in the case of the Prospectus or any material Incorporated Document, it will not contain an untrue statement of a material fact or omit to state any material fact required to be stated therein or necessary to make the statements therein, in the light of the circumstances under which they were made, not misleading.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left="324" w:hanging="324"/>
        <w:spacing w:after="0" w:line="259" w:lineRule="auto"/>
        <w:tabs>
          <w:tab w:leader="none" w:pos="32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The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6" w:lineRule="exact"/>
        <w:rPr>
          <w:rFonts w:ascii="Arial" w:cs="Arial" w:eastAsia="Arial" w:hAnsi="Arial"/>
          <w:sz w:val="18"/>
          <w:szCs w:val="18"/>
          <w:color w:val="auto"/>
        </w:rPr>
      </w:pPr>
    </w:p>
    <w:p>
      <w:pPr>
        <w:jc w:val="both"/>
        <w:ind w:left="324" w:hanging="324"/>
        <w:spacing w:after="0" w:line="271" w:lineRule="auto"/>
        <w:tabs>
          <w:tab w:leader="none" w:pos="324"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Material Changes</w:t>
      </w:r>
      <w:r>
        <w:rPr>
          <w:rFonts w:ascii="Arial" w:cs="Arial" w:eastAsia="Arial" w:hAnsi="Arial"/>
          <w:sz w:val="17"/>
          <w:szCs w:val="17"/>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78"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xml:space="preserve">. The Agents shall have received the opinions and negative assurance letters required to be delivered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 xml:space="preserve"> on or before the date on which such delivery of such opinions is required pursuant to </w:t>
      </w:r>
      <w:r>
        <w:rPr>
          <w:rFonts w:ascii="Arial" w:cs="Arial" w:eastAsia="Arial" w:hAnsi="Arial"/>
          <w:sz w:val="18"/>
          <w:szCs w:val="18"/>
          <w:u w:val="single" w:color="auto"/>
          <w:color w:val="auto"/>
        </w:rPr>
        <w:t>Section 7(m)</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The Agents shall have received the Comfort Letter required to be delivered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on or before the date on which such delivery of such Comfort Letter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xml:space="preserve">. The Agents shall have received the certificate required to be delivered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Suspension</w:t>
      </w:r>
      <w:r>
        <w:rPr>
          <w:rFonts w:ascii="Arial" w:cs="Arial" w:eastAsia="Arial" w:hAnsi="Arial"/>
          <w:sz w:val="18"/>
          <w:szCs w:val="18"/>
          <w:color w:val="auto"/>
        </w:rPr>
        <w:t>. Trading in the Common Stock shall not have been suspended on the Exchange and the Common Stock shall not have been delisted from the Exchange.</w:t>
      </w:r>
    </w:p>
    <w:p>
      <w:pPr>
        <w:spacing w:after="0" w:line="170" w:lineRule="exact"/>
        <w:rPr>
          <w:rFonts w:ascii="Arial" w:cs="Arial" w:eastAsia="Arial" w:hAnsi="Arial"/>
          <w:sz w:val="18"/>
          <w:szCs w:val="18"/>
          <w:color w:val="auto"/>
        </w:rPr>
      </w:pPr>
    </w:p>
    <w:p>
      <w:pPr>
        <w:jc w:val="both"/>
        <w:ind w:left="324" w:hanging="324"/>
        <w:spacing w:after="0" w:line="286" w:lineRule="auto"/>
        <w:tabs>
          <w:tab w:leader="none" w:pos="324"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Other Materials</w:t>
      </w:r>
      <w:r>
        <w:rPr>
          <w:rFonts w:ascii="Arial" w:cs="Arial" w:eastAsia="Arial" w:hAnsi="Arial"/>
          <w:sz w:val="17"/>
          <w:szCs w:val="17"/>
          <w:color w:val="auto"/>
        </w:rPr>
        <w:t xml:space="preserve">. On each date on which the Company is required to deliver a certificate pursuant to </w:t>
      </w:r>
      <w:r>
        <w:rPr>
          <w:rFonts w:ascii="Arial" w:cs="Arial" w:eastAsia="Arial" w:hAnsi="Arial"/>
          <w:sz w:val="17"/>
          <w:szCs w:val="17"/>
          <w:u w:val="single" w:color="auto"/>
          <w:color w:val="auto"/>
        </w:rPr>
        <w:t>Section 7(l)</w:t>
      </w:r>
      <w:r>
        <w:rPr>
          <w:rFonts w:ascii="Arial" w:cs="Arial" w:eastAsia="Arial" w:hAnsi="Arial"/>
          <w:sz w:val="17"/>
          <w:szCs w:val="17"/>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38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9" w:name="page130"/>
    <w:bookmarkEnd w:id="129"/>
    <w:p>
      <w:pPr>
        <w:ind w:left="980" w:hanging="324"/>
        <w:spacing w:after="0" w:line="342" w:lineRule="auto"/>
        <w:tabs>
          <w:tab w:leader="none" w:pos="980"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Approval for Listing</w:t>
      </w:r>
      <w:r>
        <w:rPr>
          <w:rFonts w:ascii="Arial" w:cs="Arial" w:eastAsia="Arial" w:hAnsi="Arial"/>
          <w:sz w:val="18"/>
          <w:szCs w:val="18"/>
          <w:color w:val="auto"/>
        </w:rPr>
        <w:t>. The Company shall have submitted a Listing of Additional Shares Notification Form to the Exchange related to the Placement Shares.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If applicable, FINRA shall have raised no objection to the terms of this offering and the amount of compensation allowable or payable to the Agents as described in the Prospectus.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No Termination Event</w:t>
      </w:r>
      <w:r>
        <w:rPr>
          <w:rFonts w:ascii="Arial" w:cs="Arial" w:eastAsia="Arial" w:hAnsi="Arial"/>
          <w:sz w:val="18"/>
          <w:szCs w:val="18"/>
          <w:color w:val="auto"/>
        </w:rPr>
        <w:t xml:space="preserve">. There shall not have occurred any event that would permit the Agents to terminate this Agreement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Company Indemnification</w:t>
      </w:r>
      <w:r>
        <w:rPr>
          <w:rFonts w:ascii="Arial" w:cs="Arial" w:eastAsia="Arial" w:hAnsi="Arial"/>
          <w:sz w:val="18"/>
          <w:szCs w:val="18"/>
          <w:color w:val="auto"/>
        </w:rPr>
        <w:t>. The Company agrees to indemnify and hold harmless Agents, each of the Agents’ affiliates and their respective partners, members, directors, officers, employees and agents and each person, if any, who controls the applicable Agent or any affiliate within the meaning of Section 15 of the Securities Act or Section 20 of the Exchange Act as follows:</w:t>
      </w:r>
    </w:p>
    <w:p>
      <w:pPr>
        <w:spacing w:after="0" w:line="183" w:lineRule="exact"/>
        <w:rPr>
          <w:rFonts w:ascii="Arial" w:cs="Arial" w:eastAsia="Arial" w:hAnsi="Arial"/>
          <w:sz w:val="18"/>
          <w:szCs w:val="18"/>
          <w:color w:val="auto"/>
        </w:rPr>
      </w:pPr>
    </w:p>
    <w:p>
      <w:pPr>
        <w:jc w:val="both"/>
        <w:ind w:left="1300" w:hanging="320"/>
        <w:spacing w:after="0" w:line="254" w:lineRule="auto"/>
        <w:tabs>
          <w:tab w:leader="none" w:pos="130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94"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10(d)</w:t>
      </w:r>
      <w:r>
        <w:rPr>
          <w:rFonts w:ascii="Arial" w:cs="Arial" w:eastAsia="Arial" w:hAnsi="Arial"/>
          <w:sz w:val="18"/>
          <w:szCs w:val="18"/>
          <w:color w:val="auto"/>
        </w:rPr>
        <w:t xml:space="preserve"> below) any such settlement is effected with the written consent of the Company, which consent shall not unreasonably be delayed or withheld; and</w:t>
      </w:r>
    </w:p>
    <w:p>
      <w:pPr>
        <w:spacing w:after="0" w:line="187" w:lineRule="exact"/>
        <w:rPr>
          <w:rFonts w:ascii="Arial" w:cs="Arial" w:eastAsia="Arial" w:hAnsi="Arial"/>
          <w:sz w:val="18"/>
          <w:szCs w:val="18"/>
          <w:color w:val="auto"/>
        </w:rPr>
      </w:pPr>
    </w:p>
    <w:p>
      <w:pPr>
        <w:jc w:val="both"/>
        <w:ind w:left="1300" w:hanging="320"/>
        <w:spacing w:after="0" w:line="301" w:lineRule="auto"/>
        <w:tabs>
          <w:tab w:leader="none" w:pos="130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reasonable and documented out-of-pocket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to the extent that any such expense is not paid under (i) or (ii) above,</w:t>
      </w:r>
    </w:p>
    <w:p>
      <w:pPr>
        <w:spacing w:after="0" w:line="15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indemnity agreement shall not apply to any loss, liability, claim, damage or expense to the extent arising out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untrue statement or omission or alleged untrue statement or omission made solely in reliance upon and in conformity with the Agents’ Information (as defined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left="324" w:hanging="324"/>
        <w:spacing w:after="0" w:line="269" w:lineRule="auto"/>
        <w:tabs>
          <w:tab w:leader="none" w:pos="324"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Agent Indemnification</w:t>
      </w:r>
      <w:r>
        <w:rPr>
          <w:rFonts w:ascii="Arial" w:cs="Arial" w:eastAsia="Arial" w:hAnsi="Arial"/>
          <w:sz w:val="17"/>
          <w:szCs w:val="17"/>
          <w:color w:val="auto"/>
        </w:rPr>
        <w:t xml:space="preserve">. Each Agent, severally but not jointly, agrees to indemnify and hold harmless the Company and its directors and officers of the Company, and each person, if any, who controls the Company within the meaning of Section 15 of the Securities Act or Section 20 of the Exchange Act against any and all loss, liability, claim, damage and expense described in the indemnity contained in </w:t>
      </w:r>
      <w:r>
        <w:rPr>
          <w:rFonts w:ascii="Arial" w:cs="Arial" w:eastAsia="Arial" w:hAnsi="Arial"/>
          <w:sz w:val="17"/>
          <w:szCs w:val="17"/>
          <w:u w:val="single" w:color="auto"/>
          <w:color w:val="auto"/>
        </w:rPr>
        <w:t>Section 10(a)</w:t>
      </w:r>
      <w:r>
        <w:rPr>
          <w:rFonts w:ascii="Arial" w:cs="Arial" w:eastAsia="Arial" w:hAnsi="Arial"/>
          <w:sz w:val="17"/>
          <w:szCs w:val="17"/>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Agents and furnished to the Company in writing by the Agents expressly for use therein. The Company hereby acknowledges that the only information that the Agents have furnished to the Company expressly for use in the Registration Statement, the Prospectus or any Issuer Free Writing Prospectus (or any amendment or supplement thereto) are the statements set forth in the [●] and [●] paragraphs under the caption “Plan of Distribution” in the Prospectus (the “</w:t>
      </w:r>
      <w:r>
        <w:rPr>
          <w:rFonts w:ascii="Arial" w:cs="Arial" w:eastAsia="Arial" w:hAnsi="Arial"/>
          <w:sz w:val="17"/>
          <w:szCs w:val="17"/>
          <w:b w:val="1"/>
          <w:bCs w:val="1"/>
          <w:u w:val="single" w:color="auto"/>
          <w:color w:val="auto"/>
        </w:rPr>
        <w:t>Agent Information</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324" w:hanging="324"/>
        <w:spacing w:after="0" w:line="282" w:lineRule="auto"/>
        <w:tabs>
          <w:tab w:leader="none" w:pos="324"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Any party that proposes to assert the right to be indemnified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(ii) any liability that it may have to any indemnified party under the foregoing provision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(plus local counsel if reasonably necessary) admitted to practice in such jurisdiction at any one time for all such indemnified party or parties. 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(whether or not any indemnified party is a party thereto), unless such settlement, compromise or consent</w:t>
      </w:r>
    </w:p>
    <w:p>
      <w:pPr>
        <w:spacing w:after="0" w:line="8" w:lineRule="exact"/>
        <w:rPr>
          <w:rFonts w:ascii="Arial" w:cs="Arial" w:eastAsia="Arial" w:hAnsi="Arial"/>
          <w:sz w:val="16"/>
          <w:szCs w:val="16"/>
          <w:color w:val="auto"/>
        </w:rPr>
      </w:pPr>
    </w:p>
    <w:p>
      <w:pPr>
        <w:jc w:val="both"/>
        <w:ind w:left="324"/>
        <w:spacing w:after="0" w:line="255" w:lineRule="auto"/>
        <w:tabs>
          <w:tab w:leader="none" w:pos="62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1" w:name="page132"/>
    <w:bookmarkEnd w:id="131"/>
    <w:p>
      <w:pPr>
        <w:jc w:val="both"/>
        <w:ind w:left="980" w:hanging="324"/>
        <w:spacing w:after="0" w:line="273" w:lineRule="auto"/>
        <w:tabs>
          <w:tab w:leader="none" w:pos="98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Settlement Without Consent if Failure to Reimburse. If an indemnified party shall have requested an indemnifying party to reimburse the indemnified party for reasonable fees and expenses of counsel, such indemnifying party agrees that it shall be liable for any settlement of the nature contemplated by Section 10(a)(ii)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77" w:lineRule="exact"/>
        <w:rPr>
          <w:rFonts w:ascii="Arial" w:cs="Arial" w:eastAsia="Arial" w:hAnsi="Arial"/>
          <w:sz w:val="17"/>
          <w:szCs w:val="17"/>
          <w:color w:val="auto"/>
        </w:rPr>
      </w:pPr>
    </w:p>
    <w:p>
      <w:pPr>
        <w:jc w:val="both"/>
        <w:ind w:left="980" w:hanging="324"/>
        <w:spacing w:after="0" w:line="283" w:lineRule="auto"/>
        <w:tabs>
          <w:tab w:leader="none" w:pos="980"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is applicable in accordance with its terms but for any reason is held to be unavailable or insufficient from the Company or an Agents, the Company and such Agents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an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10(e)</w:t>
      </w:r>
      <w:r>
        <w:rPr>
          <w:rFonts w:ascii="Arial" w:cs="Arial" w:eastAsia="Arial" w:hAnsi="Arial"/>
          <w:sz w:val="16"/>
          <w:szCs w:val="16"/>
          <w:color w:val="auto"/>
        </w:rPr>
        <w:t xml:space="preserve"> shall be deemed to include, for the purpose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hereof. Notwithstanding the foregoing provisions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an Agent shall not be required to contribute any amount in excess of the commissions received by it under this Agreement and no person found guilty of fraudulent misrepresentation (within the meaning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11(f)</w:t>
      </w:r>
      <w:r>
        <w:rPr>
          <w:rFonts w:ascii="Arial" w:cs="Arial" w:eastAsia="Arial" w:hAnsi="Arial"/>
          <w:sz w:val="16"/>
          <w:szCs w:val="16"/>
          <w:color w:val="auto"/>
        </w:rPr>
        <w:t xml:space="preserve"> of the Securities Act) will be entitled to contribution from any person who was not guilty of such fraudulent misrepresentation. For purposes of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any person who controls a party to this Agreement within the meaning of the Securities Act, any affiliates of the Agents and any officers, directors, partners, employees or agents of the Agents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hereof. The Agents’ respective obligations to contribute pursuant to this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are several in proportion to the respective compensation received by the Agents from the sale of Placement Shares sold hereunder, and not joint.</w:t>
      </w:r>
    </w:p>
    <w:p>
      <w:pPr>
        <w:spacing w:after="0" w:line="398" w:lineRule="exact"/>
        <w:rPr>
          <w:rFonts w:ascii="Arial" w:cs="Arial" w:eastAsia="Arial" w:hAnsi="Arial"/>
          <w:sz w:val="16"/>
          <w:szCs w:val="16"/>
          <w:color w:val="auto"/>
        </w:rPr>
      </w:pPr>
    </w:p>
    <w:p>
      <w:pPr>
        <w:jc w:val="both"/>
        <w:ind w:left="660" w:hanging="652"/>
        <w:spacing w:after="0" w:line="25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xml:space="preserve">. The indemnity and contribution agreements contained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hanging="324"/>
        <w:spacing w:after="0" w:line="267" w:lineRule="auto"/>
        <w:tabs>
          <w:tab w:leader="none" w:pos="98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Each Agent may terminate this Agreement, by notice to the Company, as hereinafter specified at any time (1) if there has been, since the time of execution of this Agreement or since the date as of which information is given in the Prospectus, any Material Adverse Effect, or any development that would have a Material Adverse Effect that in the sole judgment of the Agents are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(Payment of Expenses),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(Indemnification and Contribution),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(Representations and Agreements to Survive Delivery),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(Governing Law and Time; Waiver of Jury Trial)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(Consent to Jurisdiction) hereof shall remain in full force and effect notwithstanding such termination. If an Agent elects to terminate this Agreement as provided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12(a)</w:t>
      </w:r>
      <w:r>
        <w:rPr>
          <w:rFonts w:ascii="Arial" w:cs="Arial" w:eastAsia="Arial" w:hAnsi="Arial"/>
          <w:sz w:val="17"/>
          <w:szCs w:val="17"/>
          <w:color w:val="auto"/>
        </w:rPr>
        <w:t xml:space="preserve">, such Agent shall provide the required notice as specified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(Notices). For the avoidance of doubt, the termination by one Agent of its rights and obligations under this Agreement pursuant to this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shall not affect the rights and obligations of the other Agent under this Agreement.</w:t>
      </w:r>
    </w:p>
    <w:p>
      <w:pPr>
        <w:spacing w:after="0" w:line="188"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hereof shall remain in full force and effect notwithstanding such termination.</w:t>
      </w:r>
    </w:p>
    <w:p>
      <w:pPr>
        <w:spacing w:after="0" w:line="186" w:lineRule="exact"/>
        <w:rPr>
          <w:rFonts w:ascii="Arial" w:cs="Arial" w:eastAsia="Arial" w:hAnsi="Arial"/>
          <w:sz w:val="18"/>
          <w:szCs w:val="18"/>
          <w:color w:val="auto"/>
        </w:rPr>
      </w:pPr>
    </w:p>
    <w:p>
      <w:pPr>
        <w:jc w:val="both"/>
        <w:ind w:left="980" w:hanging="324"/>
        <w:spacing w:after="0" w:line="275" w:lineRule="auto"/>
        <w:tabs>
          <w:tab w:leader="none" w:pos="98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The Agents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hereof shall remain in full force and effect notwithstanding such termination. For the avoidance of doubt, the termination by one Agent of its rights and obligations under this Agreement pursuant to this </w:t>
      </w:r>
      <w:r>
        <w:rPr>
          <w:rFonts w:ascii="Arial" w:cs="Arial" w:eastAsia="Arial" w:hAnsi="Arial"/>
          <w:sz w:val="17"/>
          <w:szCs w:val="17"/>
          <w:u w:val="single" w:color="auto"/>
          <w:color w:val="auto"/>
        </w:rPr>
        <w:t>Section 12(c)</w:t>
      </w:r>
      <w:r>
        <w:rPr>
          <w:rFonts w:ascii="Arial" w:cs="Arial" w:eastAsia="Arial" w:hAnsi="Arial"/>
          <w:sz w:val="17"/>
          <w:szCs w:val="17"/>
          <w:color w:val="auto"/>
        </w:rPr>
        <w:t xml:space="preserve"> shall not affect the rights and obligations of the other Agent under this Agreement.</w:t>
      </w:r>
    </w:p>
    <w:p>
      <w:pPr>
        <w:spacing w:after="0" w:line="17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This Agreement shall remain in full force and effect unless terminated pursuant to </w:t>
      </w:r>
      <w:r>
        <w:rPr>
          <w:rFonts w:ascii="Arial" w:cs="Arial" w:eastAsia="Arial" w:hAnsi="Arial"/>
          <w:sz w:val="18"/>
          <w:szCs w:val="18"/>
          <w:u w:val="single" w:color="auto"/>
          <w:color w:val="auto"/>
        </w:rPr>
        <w:t>Sections 12(a)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or otherwise by mutual agreement of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such termination by mutual agreement shall in all cases be deemed to provide that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remain in full force and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left="324" w:hanging="324"/>
        <w:spacing w:after="0" w:line="259" w:lineRule="auto"/>
        <w:tabs>
          <w:tab w:leader="none" w:pos="3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termination shall not be effective until the close of business on the date of receipt of such notice by relevant Agent or the Company, as the case may be. If such termination shall occur prior to the Settlement Date for any sale of Placement Shares, such Placement Shares shall settle in accordance with the provisions of this Agreement.</w:t>
      </w:r>
    </w:p>
    <w:p>
      <w:pPr>
        <w:spacing w:after="0" w:line="187" w:lineRule="exact"/>
        <w:rPr>
          <w:sz w:val="20"/>
          <w:szCs w:val="20"/>
          <w:color w:val="auto"/>
        </w:rPr>
      </w:pPr>
    </w:p>
    <w:p>
      <w:pPr>
        <w:ind w:left="324" w:hanging="324"/>
        <w:spacing w:after="0" w:line="277" w:lineRule="auto"/>
        <w:tabs>
          <w:tab w:leader="none" w:pos="324"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70" w:lineRule="exact"/>
        <w:rPr>
          <w:sz w:val="20"/>
          <w:szCs w:val="20"/>
          <w:color w:val="auto"/>
        </w:rPr>
      </w:pPr>
    </w:p>
    <w:p>
      <w:pPr>
        <w:ind w:left="964"/>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jc w:val="center"/>
        <w:ind w:left="964" w:right="8040" w:firstLine="8"/>
        <w:spacing w:after="0" w:line="281" w:lineRule="auto"/>
        <w:tabs>
          <w:tab w:leader="none" w:pos="127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Park Avenue New York, NY 10022</w:t>
      </w:r>
    </w:p>
    <w:p>
      <w:pPr>
        <w:spacing w:after="0" w:line="1" w:lineRule="exact"/>
        <w:rPr>
          <w:sz w:val="20"/>
          <w:szCs w:val="20"/>
          <w:color w:val="auto"/>
        </w:rPr>
      </w:pPr>
    </w:p>
    <w:p>
      <w:pPr>
        <w:ind w:left="964"/>
        <w:spacing w:after="0"/>
        <w:tabs>
          <w:tab w:leader="none" w:pos="224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Capital Markets</w:t>
      </w:r>
    </w:p>
    <w:p>
      <w:pPr>
        <w:spacing w:after="0" w:line="9" w:lineRule="exact"/>
        <w:rPr>
          <w:sz w:val="20"/>
          <w:szCs w:val="20"/>
          <w:color w:val="auto"/>
        </w:rPr>
      </w:pPr>
    </w:p>
    <w:p>
      <w:pPr>
        <w:ind w:left="964"/>
        <w:spacing w:after="0"/>
        <w:tabs>
          <w:tab w:leader="none" w:pos="2244"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307-3730</w:t>
      </w:r>
    </w:p>
    <w:p>
      <w:pPr>
        <w:spacing w:after="0" w:line="211" w:lineRule="exact"/>
        <w:rPr>
          <w:sz w:val="20"/>
          <w:szCs w:val="20"/>
          <w:color w:val="auto"/>
        </w:rPr>
      </w:pPr>
    </w:p>
    <w:p>
      <w:pPr>
        <w:ind w:left="964"/>
        <w:spacing w:after="0"/>
        <w:rPr>
          <w:sz w:val="20"/>
          <w:szCs w:val="20"/>
          <w:color w:val="auto"/>
        </w:rPr>
      </w:pPr>
      <w:r>
        <w:rPr>
          <w:rFonts w:ascii="Arial" w:cs="Arial" w:eastAsia="Arial" w:hAnsi="Arial"/>
          <w:sz w:val="18"/>
          <w:szCs w:val="18"/>
          <w:color w:val="auto"/>
        </w:rPr>
        <w:t>D. A. Davidson &amp; Co.</w:t>
      </w:r>
    </w:p>
    <w:p>
      <w:pPr>
        <w:spacing w:after="0" w:line="23" w:lineRule="exact"/>
        <w:rPr>
          <w:sz w:val="20"/>
          <w:szCs w:val="20"/>
          <w:color w:val="auto"/>
        </w:rPr>
      </w:pPr>
    </w:p>
    <w:p>
      <w:pPr>
        <w:ind w:left="964"/>
        <w:spacing w:after="0"/>
        <w:rPr>
          <w:sz w:val="20"/>
          <w:szCs w:val="20"/>
          <w:color w:val="auto"/>
        </w:rPr>
      </w:pPr>
      <w:r>
        <w:rPr>
          <w:rFonts w:ascii="Arial" w:cs="Arial" w:eastAsia="Arial" w:hAnsi="Arial"/>
          <w:sz w:val="18"/>
          <w:szCs w:val="18"/>
          <w:color w:val="auto"/>
        </w:rPr>
        <w:t>757 3rd Ave, Suite 1902,</w:t>
      </w:r>
    </w:p>
    <w:p>
      <w:pPr>
        <w:spacing w:after="0" w:line="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ind w:left="964"/>
        <w:spacing w:after="0"/>
        <w:rPr>
          <w:sz w:val="20"/>
          <w:szCs w:val="20"/>
          <w:color w:val="auto"/>
        </w:rPr>
      </w:pPr>
      <w:r>
        <w:rPr>
          <w:rFonts w:ascii="Arial" w:cs="Arial" w:eastAsia="Arial" w:hAnsi="Arial"/>
          <w:sz w:val="18"/>
          <w:szCs w:val="18"/>
          <w:color w:val="auto"/>
        </w:rPr>
        <w:t>H.C. Wainwright &amp; Co.</w:t>
      </w:r>
    </w:p>
    <w:p>
      <w:pPr>
        <w:spacing w:after="0" w:line="23" w:lineRule="exact"/>
        <w:rPr>
          <w:sz w:val="20"/>
          <w:szCs w:val="20"/>
          <w:color w:val="auto"/>
        </w:rPr>
      </w:pPr>
    </w:p>
    <w:p>
      <w:pPr>
        <w:ind w:left="964"/>
        <w:spacing w:after="0"/>
        <w:rPr>
          <w:sz w:val="20"/>
          <w:szCs w:val="20"/>
          <w:color w:val="auto"/>
        </w:rPr>
      </w:pPr>
      <w:r>
        <w:rPr>
          <w:rFonts w:ascii="Arial" w:cs="Arial" w:eastAsia="Arial" w:hAnsi="Arial"/>
          <w:sz w:val="18"/>
          <w:szCs w:val="18"/>
          <w:color w:val="auto"/>
        </w:rPr>
        <w:t>430 Park Ave,</w:t>
      </w:r>
    </w:p>
    <w:p>
      <w:pPr>
        <w:spacing w:after="0" w:line="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64"/>
        <w:spacing w:after="0"/>
        <w:rPr>
          <w:sz w:val="20"/>
          <w:szCs w:val="20"/>
          <w:color w:val="auto"/>
        </w:rPr>
      </w:pPr>
      <w:r>
        <w:rPr>
          <w:rFonts w:ascii="Arial" w:cs="Arial" w:eastAsia="Arial" w:hAnsi="Arial"/>
          <w:sz w:val="18"/>
          <w:szCs w:val="18"/>
          <w:color w:val="auto"/>
        </w:rPr>
        <w:t>Cantor Fitzgerald &amp; Co.</w:t>
      </w:r>
    </w:p>
    <w:p>
      <w:pPr>
        <w:spacing w:after="0" w:line="23" w:lineRule="exact"/>
        <w:rPr>
          <w:sz w:val="20"/>
          <w:szCs w:val="20"/>
          <w:color w:val="auto"/>
        </w:rPr>
      </w:pPr>
    </w:p>
    <w:p>
      <w:pPr>
        <w:jc w:val="center"/>
        <w:ind w:left="964" w:right="8040" w:firstLine="8"/>
        <w:spacing w:after="0" w:line="281" w:lineRule="auto"/>
        <w:tabs>
          <w:tab w:leader="none" w:pos="127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Park Avenue New York, NY 10022</w:t>
      </w:r>
    </w:p>
    <w:p>
      <w:pPr>
        <w:spacing w:after="0" w:line="1" w:lineRule="exact"/>
        <w:rPr>
          <w:sz w:val="20"/>
          <w:szCs w:val="20"/>
          <w:color w:val="auto"/>
        </w:rPr>
      </w:pPr>
    </w:p>
    <w:p>
      <w:pPr>
        <w:ind w:left="964"/>
        <w:spacing w:after="0"/>
        <w:tabs>
          <w:tab w:leader="none" w:pos="224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964"/>
        <w:spacing w:after="0"/>
        <w:tabs>
          <w:tab w:leader="none" w:pos="2244"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829-4708</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64"/>
        <w:spacing w:after="0"/>
        <w:rPr>
          <w:sz w:val="20"/>
          <w:szCs w:val="20"/>
          <w:color w:val="auto"/>
        </w:rPr>
      </w:pPr>
      <w:r>
        <w:rPr>
          <w:rFonts w:ascii="Arial" w:cs="Arial" w:eastAsia="Arial" w:hAnsi="Arial"/>
          <w:sz w:val="18"/>
          <w:szCs w:val="18"/>
          <w:color w:val="auto"/>
        </w:rPr>
        <w:t>King &amp; Spalding LLP</w:t>
      </w:r>
    </w:p>
    <w:p>
      <w:pPr>
        <w:spacing w:after="0" w:line="23" w:lineRule="exact"/>
        <w:rPr>
          <w:sz w:val="20"/>
          <w:szCs w:val="20"/>
          <w:color w:val="auto"/>
        </w:rPr>
      </w:pPr>
    </w:p>
    <w:p>
      <w:pPr>
        <w:ind w:left="964"/>
        <w:spacing w:after="0"/>
        <w:rPr>
          <w:sz w:val="20"/>
          <w:szCs w:val="20"/>
          <w:color w:val="auto"/>
        </w:rPr>
      </w:pPr>
      <w:r>
        <w:rPr>
          <w:rFonts w:ascii="Arial" w:cs="Arial" w:eastAsia="Arial" w:hAnsi="Arial"/>
          <w:sz w:val="18"/>
          <w:szCs w:val="18"/>
          <w:color w:val="auto"/>
        </w:rPr>
        <w:t>185 6th Ave,</w:t>
      </w:r>
    </w:p>
    <w:p>
      <w:pPr>
        <w:spacing w:after="0" w:line="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964"/>
        <w:spacing w:after="0"/>
        <w:tabs>
          <w:tab w:leader="none" w:pos="224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Kevin E. Manz, Esq.</w:t>
      </w:r>
    </w:p>
    <w:p>
      <w:pPr>
        <w:spacing w:after="0" w:line="9" w:lineRule="exact"/>
        <w:rPr>
          <w:sz w:val="20"/>
          <w:szCs w:val="20"/>
          <w:color w:val="auto"/>
        </w:rPr>
      </w:pPr>
    </w:p>
    <w:p>
      <w:pPr>
        <w:ind w:left="964"/>
        <w:spacing w:after="0"/>
        <w:tabs>
          <w:tab w:leader="none" w:pos="2244"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556-2133</w:t>
      </w:r>
    </w:p>
    <w:p>
      <w:pPr>
        <w:spacing w:after="0" w:line="200" w:lineRule="exact"/>
        <w:rPr>
          <w:sz w:val="20"/>
          <w:szCs w:val="20"/>
          <w:color w:val="auto"/>
        </w:rPr>
      </w:pPr>
    </w:p>
    <w:p>
      <w:pPr>
        <w:spacing w:after="0" w:line="22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color w:val="auto"/>
        </w:rPr>
        <w:t>and if to the Company, shall be delivered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SoundHound AI, Inc.</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5400 Betsy Ross Drive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Number: (408) 441-3200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nsharan@soundhound.com</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Nitesh Sharan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Ellenoff Grossman &amp; Schole LLP</w:t>
      </w:r>
    </w:p>
    <w:p>
      <w:pPr>
        <w:ind w:left="1620"/>
        <w:spacing w:after="0" w:line="202" w:lineRule="auto"/>
        <w:rPr>
          <w:sz w:val="20"/>
          <w:szCs w:val="20"/>
          <w:color w:val="auto"/>
        </w:rPr>
      </w:pPr>
      <w:r>
        <w:rPr>
          <w:rFonts w:ascii="Arial" w:cs="Arial" w:eastAsia="Arial" w:hAnsi="Arial"/>
          <w:sz w:val="18"/>
          <w:szCs w:val="18"/>
          <w:color w:val="auto"/>
        </w:rPr>
        <w:t>1345 Avenue of the Americas,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New York, NY 10105</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Number: (617) 823-5876</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Email: mbernstein@egsllp.com</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Matthew Bernstein, Esq.</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7"/>
          <w:szCs w:val="17"/>
          <w:b w:val="1"/>
          <w:bCs w:val="1"/>
          <w:u w:val="single" w:color="auto"/>
          <w:color w:val="auto"/>
        </w:rPr>
        <w:t>Business Day</w:t>
      </w:r>
      <w:r>
        <w:rPr>
          <w:rFonts w:ascii="Arial" w:cs="Arial" w:eastAsia="Arial" w:hAnsi="Arial"/>
          <w:sz w:val="17"/>
          <w:szCs w:val="17"/>
          <w:color w:val="auto"/>
        </w:rPr>
        <w:t>” shall mean any day on which the Exchange and commercial banks in the City of New York are open for business.</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 Notic</w:t>
      </w:r>
      <w:r>
        <w:rPr>
          <w:rFonts w:ascii="Arial" w:cs="Arial" w:eastAsia="Arial" w:hAnsi="Arial"/>
          <w:sz w:val="18"/>
          <w:szCs w:val="18"/>
          <w:b w:val="1"/>
          <w:bCs w:val="1"/>
          <w:color w:val="auto"/>
        </w:rPr>
        <w:t>e</w:t>
      </w:r>
      <w:r>
        <w:rPr>
          <w:rFonts w:ascii="Arial" w:cs="Arial" w:eastAsia="Arial" w:hAnsi="Arial"/>
          <w:sz w:val="18"/>
          <w:szCs w:val="18"/>
          <w:color w:val="auto"/>
        </w:rPr>
        <w:t>”) which shall be sent to the requesting party within ten (10) days of receipt of the written request for Nonelectronic Notice.</w:t>
      </w:r>
    </w:p>
    <w:p>
      <w:pPr>
        <w:spacing w:after="0" w:line="187" w:lineRule="exact"/>
        <w:rPr>
          <w:sz w:val="20"/>
          <w:szCs w:val="20"/>
          <w:color w:val="auto"/>
        </w:rPr>
      </w:pPr>
    </w:p>
    <w:p>
      <w:pPr>
        <w:jc w:val="both"/>
        <w:ind w:left="660" w:hanging="652"/>
        <w:spacing w:after="0" w:line="272"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inure to the benefit of and be binding upon the Company and the Agents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of the Agents may assign its rights and obligations hereunder to an affiliate thereof without obtaining the Company’s consent.</w:t>
      </w:r>
    </w:p>
    <w:p>
      <w:pPr>
        <w:spacing w:after="0" w:line="177"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Adjustments for Stock Splits</w:t>
      </w:r>
      <w:r>
        <w:rPr>
          <w:rFonts w:ascii="Arial" w:cs="Arial" w:eastAsia="Arial" w:hAnsi="Arial"/>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left="660" w:hanging="652"/>
        <w:spacing w:after="0" w:line="287"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 Waiver</w:t>
      </w:r>
      <w:r>
        <w:rPr>
          <w:rFonts w:ascii="Arial" w:cs="Arial" w:eastAsia="Arial" w:hAnsi="Arial"/>
          <w:sz w:val="16"/>
          <w:szCs w:val="16"/>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67" w:lineRule="exact"/>
        <w:rPr>
          <w:rFonts w:ascii="Arial" w:cs="Arial" w:eastAsia="Arial" w:hAnsi="Arial"/>
          <w:sz w:val="16"/>
          <w:szCs w:val="16"/>
          <w:color w:val="auto"/>
        </w:rPr>
      </w:pPr>
    </w:p>
    <w:p>
      <w:pPr>
        <w:jc w:val="both"/>
        <w:ind w:left="660" w:hanging="652"/>
        <w:spacing w:after="0" w:line="256"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7" w:lineRule="exact"/>
        <w:rPr>
          <w:rFonts w:ascii="Arial" w:cs="Arial" w:eastAsia="Arial" w:hAnsi="Arial"/>
          <w:sz w:val="18"/>
          <w:szCs w:val="18"/>
          <w:color w:val="auto"/>
        </w:rPr>
      </w:pPr>
    </w:p>
    <w:p>
      <w:pPr>
        <w:jc w:val="both"/>
        <w:ind w:left="660" w:hanging="652"/>
        <w:spacing w:after="0" w:line="253"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left="660" w:hanging="652"/>
        <w:spacing w:after="0" w:line="25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 Counterparts may be delivered via facsimile, electronic mail (including via www.docusign.com and any other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1" w:lineRule="exact"/>
        <w:rPr>
          <w:rFonts w:ascii="Arial" w:cs="Arial" w:eastAsia="Arial" w:hAnsi="Arial"/>
          <w:sz w:val="17"/>
          <w:szCs w:val="17"/>
          <w:color w:val="auto"/>
        </w:rPr>
      </w:pPr>
    </w:p>
    <w:p>
      <w:pPr>
        <w:jc w:val="both"/>
        <w:ind w:left="660" w:hanging="652"/>
        <w:spacing w:after="0" w:line="253"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The parties acknowledge and agree that as of the date of this Agreement the Company is an “ineligible issuer” as defined under Rule 405 of the Securities Act and therefore cannot make any offer that would constitute a free writing prospectus. The Company represents, warrants and agrees that, unless it obtains the prior written consent of the Agents, and each of the Agents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warrants and agrees that it will treat each Permitted Free Writing Prospectus as an “issuer free writing prospectus,” as defined in Rule 433, and will comply with the requirements of Rule 433 applicable to any Permitted Free Writing Prospectus, including timely filing with the Commission where required, legending and record keeping.</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means (i) each Representation Date, (ii) the time of each sale of any Placement Shares pursuant to this Agreement and (iii) each Settlement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Data</w:t>
      </w:r>
      <w:r>
        <w:rPr>
          <w:rFonts w:ascii="Arial" w:cs="Arial" w:eastAsia="Arial" w:hAnsi="Arial"/>
          <w:sz w:val="18"/>
          <w:szCs w:val="18"/>
          <w:color w:val="auto"/>
        </w:rPr>
        <w:t>” means all business information and data, including Personal Information (whether of employees, contractors, consultants, customers, consumers, or other persons and whether in electronic or any other form or medium) that is accessed, collected, used, stored, shared, distributed, transferred, disclosed, destroyed, disposed of or otherwise processed by any of the Business Systems or otherwise in the course of the conduct of the business of the Company and its Subsidiaries.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Systems</w:t>
      </w:r>
      <w:r>
        <w:rPr>
          <w:rFonts w:ascii="Arial" w:cs="Arial" w:eastAsia="Arial" w:hAnsi="Arial"/>
          <w:sz w:val="18"/>
          <w:szCs w:val="18"/>
          <w:color w:val="auto"/>
        </w:rPr>
        <w:t>” means all Software, computer hardware (whether general or special purpose), electronic data processors, databases, communications, telecommunications, networks, interfaces, platforms, servers, peripherals, and computer systems, including any outsourced systems and processes, that are owned or used in the conduct of the business of the Company and its Subsidiaries.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Governmental Authority</w:t>
      </w:r>
      <w:r>
        <w:rPr>
          <w:rFonts w:ascii="Arial" w:cs="Arial" w:eastAsia="Arial" w:hAnsi="Arial"/>
          <w:sz w:val="17"/>
          <w:szCs w:val="17"/>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Issuer Free Writing Prospectus</w:t>
      </w:r>
      <w:r>
        <w:rPr>
          <w:rFonts w:ascii="Arial" w:cs="Arial" w:eastAsia="Arial" w:hAnsi="Arial"/>
          <w:sz w:val="16"/>
          <w:szCs w:val="16"/>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(a) information related to an identified or identifiable individual (e.g., name, address telephone number, email address, financial account number, government-issued identifier), (b) any other data used or intended to be used or which allows one to identify, contact, or precisely locate an individual, including any internet protocol address or other persistent identifier, and (c) any other, similar information or data regulated by Privacy/Data Security Laws.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Privacy/Data Security Laws</w:t>
      </w:r>
      <w:r>
        <w:rPr>
          <w:rFonts w:ascii="Arial" w:cs="Arial" w:eastAsia="Arial" w:hAnsi="Arial"/>
          <w:sz w:val="18"/>
          <w:szCs w:val="18"/>
          <w:color w:val="auto"/>
        </w:rPr>
        <w:t>” means all laws governing the receipt, collection, use, storage, processing, sharing, security, disclosure, or transfer of Personal Information or the security of the Business Systems or Business Data.</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Rule 164</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172</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405</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415</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424</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424(b)</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Rule 430B</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Rule 433</w:t>
      </w:r>
      <w:r>
        <w:rPr>
          <w:rFonts w:ascii="Arial" w:cs="Arial" w:eastAsia="Arial" w:hAnsi="Arial"/>
          <w:sz w:val="18"/>
          <w:szCs w:val="18"/>
          <w:color w:val="auto"/>
        </w:rPr>
        <w:t>” refer to such rules under the Securities Act Regulations.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Company and the Agents, please so indicate in the space provided below for that purpose, whereupon this letter shall constitute a binding agreement between the Company and the Agents.</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SoundHound AI, Inc.</w:t>
      </w:r>
    </w:p>
    <w:p>
      <w:pPr>
        <w:spacing w:after="0" w:line="23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9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5620"/>
        <w:spacing w:after="0"/>
        <w:rPr>
          <w:sz w:val="20"/>
          <w:szCs w:val="20"/>
          <w:color w:val="auto"/>
        </w:rPr>
      </w:pPr>
      <w:r>
        <w:rPr>
          <w:rFonts w:ascii="Arial" w:cs="Arial" w:eastAsia="Arial" w:hAnsi="Arial"/>
          <w:sz w:val="16"/>
          <w:szCs w:val="16"/>
          <w:color w:val="auto"/>
        </w:rPr>
        <w:t>ACCEPTED as of the date first-above written:</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CANTOR FITZGERALD &amp; CO.</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24949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 A. DAVIDSON &amp; CO.</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24949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H.C. WAINWRIGHT &amp; CO.</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24949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40" w:name="page141"/>
    <w:bookmarkEnd w:id="140"/>
    <w:tbl>
      <w:tblPr>
        <w:tblLayout w:type="fixed"/>
        <w:tblInd w:w="66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98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98"/>
              </w:rPr>
              <w:t>SCHEDULE 1</w:t>
            </w:r>
          </w:p>
        </w:tc>
      </w:tr>
      <w:tr>
        <w:trPr>
          <w:trHeight w:val="230"/>
        </w:trPr>
        <w:tc>
          <w:tcPr>
            <w:tcW w:w="780" w:type="dxa"/>
            <w:vAlign w:val="bottom"/>
          </w:tcPr>
          <w:p>
            <w:pPr>
              <w:spacing w:after="0"/>
              <w:rPr>
                <w:sz w:val="20"/>
                <w:szCs w:val="20"/>
                <w:color w:val="auto"/>
              </w:rPr>
            </w:pPr>
          </w:p>
        </w:tc>
        <w:tc>
          <w:tcPr>
            <w:tcW w:w="536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__________________________</w:t>
            </w:r>
          </w:p>
        </w:tc>
      </w:tr>
      <w:tr>
        <w:trPr>
          <w:trHeight w:val="418"/>
        </w:trPr>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98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90"/>
              </w:rPr>
              <w:t>Form of Placement Notice</w:t>
            </w:r>
          </w:p>
        </w:tc>
      </w:tr>
      <w:tr>
        <w:trPr>
          <w:trHeight w:val="230"/>
        </w:trPr>
        <w:tc>
          <w:tcPr>
            <w:tcW w:w="780" w:type="dxa"/>
            <w:vAlign w:val="bottom"/>
          </w:tcPr>
          <w:p>
            <w:pPr>
              <w:spacing w:after="0"/>
              <w:rPr>
                <w:sz w:val="20"/>
                <w:szCs w:val="20"/>
                <w:color w:val="auto"/>
              </w:rPr>
            </w:pPr>
          </w:p>
        </w:tc>
        <w:tc>
          <w:tcPr>
            <w:tcW w:w="5360" w:type="dxa"/>
            <w:vAlign w:val="bottom"/>
            <w:gridSpan w:val="3"/>
          </w:tcPr>
          <w:p>
            <w:pPr>
              <w:jc w:val="center"/>
              <w:ind w:left="2930"/>
              <w:spacing w:after="0"/>
              <w:rPr>
                <w:sz w:val="20"/>
                <w:szCs w:val="20"/>
                <w:color w:val="auto"/>
              </w:rPr>
            </w:pPr>
            <w:r>
              <w:rPr>
                <w:rFonts w:ascii="Arial" w:cs="Arial" w:eastAsia="Arial" w:hAnsi="Arial"/>
                <w:sz w:val="18"/>
                <w:szCs w:val="18"/>
                <w:color w:val="auto"/>
                <w:w w:val="89"/>
              </w:rPr>
              <w:t>__________________________</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5360" w:type="dxa"/>
            <w:vAlign w:val="bottom"/>
            <w:gridSpan w:val="3"/>
          </w:tcPr>
          <w:p>
            <w:pPr>
              <w:ind w:left="180"/>
              <w:spacing w:after="0"/>
              <w:rPr>
                <w:sz w:val="20"/>
                <w:szCs w:val="20"/>
                <w:color w:val="auto"/>
              </w:rPr>
            </w:pPr>
            <w:r>
              <w:rPr>
                <w:rFonts w:ascii="Arial" w:cs="Arial" w:eastAsia="Arial" w:hAnsi="Arial"/>
                <w:sz w:val="18"/>
                <w:szCs w:val="18"/>
                <w:color w:val="auto"/>
              </w:rPr>
              <w:t>SoundHound AI, Inc.</w:t>
            </w: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5360" w:type="dxa"/>
            <w:vAlign w:val="bottom"/>
            <w:gridSpan w:val="3"/>
          </w:tcPr>
          <w:p>
            <w:pPr>
              <w:ind w:left="180"/>
              <w:spacing w:after="0"/>
              <w:rPr>
                <w:sz w:val="20"/>
                <w:szCs w:val="20"/>
                <w:color w:val="auto"/>
              </w:rPr>
            </w:pPr>
            <w:r>
              <w:rPr>
                <w:rFonts w:ascii="Arial" w:cs="Arial" w:eastAsia="Arial" w:hAnsi="Arial"/>
                <w:sz w:val="18"/>
                <w:szCs w:val="18"/>
                <w:color w:val="auto"/>
              </w:rPr>
              <w:t>Cantor Fitzgerald &amp; Co. (the “</w:t>
            </w:r>
            <w:r>
              <w:rPr>
                <w:rFonts w:ascii="Arial" w:cs="Arial" w:eastAsia="Arial" w:hAnsi="Arial"/>
                <w:sz w:val="18"/>
                <w:szCs w:val="18"/>
                <w:b w:val="1"/>
                <w:bCs w:val="1"/>
                <w:color w:val="auto"/>
              </w:rPr>
              <w:t>Designated Agent</w:t>
            </w:r>
            <w:r>
              <w:rPr>
                <w:rFonts w:ascii="Arial" w:cs="Arial" w:eastAsia="Arial" w:hAnsi="Arial"/>
                <w:sz w:val="18"/>
                <w:szCs w:val="18"/>
                <w:color w:val="auto"/>
              </w:rPr>
              <w:t>”)</w:t>
            </w:r>
          </w:p>
        </w:tc>
      </w:tr>
      <w:tr>
        <w:trPr>
          <w:trHeight w:val="237"/>
        </w:trPr>
        <w:tc>
          <w:tcPr>
            <w:tcW w:w="78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Arial" w:cs="Arial" w:eastAsia="Arial" w:hAnsi="Arial"/>
                <w:sz w:val="18"/>
                <w:szCs w:val="18"/>
                <w:color w:val="auto"/>
              </w:rPr>
              <w:t>Attention: [●]</w:t>
            </w:r>
          </w:p>
        </w:tc>
        <w:tc>
          <w:tcPr>
            <w:tcW w:w="1360" w:type="dxa"/>
            <w:vAlign w:val="bottom"/>
            <w:tcBorders>
              <w:top w:val="single" w:sz="8" w:color="auto"/>
            </w:tcBorders>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Subject:</w:t>
            </w:r>
          </w:p>
        </w:tc>
        <w:tc>
          <w:tcPr>
            <w:tcW w:w="5360" w:type="dxa"/>
            <w:vAlign w:val="bottom"/>
            <w:gridSpan w:val="3"/>
          </w:tcPr>
          <w:p>
            <w:pPr>
              <w:ind w:left="180"/>
              <w:spacing w:after="0"/>
              <w:rPr>
                <w:sz w:val="20"/>
                <w:szCs w:val="20"/>
                <w:color w:val="auto"/>
              </w:rPr>
            </w:pPr>
            <w:r>
              <w:rPr>
                <w:rFonts w:ascii="Arial" w:cs="Arial" w:eastAsia="Arial" w:hAnsi="Arial"/>
                <w:sz w:val="18"/>
                <w:szCs w:val="18"/>
                <w:color w:val="auto"/>
              </w:rPr>
              <w:t>Placement Notice</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360" w:type="dxa"/>
            <w:vAlign w:val="bottom"/>
            <w:gridSpan w:val="3"/>
          </w:tcPr>
          <w:p>
            <w:pPr>
              <w:ind w:left="180"/>
              <w:spacing w:after="0"/>
              <w:rPr>
                <w:sz w:val="20"/>
                <w:szCs w:val="20"/>
                <w:color w:val="auto"/>
              </w:rPr>
            </w:pPr>
            <w:r>
              <w:rPr>
                <w:rFonts w:ascii="Arial" w:cs="Arial" w:eastAsia="Arial" w:hAnsi="Arial"/>
                <w:sz w:val="18"/>
                <w:szCs w:val="18"/>
                <w:color w:val="auto"/>
              </w:rPr>
              <w:t>[●], 2023</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the terms and subject to the conditions contained in the Sales Agreement between SoundHound AI,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Cantor Fitzgerald &amp; Co., D. A. Davidson &amp; Co., and H.C. Wainwright &amp; Co. (collectively, the “</w:t>
      </w:r>
      <w:r>
        <w:rPr>
          <w:rFonts w:ascii="Arial" w:cs="Arial" w:eastAsia="Arial" w:hAnsi="Arial"/>
          <w:sz w:val="17"/>
          <w:szCs w:val="17"/>
          <w:b w:val="1"/>
          <w:bCs w:val="1"/>
          <w:u w:val="single" w:color="auto"/>
          <w:color w:val="auto"/>
        </w:rPr>
        <w:t>Agents</w:t>
      </w:r>
      <w:r>
        <w:rPr>
          <w:rFonts w:ascii="Arial" w:cs="Arial" w:eastAsia="Arial" w:hAnsi="Arial"/>
          <w:sz w:val="17"/>
          <w:szCs w:val="17"/>
          <w:color w:val="auto"/>
        </w:rPr>
        <w:t>” and each, an “</w:t>
      </w:r>
      <w:r>
        <w:rPr>
          <w:rFonts w:ascii="Arial" w:cs="Arial" w:eastAsia="Arial" w:hAnsi="Arial"/>
          <w:sz w:val="17"/>
          <w:szCs w:val="17"/>
          <w:b w:val="1"/>
          <w:bCs w:val="1"/>
          <w:color w:val="auto"/>
        </w:rPr>
        <w:t>Agent</w:t>
      </w:r>
      <w:r>
        <w:rPr>
          <w:rFonts w:ascii="Arial" w:cs="Arial" w:eastAsia="Arial" w:hAnsi="Arial"/>
          <w:sz w:val="17"/>
          <w:szCs w:val="17"/>
          <w:color w:val="auto"/>
        </w:rPr>
        <w:t>”), dated [●], 20[_], the Company hereby requests that the Designated Agent sell up to [●] of the Company’s common stock, par value $0.0001 per share, at a minimum market price of $[●] per share, during the time period beginning [month, day, time] and 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__________________________</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shall pay to the Designated Agent in cash, upon each sale of Placement Shares pursuant to this Agreement, an amount equal to [2.0]%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center"/>
        <w:ind w:right="-1120"/>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__________________________</w:t>
      </w:r>
    </w:p>
    <w:p>
      <w:pPr>
        <w:spacing w:after="0" w:line="23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Notice Parties</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__________________________</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Designated Agent – Cantor Fitzgerald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Sameer Vasudev (svasudev@cantor.com)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CFCEO@cantor.com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3" w:name="page144"/>
    <w:bookmarkEnd w:id="143"/>
    <w:p>
      <w:pPr>
        <w:jc w:val="center"/>
        <w:ind w:right="-1100"/>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Subsidiaries</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Exhibit 21 of the Company’s most recently filed Form 10-K,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Form of Representation Date Certificate Pursuant to Section 7(l)</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undersigned, the duly qualified and elected [●], of SoundHound AI,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does hereby certify in such capacity and on behalf of the Company, pursuant to </w:t>
      </w:r>
      <w:r>
        <w:rPr>
          <w:rFonts w:ascii="Arial" w:cs="Arial" w:eastAsia="Arial" w:hAnsi="Arial"/>
          <w:sz w:val="18"/>
          <w:szCs w:val="18"/>
          <w:u w:val="single" w:color="auto"/>
          <w:color w:val="auto"/>
        </w:rPr>
        <w:t>Section 7(l)</w:t>
      </w:r>
      <w:r>
        <w:rPr>
          <w:rFonts w:ascii="Arial" w:cs="Arial" w:eastAsia="Arial" w:hAnsi="Arial"/>
          <w:sz w:val="18"/>
          <w:szCs w:val="18"/>
          <w:color w:val="auto"/>
        </w:rPr>
        <w:t xml:space="preserve"> of the Sales Agreement, dated [●], 2023 (the “</w:t>
      </w:r>
      <w:r>
        <w:rPr>
          <w:rFonts w:ascii="Arial" w:cs="Arial" w:eastAsia="Arial" w:hAnsi="Arial"/>
          <w:sz w:val="18"/>
          <w:szCs w:val="18"/>
          <w:u w:val="single" w:color="auto"/>
          <w:color w:val="auto"/>
        </w:rPr>
        <w:t>Sales Agreement</w:t>
      </w:r>
      <w:r>
        <w:rPr>
          <w:rFonts w:ascii="Arial" w:cs="Arial" w:eastAsia="Arial" w:hAnsi="Arial"/>
          <w:sz w:val="18"/>
          <w:szCs w:val="18"/>
          <w:color w:val="auto"/>
        </w:rPr>
        <w:t>”), between the Company and Cantor Fitzgerald &amp; Co., D. A. Davidson &amp; Co., and H.C. Wainwright &amp; Co. (collectively, the “</w:t>
      </w:r>
      <w:r>
        <w:rPr>
          <w:rFonts w:ascii="Arial" w:cs="Arial" w:eastAsia="Arial" w:hAnsi="Arial"/>
          <w:sz w:val="18"/>
          <w:szCs w:val="18"/>
          <w:b w:val="1"/>
          <w:bCs w:val="1"/>
          <w:u w:val="single" w:color="auto"/>
          <w:color w:val="auto"/>
        </w:rPr>
        <w:t>Agents</w:t>
      </w:r>
      <w:r>
        <w:rPr>
          <w:rFonts w:ascii="Arial" w:cs="Arial" w:eastAsia="Arial" w:hAnsi="Arial"/>
          <w:sz w:val="18"/>
          <w:szCs w:val="18"/>
          <w:color w:val="auto"/>
        </w:rPr>
        <w:t>” and each, an “</w:t>
      </w:r>
      <w:r>
        <w:rPr>
          <w:rFonts w:ascii="Arial" w:cs="Arial" w:eastAsia="Arial" w:hAnsi="Arial"/>
          <w:sz w:val="18"/>
          <w:szCs w:val="18"/>
          <w:b w:val="1"/>
          <w:bCs w:val="1"/>
          <w:color w:val="auto"/>
        </w:rPr>
        <w:t>Agent</w:t>
      </w:r>
      <w:r>
        <w:rPr>
          <w:rFonts w:ascii="Arial" w:cs="Arial" w:eastAsia="Arial" w:hAnsi="Arial"/>
          <w:sz w:val="18"/>
          <w:szCs w:val="18"/>
          <w:color w:val="auto"/>
        </w:rPr>
        <w:t>”), that to the best of the knowledge of the undersigned:</w:t>
      </w:r>
    </w:p>
    <w:p>
      <w:pPr>
        <w:spacing w:after="0" w:line="187" w:lineRule="exact"/>
        <w:rPr>
          <w:sz w:val="20"/>
          <w:szCs w:val="20"/>
          <w:color w:val="auto"/>
        </w:rPr>
      </w:pPr>
    </w:p>
    <w:p>
      <w:pPr>
        <w:jc w:val="both"/>
        <w:ind w:firstLine="449"/>
        <w:spacing w:after="0" w:line="259" w:lineRule="auto"/>
        <w:tabs>
          <w:tab w:leader="none" w:pos="65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representations and warranties also shall be qualified by the disclosure included or incorporated by reference in the Registration Statement and Prospectus; and</w:t>
      </w:r>
    </w:p>
    <w:p>
      <w:pPr>
        <w:spacing w:after="0" w:line="186" w:lineRule="exact"/>
        <w:rPr>
          <w:rFonts w:ascii="Arial" w:cs="Arial" w:eastAsia="Arial" w:hAnsi="Arial"/>
          <w:sz w:val="18"/>
          <w:szCs w:val="18"/>
          <w:color w:val="auto"/>
        </w:rPr>
      </w:pPr>
    </w:p>
    <w:p>
      <w:pPr>
        <w:ind w:firstLine="449"/>
        <w:spacing w:after="0" w:line="277" w:lineRule="auto"/>
        <w:tabs>
          <w:tab w:leader="none" w:pos="73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Sales Agreement at or prior to the date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herein without definition shall have the meanings given to such terms in the Sales Agreement.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SOUNDHOUND AI,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4100"/>
        <w:spacing w:after="0"/>
        <w:rPr>
          <w:sz w:val="20"/>
          <w:szCs w:val="20"/>
          <w:color w:val="auto"/>
        </w:rPr>
      </w:pPr>
      <w:r>
        <w:rPr>
          <w:rFonts w:ascii="Arial" w:cs="Arial" w:eastAsia="Arial" w:hAnsi="Arial"/>
          <w:sz w:val="18"/>
          <w:szCs w:val="18"/>
          <w:b w:val="1"/>
          <w:bCs w:val="1"/>
          <w:color w:val="auto"/>
        </w:rPr>
        <w:t>Form of Legal Opinion Pursuant to Section 7(l)</w:t>
      </w:r>
      <w:r>
        <w:rPr>
          <w:rFonts w:ascii="Arial" w:cs="Arial" w:eastAsia="Arial" w:hAnsi="Arial"/>
          <w:sz w:val="29"/>
          <w:szCs w:val="29"/>
          <w:b w:val="1"/>
          <w:bCs w:val="1"/>
          <w:color w:val="auto"/>
          <w:vertAlign w:val="superscript"/>
        </w:rPr>
        <w:t>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and not defined herein shall have the meanings ascribed to them in the Sales Agreement.</w:t>
      </w:r>
    </w:p>
    <w:p>
      <w:pPr>
        <w:spacing w:after="0" w:line="225" w:lineRule="exact"/>
        <w:rPr>
          <w:sz w:val="20"/>
          <w:szCs w:val="20"/>
          <w:color w:val="auto"/>
        </w:rPr>
      </w:pPr>
    </w:p>
    <w:p>
      <w:pPr>
        <w:jc w:val="both"/>
        <w:ind w:firstLine="8"/>
        <w:spacing w:after="0" w:line="263" w:lineRule="auto"/>
        <w:tabs>
          <w:tab w:leader="none" w:pos="2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The Company has the corporate power and authority to own, lease and operate its properties and assets and to carry on its business as now conducted (as described in the Registration Statement and the Prospectus).</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Sales Agreement has been duly and validly authorized, executed and delivered by the Company.</w:t>
      </w:r>
    </w:p>
    <w:p>
      <w:pPr>
        <w:spacing w:after="0" w:line="225" w:lineRule="exact"/>
        <w:rPr>
          <w:rFonts w:ascii="Arial" w:cs="Arial" w:eastAsia="Arial" w:hAnsi="Arial"/>
          <w:sz w:val="18"/>
          <w:szCs w:val="18"/>
          <w:color w:val="auto"/>
        </w:rPr>
      </w:pPr>
    </w:p>
    <w:p>
      <w:pPr>
        <w:jc w:val="both"/>
        <w:ind w:firstLine="8"/>
        <w:spacing w:after="0" w:line="296" w:lineRule="auto"/>
        <w:tabs>
          <w:tab w:leader="none" w:pos="19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Placement Shares have been duly authorized and, when issued and paid for pursuant to the terms of the Sales Agreement, will be validly issued, fully paid and nonassessable and free of any preemptive rights arising by operation of the General Corporation Law of the State of Delaware (the “DGCL”) or rights of first refusal or other similar rights to subscribe for the Placement Shares pursuant to the Company’s certificate of incorporation, bylaws or the DGCL, or, to our knowledge, under any material agreement listed in the exhibit index to (i) the Annual Report on Form 10-K (the “Form 10-K”), (ii) a Quarterly Report on Form 10-Q filed after the Form 10-K, or (iii) a Current Report on Form 8-K filed after the Form 10-K (a “Material Agreement”).</w:t>
      </w:r>
    </w:p>
    <w:p>
      <w:pPr>
        <w:spacing w:after="0" w:line="161" w:lineRule="exact"/>
        <w:rPr>
          <w:rFonts w:ascii="Arial" w:cs="Arial" w:eastAsia="Arial" w:hAnsi="Arial"/>
          <w:sz w:val="16"/>
          <w:szCs w:val="16"/>
          <w:color w:val="auto"/>
        </w:rPr>
      </w:pPr>
    </w:p>
    <w:p>
      <w:pPr>
        <w:jc w:val="both"/>
        <w:ind w:firstLine="8"/>
        <w:spacing w:after="0" w:line="301" w:lineRule="auto"/>
        <w:tabs>
          <w:tab w:leader="none" w:pos="19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Registration Statement filed with the Commission (No. 333-[●]) which registers the sale of the Placement Shares is currently effective under the Securities Act of 1933, as amended (the “Securities Act”), and no stop order suspending the effectiveness of the Registration Statement under the Securities Act has been issued and no proceedings for that purpose or pursuant to Section 8A, have been instituted or, to our knowledge, threatened. Any required filing of the Prospectus pursuant to Rule 424(b) under the Securities Act has been made in the manner and within the time required by Rule 424(b).</w:t>
      </w:r>
    </w:p>
    <w:p>
      <w:pPr>
        <w:spacing w:after="0" w:line="157" w:lineRule="exact"/>
        <w:rPr>
          <w:rFonts w:ascii="Arial" w:cs="Arial" w:eastAsia="Arial" w:hAnsi="Arial"/>
          <w:sz w:val="16"/>
          <w:szCs w:val="16"/>
          <w:color w:val="auto"/>
        </w:rPr>
      </w:pPr>
    </w:p>
    <w:p>
      <w:pPr>
        <w:jc w:val="both"/>
        <w:ind w:firstLine="8"/>
        <w:spacing w:after="0" w:line="263" w:lineRule="auto"/>
        <w:tabs>
          <w:tab w:leader="none" w:pos="19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Registration Statement and the Prospectus (other than the financial statements and schedules and other financial data included or incorporated by reference therein, as to which we express no opinion), complied as of their respective effective or filing dates in all material respects as to form with the requirements of the Securities Act and the rules and regulations of the Commission promulgated thereunder.</w:t>
      </w:r>
    </w:p>
    <w:p>
      <w:pPr>
        <w:spacing w:after="0" w:line="183" w:lineRule="exact"/>
        <w:rPr>
          <w:rFonts w:ascii="Arial" w:cs="Arial" w:eastAsia="Arial" w:hAnsi="Arial"/>
          <w:sz w:val="18"/>
          <w:szCs w:val="18"/>
          <w:color w:val="auto"/>
        </w:rPr>
      </w:pPr>
    </w:p>
    <w:p>
      <w:pPr>
        <w:ind w:firstLine="8"/>
        <w:spacing w:after="0" w:line="277" w:lineRule="auto"/>
        <w:tabs>
          <w:tab w:leader="none" w:pos="18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the Incorporated Documents, when it was filed with the Commission, complied as to form in all material respects with the requirements of the Exchange Act and the rules and regulations of the Commission promulgated thereunder.</w:t>
      </w:r>
    </w:p>
    <w:p>
      <w:pPr>
        <w:spacing w:after="0" w:line="170" w:lineRule="exact"/>
        <w:rPr>
          <w:rFonts w:ascii="Arial" w:cs="Arial" w:eastAsia="Arial" w:hAnsi="Arial"/>
          <w:sz w:val="18"/>
          <w:szCs w:val="18"/>
          <w:color w:val="auto"/>
        </w:rPr>
      </w:pPr>
    </w:p>
    <w:p>
      <w:pPr>
        <w:jc w:val="both"/>
        <w:ind w:firstLine="8"/>
        <w:spacing w:after="0" w:line="271" w:lineRule="auto"/>
        <w:tabs>
          <w:tab w:leader="none" w:pos="19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execution, delivery and performance by the Company of, and the compliance by the Company with the terms of, the Sales Agreement and the issuance, sale and delivery of the Placement Shares pursuant to the Sales Agreement do not (a) conflict with or result in a violation of any provision of law, rule or regulation or any rule or regulation of any securities exchange applicable to the Company or of the Certificate of Incorporation or bylaws of the Company, (b) conflict with, result in a breach of or constitute a default (or an event which with notice or lapse of time or both would become a default) under, or result in or permit the termination or modification of, a Material Agreement that would result in a Material Adverse Effect, (c) conflict with or result in any breach or violation of or constitute a default under any order, writ, judgment or decree known to us to which the Company is a party or is subject that would result in a Material Adverse Effect, or (d) to our knowledge, result in the creation or imposition of any lien, claim or encumbrance on any of the assets or properties of the Company that would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9" w:lineRule="exact"/>
        <w:rPr>
          <w:sz w:val="20"/>
          <w:szCs w:val="20"/>
          <w:color w:val="auto"/>
        </w:rPr>
      </w:pPr>
    </w:p>
    <w:p>
      <w:pPr>
        <w:ind w:left="340" w:hanging="332"/>
        <w:spacing w:after="0" w:line="277" w:lineRule="auto"/>
        <w:tabs>
          <w:tab w:leader="none" w:pos="340" w:val="left"/>
        </w:tabs>
        <w:numPr>
          <w:ilvl w:val="0"/>
          <w:numId w:val="132"/>
        </w:numPr>
        <w:rPr>
          <w:rFonts w:ascii="Arial" w:cs="Arial" w:eastAsia="Arial" w:hAnsi="Arial"/>
          <w:sz w:val="15"/>
          <w:szCs w:val="15"/>
          <w:color w:val="auto"/>
        </w:rPr>
      </w:pPr>
      <w:r>
        <w:rPr>
          <w:rFonts w:ascii="Arial" w:cs="Arial" w:eastAsia="Arial" w:hAnsi="Arial"/>
          <w:sz w:val="18"/>
          <w:szCs w:val="18"/>
          <w:color w:val="auto"/>
        </w:rPr>
        <w:t>NTD: Please confirm that we may deliver substantially the same opinion and NAL as delivered under the ELOC program, with updates for this transaction. [K&amp;S Confirms.]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6" w:name="page147"/>
    <w:bookmarkEnd w:id="146"/>
    <w:p>
      <w:pPr>
        <w:jc w:val="both"/>
        <w:ind w:firstLine="8"/>
        <w:spacing w:after="0" w:line="275" w:lineRule="auto"/>
        <w:tabs>
          <w:tab w:leader="none" w:pos="21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our knowledge, except as set forth in the Company’s filings with the Commission, there is (i) no claim, action, suit, proceeding, arbitration, investigation or inquiry, pending or threatened, before any Governmental Authority, against the Company, or any of its officers, directors or employees (in connection with the discharge of their duties as officers, directors and employees), of the Company, or affecting any of its properties or assets and (ii) no indenture, contract, lease, mortgage, deed of trust, note agreement, loan or other agreement or instrument of a character required to be filed as an exhibit to the Registration Statement, which is not filed as required by the Securities Act and the rules thereunder.</w:t>
      </w:r>
    </w:p>
    <w:p>
      <w:pPr>
        <w:spacing w:after="0" w:line="176" w:lineRule="exact"/>
        <w:rPr>
          <w:rFonts w:ascii="Arial" w:cs="Arial" w:eastAsia="Arial" w:hAnsi="Arial"/>
          <w:sz w:val="17"/>
          <w:szCs w:val="17"/>
          <w:color w:val="auto"/>
        </w:rPr>
      </w:pPr>
    </w:p>
    <w:p>
      <w:pPr>
        <w:jc w:val="both"/>
        <w:ind w:firstLine="8"/>
        <w:spacing w:after="0" w:line="259" w:lineRule="auto"/>
        <w:tabs>
          <w:tab w:leader="none" w:pos="18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connection with the valid execution, delivery and performance by the Company of the Sales Agreement, or the offer, sale, issuance or delivery of the Placement Shares or the consummation of the transactions contemplated thereby, no consent, license, permit, waiver, approval or authorization of, or designation, declaration, registration or filing with, any Governmental Authority is required, other than registration pursuant to the Securities Act and approval for listing of the Placement Shares on the Exchange.</w:t>
      </w:r>
    </w:p>
    <w:p>
      <w:pPr>
        <w:spacing w:after="0" w:line="186" w:lineRule="exact"/>
        <w:rPr>
          <w:rFonts w:ascii="Arial" w:cs="Arial" w:eastAsia="Arial" w:hAnsi="Arial"/>
          <w:sz w:val="18"/>
          <w:szCs w:val="18"/>
          <w:color w:val="auto"/>
        </w:rPr>
      </w:pPr>
    </w:p>
    <w:p>
      <w:pPr>
        <w:ind w:firstLine="8"/>
        <w:spacing w:after="0" w:line="342" w:lineRule="auto"/>
        <w:tabs>
          <w:tab w:leader="none" w:pos="27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Placement Shares and the application of the proceeds thereof as described in the Prospectus will not be, required to register as an Investment Company within the meaning of the Investment Company Act of 1940, as amended.</w:t>
      </w:r>
    </w:p>
    <w:p>
      <w:pPr>
        <w:spacing w:after="0" w:line="123" w:lineRule="exact"/>
        <w:rPr>
          <w:rFonts w:ascii="Arial" w:cs="Arial" w:eastAsia="Arial" w:hAnsi="Arial"/>
          <w:sz w:val="16"/>
          <w:szCs w:val="16"/>
          <w:color w:val="auto"/>
        </w:rPr>
      </w:pPr>
    </w:p>
    <w:p>
      <w:pPr>
        <w:jc w:val="both"/>
        <w:ind w:firstLine="8"/>
        <w:spacing w:after="0" w:line="263" w:lineRule="auto"/>
        <w:tabs>
          <w:tab w:leader="none" w:pos="28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included in the Registration Statement and the Prospectus under the caption “Description of Common Stock,” to the extent that it constitutes matters of law, summaries of legal matters, documents referred to therein or legal conclusions, has been reviewed by us and fairly summarizes the matters set forth therein in all material respects.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of counsel will be accompanied by a standard negative assurance letter, including the following:</w:t>
      </w:r>
    </w:p>
    <w:p>
      <w:pPr>
        <w:spacing w:after="0" w:line="225" w:lineRule="exact"/>
        <w:rPr>
          <w:sz w:val="20"/>
          <w:szCs w:val="20"/>
          <w:color w:val="auto"/>
        </w:rPr>
      </w:pPr>
    </w:p>
    <w:p>
      <w:pPr>
        <w:ind w:right="4340" w:firstLine="648"/>
        <w:spacing w:after="0" w:line="277" w:lineRule="auto"/>
        <w:rPr>
          <w:sz w:val="20"/>
          <w:szCs w:val="20"/>
          <w:color w:val="auto"/>
        </w:rPr>
      </w:pPr>
      <w:r>
        <w:rPr>
          <w:rFonts w:ascii="Arial" w:cs="Arial" w:eastAsia="Arial" w:hAnsi="Arial"/>
          <w:sz w:val="18"/>
          <w:szCs w:val="18"/>
          <w:color w:val="auto"/>
        </w:rPr>
        <w:t>Based on our participation, review and reliance as described above, we advise you that no facts came to our attention that caused us to believe that:</w:t>
      </w:r>
    </w:p>
    <w:p>
      <w:pPr>
        <w:spacing w:after="0" w:line="170" w:lineRule="exact"/>
        <w:rPr>
          <w:sz w:val="20"/>
          <w:szCs w:val="20"/>
          <w:color w:val="auto"/>
        </w:rPr>
      </w:pPr>
    </w:p>
    <w:p>
      <w:pPr>
        <w:jc w:val="both"/>
        <w:ind w:left="980" w:hanging="324"/>
        <w:spacing w:after="0" w:line="311" w:lineRule="auto"/>
        <w:tabs>
          <w:tab w:leader="none" w:pos="9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Registration Statement, as of its latest effective date, including the information deemed to be a part of the Registration Statement pursuant to Rule 430B under the Securities Act (together with the Incorporated Documents at that time), contained an untrue statement of a material fact or omitted to state a material fact required to be stated therein or necessary to make the statements therein not misleading; or</w:t>
      </w:r>
    </w:p>
    <w:p>
      <w:pPr>
        <w:spacing w:after="0" w:line="1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Prospectus, as of its date or as of the date hereof (together with the Incorporated Documents at those dates), contained or contains an untrue statement of a material fact or omitted or omits to state a material fact necessary in order to make the statements therein, in the light of the circumstances under which they were made, not misleading;</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being understood that we express no belief with respect to the financial statements and schedules, or other financial or accounting data included or incorporated by reference in, or omitted from, the Registration Statement, the Prospectus or the Incorporated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center"/>
        <w:ind w:right="-1100"/>
        <w:spacing w:after="0"/>
        <w:rPr>
          <w:sz w:val="20"/>
          <w:szCs w:val="20"/>
          <w:color w:val="auto"/>
        </w:rPr>
      </w:pPr>
      <w:r>
        <w:rPr>
          <w:rFonts w:ascii="Arial" w:cs="Arial" w:eastAsia="Arial" w:hAnsi="Arial"/>
          <w:sz w:val="18"/>
          <w:szCs w:val="18"/>
          <w:b w:val="1"/>
          <w:bCs w:val="1"/>
          <w:u w:val="single" w:color="auto"/>
          <w:color w:val="auto"/>
        </w:rPr>
        <w:t>Exhibit 21</w:t>
      </w:r>
    </w:p>
    <w:p>
      <w:pPr>
        <w:spacing w:after="0" w:line="225" w:lineRule="exact"/>
        <w:rPr>
          <w:sz w:val="20"/>
          <w:szCs w:val="20"/>
          <w:color w:val="auto"/>
        </w:rPr>
      </w:pPr>
    </w:p>
    <w:p>
      <w:pPr>
        <w:jc w:val="right"/>
        <w:ind w:right="3179"/>
        <w:spacing w:after="0"/>
        <w:rPr>
          <w:sz w:val="20"/>
          <w:szCs w:val="20"/>
          <w:color w:val="auto"/>
        </w:rPr>
      </w:pPr>
      <w:r>
        <w:rPr>
          <w:rFonts w:ascii="Arial" w:cs="Arial" w:eastAsia="Arial" w:hAnsi="Arial"/>
          <w:sz w:val="18"/>
          <w:szCs w:val="18"/>
          <w:b w:val="1"/>
          <w:bCs w:val="1"/>
          <w:color w:val="auto"/>
        </w:rPr>
        <w:t>Permitted Free Writing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8" w:name="page149"/>
    <w:bookmarkEnd w:id="148"/>
    <w:p>
      <w:pPr>
        <w:ind w:left="1032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S-3 of our report dated March 28, 2023, relating to the consolidated financial statements of SoundHound AI, Inc., which appears in SoundHound AI, Inc.’s Annual Report on Form 10-K for the years ended December 31, 2022, and 2021. We also consent to the reference to us under the heading "Experts" in this Registration Statement.</w:t>
      </w:r>
    </w:p>
    <w:p>
      <w:pPr>
        <w:spacing w:after="0" w:line="3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Armanino</w:t>
      </w:r>
      <w:r>
        <w:rPr>
          <w:rFonts w:ascii="Arial" w:cs="Arial" w:eastAsia="Arial" w:hAnsi="Arial"/>
          <w:sz w:val="29"/>
          <w:szCs w:val="29"/>
          <w:color w:val="auto"/>
          <w:vertAlign w:val="superscript"/>
        </w:rPr>
        <w:t>LLP</w:t>
      </w:r>
    </w:p>
    <w:p>
      <w:pPr>
        <w:ind w:left="5200"/>
        <w:spacing w:after="0"/>
        <w:rPr>
          <w:sz w:val="20"/>
          <w:szCs w:val="20"/>
          <w:color w:val="auto"/>
        </w:rPr>
      </w:pPr>
      <w:r>
        <w:rPr>
          <w:rFonts w:ascii="Arial" w:cs="Arial" w:eastAsia="Arial" w:hAnsi="Arial"/>
          <w:sz w:val="18"/>
          <w:szCs w:val="18"/>
          <w:color w:val="auto"/>
        </w:rPr>
        <w:t>San Ramon, California</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July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ind w:left="10360"/>
        <w:spacing w:after="0"/>
        <w:rPr>
          <w:sz w:val="20"/>
          <w:szCs w:val="20"/>
          <w:color w:val="auto"/>
        </w:rPr>
      </w:pPr>
      <w:r>
        <w:rPr>
          <w:rFonts w:ascii="Arial" w:cs="Arial" w:eastAsia="Arial" w:hAnsi="Arial"/>
          <w:sz w:val="17"/>
          <w:szCs w:val="17"/>
          <w:b w:val="1"/>
          <w:bCs w:val="1"/>
          <w:color w:val="auto"/>
        </w:rPr>
        <w:t>Exhibit 107</w:t>
      </w: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SoundHound AI,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Filing Fee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Previously</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Paid in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Connection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with</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6"/>
              </w:rPr>
              <w:t>Proposed</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Carry</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Unsold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Fee</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6"/>
              </w:rPr>
              <w:t>Maximum</w:t>
            </w: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Carry</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Carry</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Forward</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Security</w:t>
            </w:r>
          </w:p>
        </w:tc>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w w:val="91"/>
              </w:rPr>
              <w:t>Calculation or</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Offering</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Amount of</w:t>
            </w:r>
          </w:p>
        </w:tc>
        <w:tc>
          <w:tcPr>
            <w:tcW w:w="158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Forward Forward</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Initial</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to be</w:t>
            </w:r>
          </w:p>
        </w:tc>
        <w:tc>
          <w:tcPr>
            <w:tcW w:w="0" w:type="dxa"/>
            <w:vAlign w:val="bottom"/>
          </w:tcPr>
          <w:p>
            <w:pPr>
              <w:spacing w:after="0"/>
              <w:rPr>
                <w:sz w:val="1"/>
                <w:szCs w:val="1"/>
                <w:color w:val="auto"/>
              </w:rPr>
            </w:pPr>
          </w:p>
        </w:tc>
      </w:tr>
      <w:tr>
        <w:trPr>
          <w:trHeight w:val="216"/>
        </w:trPr>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40" w:type="dxa"/>
            <w:vAlign w:val="bottom"/>
          </w:tcPr>
          <w:p>
            <w:pPr>
              <w:spacing w:after="0"/>
              <w:rPr>
                <w:sz w:val="18"/>
                <w:szCs w:val="18"/>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Class</w:t>
            </w:r>
          </w:p>
        </w:tc>
        <w:tc>
          <w:tcPr>
            <w:tcW w:w="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Carry</w:t>
            </w:r>
          </w:p>
        </w:tc>
        <w:tc>
          <w:tcPr>
            <w:tcW w:w="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8"/>
                <w:szCs w:val="18"/>
                <w:color w:val="auto"/>
              </w:rPr>
            </w:pPr>
          </w:p>
        </w:tc>
        <w:tc>
          <w:tcPr>
            <w:tcW w:w="10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Price Per</w:t>
            </w:r>
          </w:p>
        </w:tc>
        <w:tc>
          <w:tcPr>
            <w:tcW w:w="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Offering</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File</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Effective</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Carried</w:t>
            </w:r>
          </w:p>
        </w:tc>
        <w:tc>
          <w:tcPr>
            <w:tcW w:w="0" w:type="dxa"/>
            <w:vAlign w:val="bottom"/>
          </w:tcPr>
          <w:p>
            <w:pPr>
              <w:spacing w:after="0"/>
              <w:rPr>
                <w:sz w:val="1"/>
                <w:szCs w:val="1"/>
                <w:color w:val="auto"/>
              </w:rPr>
            </w:pPr>
          </w:p>
        </w:tc>
      </w:tr>
      <w:tr>
        <w:trPr>
          <w:trHeight w:val="234"/>
        </w:trPr>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Type</w:t>
            </w:r>
          </w:p>
        </w:tc>
        <w:tc>
          <w:tcPr>
            <w:tcW w:w="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3"/>
              </w:rPr>
              <w:t>Type(1)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Forward Rule Registered</w:t>
            </w:r>
          </w:p>
        </w:tc>
        <w:tc>
          <w:tcPr>
            <w:tcW w:w="80" w:type="dxa"/>
            <w:vAlign w:val="bottom"/>
          </w:tcPr>
          <w:p>
            <w:pPr>
              <w:spacing w:after="0"/>
              <w:rPr>
                <w:sz w:val="20"/>
                <w:szCs w:val="20"/>
                <w:color w:val="auto"/>
              </w:rPr>
            </w:pPr>
          </w:p>
        </w:tc>
        <w:tc>
          <w:tcPr>
            <w:tcW w:w="10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7"/>
              </w:rPr>
              <w:t>Unit</w:t>
            </w:r>
          </w:p>
        </w:tc>
        <w:tc>
          <w:tcPr>
            <w:tcW w:w="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Fee Rate</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Fee</w:t>
            </w:r>
          </w:p>
        </w:tc>
        <w:tc>
          <w:tcPr>
            <w:tcW w:w="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Type</w:t>
            </w:r>
          </w:p>
        </w:tc>
        <w:tc>
          <w:tcPr>
            <w:tcW w:w="10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Forward</w:t>
            </w:r>
          </w:p>
        </w:tc>
        <w:tc>
          <w:tcPr>
            <w:tcW w:w="0" w:type="dxa"/>
            <w:vAlign w:val="bottom"/>
          </w:tcPr>
          <w:p>
            <w:pPr>
              <w:spacing w:after="0"/>
              <w:rPr>
                <w:sz w:val="1"/>
                <w:szCs w:val="1"/>
                <w:color w:val="auto"/>
              </w:rPr>
            </w:pPr>
          </w:p>
        </w:tc>
      </w:tr>
      <w:tr>
        <w:trPr>
          <w:trHeight w:val="27"/>
        </w:trPr>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380" w:type="dxa"/>
            <w:vAlign w:val="bottom"/>
            <w:gridSpan w:val="7"/>
          </w:tcPr>
          <w:p>
            <w:pPr>
              <w:spacing w:after="0"/>
              <w:rPr>
                <w:sz w:val="20"/>
                <w:szCs w:val="20"/>
                <w:color w:val="auto"/>
              </w:rPr>
            </w:pPr>
            <w:r>
              <w:rPr>
                <w:rFonts w:ascii="Arial" w:cs="Arial" w:eastAsia="Arial" w:hAnsi="Arial"/>
                <w:sz w:val="18"/>
                <w:szCs w:val="18"/>
                <w:b w:val="1"/>
                <w:bCs w:val="1"/>
                <w:color w:val="auto"/>
                <w:w w:val="97"/>
              </w:rPr>
              <w:t>Newly Registered Securities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Fees to</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Class A</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be paid</w:t>
            </w: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color w:val="auto"/>
              </w:rPr>
              <w:t>Equity</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87"/>
              </w:rPr>
              <w:t>Preferred Stock</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Purchase</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Warrants(4)</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Subscription</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Rights (5)</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Depositary</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Debt</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Securities(3)</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Units (6)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w w:val="92"/>
              </w:rPr>
              <w:t>Unallocated</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(Universal)</w:t>
            </w: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Shelf</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457(o)</w:t>
            </w:r>
          </w:p>
        </w:tc>
        <w:tc>
          <w:tcPr>
            <w:tcW w:w="11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w w:val="90"/>
              </w:rPr>
              <w:t>(1)</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$ 400,000,000</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44,080</w:t>
            </w: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80" w:type="dxa"/>
            <w:vAlign w:val="bottom"/>
            <w:gridSpan w:val="7"/>
          </w:tcPr>
          <w:p>
            <w:pPr>
              <w:ind w:left="40"/>
              <w:spacing w:after="0"/>
              <w:rPr>
                <w:sz w:val="20"/>
                <w:szCs w:val="20"/>
                <w:color w:val="auto"/>
              </w:rPr>
            </w:pPr>
            <w:r>
              <w:rPr>
                <w:rFonts w:ascii="Arial" w:cs="Arial" w:eastAsia="Arial" w:hAnsi="Arial"/>
                <w:sz w:val="18"/>
                <w:szCs w:val="18"/>
                <w:b w:val="1"/>
                <w:bCs w:val="1"/>
                <w:color w:val="auto"/>
              </w:rPr>
              <w:t>Carry Forward Securities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Carry</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Forward</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60"/>
        <w:spacing w:after="0"/>
        <w:rPr>
          <w:sz w:val="20"/>
          <w:szCs w:val="20"/>
          <w:color w:val="auto"/>
        </w:rPr>
      </w:pPr>
      <w:r>
        <w:rPr>
          <w:rFonts w:ascii="Arial" w:cs="Arial" w:eastAsia="Arial" w:hAnsi="Arial"/>
          <w:sz w:val="18"/>
          <w:szCs w:val="18"/>
          <w:b w:val="1"/>
          <w:bCs w:val="1"/>
          <w:color w:val="auto"/>
        </w:rPr>
        <w:t>Offering</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4865" cy="411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74865" cy="41148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b w:val="1"/>
          <w:bCs w:val="1"/>
          <w:color w:val="auto"/>
        </w:rPr>
        <w:t>Total Fees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Previously</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Paid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Total Fees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4865"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74865" cy="2743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b w:val="1"/>
          <w:bCs w:val="1"/>
          <w:color w:val="auto"/>
        </w:rPr>
        <w:t>Net Fee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Due</w:t>
      </w:r>
    </w:p>
    <w:p>
      <w:pPr>
        <w:spacing w:after="0" w:line="211" w:lineRule="exact"/>
        <w:rPr>
          <w:sz w:val="20"/>
          <w:szCs w:val="20"/>
          <w:color w:val="auto"/>
        </w:rPr>
      </w:pPr>
    </w:p>
    <w:p>
      <w:pPr>
        <w:jc w:val="both"/>
        <w:ind w:left="340" w:right="60" w:hanging="332"/>
        <w:spacing w:after="0" w:line="284" w:lineRule="auto"/>
        <w:tabs>
          <w:tab w:leader="none" w:pos="3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There are being registered hereunder such indeterminate amount of the securities of each identified class as may from time to time be offered hereunder by the Registrant at indeterminate prices which shall have an aggregate initial offering price not to exceed $400,000,000. The securities being registered hereunder also include such indeterminate amount of securities as may be issued upon exercise, settlement, exchange or conversion securities offered or sold hereunder, or pursuant to the anti-dilution provisions of any such securities. If any debt securities are issued at an original issue discount, then the principal amount of such debt securities shall be in such greater amount as shall result in an aggregate initial offering price not to exceed $400,000,000, less the aggregate dollar amount of all securities previously issued hereunder.</w:t>
      </w:r>
    </w:p>
    <w:p>
      <w:pPr>
        <w:spacing w:after="0" w:line="4" w:lineRule="exact"/>
        <w:rPr>
          <w:rFonts w:ascii="Arial" w:cs="Arial" w:eastAsia="Arial" w:hAnsi="Arial"/>
          <w:sz w:val="16"/>
          <w:szCs w:val="16"/>
          <w:color w:val="auto"/>
        </w:rPr>
      </w:pPr>
    </w:p>
    <w:p>
      <w:pPr>
        <w:jc w:val="both"/>
        <w:ind w:left="340" w:right="60" w:hanging="332"/>
        <w:spacing w:after="0" w:line="250" w:lineRule="auto"/>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proposed maximum offering price per security for the primary offering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Debt securities may be senior or subordinated, convertible or non-convertible and secured or unsecured.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Warrants may represent rights to purchase debt securities, Class A common stock, preferred stock or other securities registered hereunder.</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Subscription rights evidence rights to purchase any securities of the Registrant registered under this registration statement.</w:t>
      </w:r>
    </w:p>
    <w:p>
      <w:pPr>
        <w:spacing w:after="0" w:line="9" w:lineRule="exact"/>
        <w:rPr>
          <w:rFonts w:ascii="Arial" w:cs="Arial" w:eastAsia="Arial" w:hAnsi="Arial"/>
          <w:sz w:val="18"/>
          <w:szCs w:val="18"/>
          <w:color w:val="auto"/>
        </w:rPr>
      </w:pPr>
    </w:p>
    <w:p>
      <w:pPr>
        <w:ind w:left="340" w:right="60" w:hanging="332"/>
        <w:spacing w:after="0" w:line="260" w:lineRule="auto"/>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securities registered under this registration statement may be sold separately or as units with other securities registered under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gridSpan w:val="16"/>
          </w:tcPr>
          <w:p>
            <w:pPr>
              <w:jc w:val="center"/>
              <w:spacing w:after="0"/>
              <w:rPr>
                <w:sz w:val="20"/>
                <w:szCs w:val="20"/>
                <w:color w:val="auto"/>
              </w:rPr>
            </w:pPr>
            <w:r>
              <w:rPr>
                <w:rFonts w:ascii="Arial" w:cs="Arial" w:eastAsia="Arial" w:hAnsi="Arial"/>
                <w:sz w:val="18"/>
                <w:szCs w:val="18"/>
                <w:color w:val="auto"/>
                <w:w w:val="89"/>
              </w:rPr>
              <w:t>Table 2: Fee Offset Claims and Sources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4"/>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Unsold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Aggregate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Unsold</w:t>
            </w:r>
          </w:p>
        </w:tc>
        <w:tc>
          <w:tcPr>
            <w:tcW w:w="8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4"/>
              </w:rPr>
              <w:t>Offering</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0"/>
              </w:rPr>
              <w:t>Type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Title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Securities</w:t>
            </w:r>
          </w:p>
        </w:tc>
        <w:tc>
          <w:tcPr>
            <w:tcW w:w="8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Form</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5"/>
              </w:rPr>
              <w:t>Associated</w:t>
            </w:r>
          </w:p>
        </w:tc>
        <w:tc>
          <w:tcPr>
            <w:tcW w:w="100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5"/>
              </w:rPr>
              <w:t>Associated</w:t>
            </w:r>
          </w:p>
        </w:tc>
        <w:tc>
          <w:tcPr>
            <w:tcW w:w="18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5"/>
              </w:rPr>
              <w:t>Associated</w:t>
            </w:r>
          </w:p>
        </w:tc>
        <w:tc>
          <w:tcPr>
            <w:tcW w:w="8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5"/>
              </w:rPr>
              <w:t>Associated</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6"/>
              </w:rPr>
              <w:t>Fee Paid</w:t>
            </w:r>
          </w:p>
        </w:tc>
      </w:tr>
      <w:tr>
        <w:trPr>
          <w:trHeight w:val="216"/>
        </w:trPr>
        <w:tc>
          <w:tcPr>
            <w:tcW w:w="10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Registrant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9"/>
              </w:rPr>
              <w:t>or</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Initial</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Fee</w:t>
            </w:r>
          </w:p>
        </w:tc>
        <w:tc>
          <w:tcPr>
            <w:tcW w:w="200" w:type="dxa"/>
            <w:vAlign w:val="bottom"/>
          </w:tcPr>
          <w:p>
            <w:pPr>
              <w:spacing w:after="0"/>
              <w:rPr>
                <w:sz w:val="18"/>
                <w:szCs w:val="18"/>
                <w:color w:val="auto"/>
              </w:rPr>
            </w:pPr>
          </w:p>
        </w:tc>
        <w:tc>
          <w:tcPr>
            <w:tcW w:w="8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with Fee</w:t>
            </w:r>
          </w:p>
        </w:tc>
        <w:tc>
          <w:tcPr>
            <w:tcW w:w="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with Fee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with Fee</w:t>
            </w:r>
          </w:p>
        </w:tc>
        <w:tc>
          <w:tcPr>
            <w:tcW w:w="8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with Fee</w:t>
            </w:r>
          </w:p>
        </w:tc>
        <w:tc>
          <w:tcPr>
            <w:tcW w:w="18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with Fee</w:t>
            </w: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or Filer</w:t>
            </w:r>
          </w:p>
        </w:tc>
        <w:tc>
          <w:tcPr>
            <w:tcW w:w="1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Filing</w:t>
            </w:r>
          </w:p>
        </w:tc>
        <w:tc>
          <w:tcPr>
            <w:tcW w:w="2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File</w:t>
            </w:r>
          </w:p>
        </w:tc>
        <w:tc>
          <w:tcPr>
            <w:tcW w:w="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5"/>
              </w:rPr>
              <w:t>Filing</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Filing</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Offset</w:t>
            </w:r>
          </w:p>
        </w:tc>
        <w:tc>
          <w:tcPr>
            <w:tcW w:w="200" w:type="dxa"/>
            <w:vAlign w:val="bottom"/>
          </w:tcPr>
          <w:p>
            <w:pPr>
              <w:spacing w:after="0"/>
              <w:rPr>
                <w:sz w:val="18"/>
                <w:szCs w:val="18"/>
                <w:color w:val="auto"/>
              </w:rPr>
            </w:pPr>
          </w:p>
        </w:tc>
        <w:tc>
          <w:tcPr>
            <w:tcW w:w="7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Offset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Offset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Offset</w:t>
            </w:r>
          </w:p>
        </w:tc>
        <w:tc>
          <w:tcPr>
            <w:tcW w:w="8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Offset</w:t>
            </w:r>
          </w:p>
        </w:tc>
        <w:tc>
          <w:tcPr>
            <w:tcW w:w="180" w:type="dxa"/>
            <w:vAlign w:val="bottom"/>
          </w:tcPr>
          <w:p>
            <w:pPr>
              <w:spacing w:after="0"/>
              <w:rPr>
                <w:sz w:val="18"/>
                <w:szCs w:val="18"/>
                <w:color w:val="auto"/>
              </w:rPr>
            </w:pPr>
          </w:p>
        </w:tc>
        <w:tc>
          <w:tcPr>
            <w:tcW w:w="760" w:type="dxa"/>
            <w:vAlign w:val="bottom"/>
            <w:gridSpan w:val="3"/>
          </w:tcPr>
          <w:p>
            <w:pPr>
              <w:ind w:left="100"/>
              <w:spacing w:after="0"/>
              <w:rPr>
                <w:sz w:val="20"/>
                <w:szCs w:val="20"/>
                <w:color w:val="auto"/>
              </w:rPr>
            </w:pPr>
            <w:r>
              <w:rPr>
                <w:rFonts w:ascii="Arial" w:cs="Arial" w:eastAsia="Arial" w:hAnsi="Arial"/>
                <w:sz w:val="18"/>
                <w:szCs w:val="18"/>
                <w:b w:val="1"/>
                <w:bCs w:val="1"/>
                <w:color w:val="auto"/>
              </w:rPr>
              <w:t>Offset</w:t>
            </w:r>
          </w:p>
        </w:tc>
      </w:tr>
      <w:tr>
        <w:trPr>
          <w:trHeight w:val="241"/>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20"/>
                <w:szCs w:val="20"/>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Type</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Date</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Date</w:t>
            </w:r>
          </w:p>
        </w:tc>
        <w:tc>
          <w:tcPr>
            <w:tcW w:w="200" w:type="dxa"/>
            <w:vAlign w:val="bottom"/>
            <w:gridSpan w:val="2"/>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Claimed</w:t>
            </w:r>
          </w:p>
        </w:tc>
        <w:tc>
          <w:tcPr>
            <w:tcW w:w="200" w:type="dxa"/>
            <w:vAlign w:val="bottom"/>
          </w:tcPr>
          <w:p>
            <w:pPr>
              <w:spacing w:after="0"/>
              <w:rPr>
                <w:sz w:val="20"/>
                <w:szCs w:val="20"/>
                <w:color w:val="auto"/>
              </w:rPr>
            </w:pPr>
          </w:p>
        </w:tc>
        <w:tc>
          <w:tcPr>
            <w:tcW w:w="8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Claimed</w:t>
            </w:r>
          </w:p>
        </w:tc>
        <w:tc>
          <w:tcPr>
            <w:tcW w:w="180" w:type="dxa"/>
            <w:vAlign w:val="bottom"/>
          </w:tcPr>
          <w:p>
            <w:pPr>
              <w:spacing w:after="0"/>
              <w:rPr>
                <w:sz w:val="20"/>
                <w:szCs w:val="2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Claimed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Claimed</w:t>
            </w:r>
          </w:p>
        </w:tc>
        <w:tc>
          <w:tcPr>
            <w:tcW w:w="200" w:type="dxa"/>
            <w:vAlign w:val="bottom"/>
          </w:tcPr>
          <w:p>
            <w:pPr>
              <w:spacing w:after="0"/>
              <w:rPr>
                <w:sz w:val="20"/>
                <w:szCs w:val="20"/>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Claimed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4"/>
              </w:rPr>
              <w:t>Source</w:t>
            </w:r>
          </w:p>
        </w:tc>
        <w:tc>
          <w:tcPr>
            <w:tcW w:w="8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gridSpan w:val="12"/>
          </w:tcPr>
          <w:p>
            <w:pPr>
              <w:spacing w:after="0"/>
              <w:rPr>
                <w:sz w:val="20"/>
                <w:szCs w:val="20"/>
                <w:color w:val="auto"/>
              </w:rPr>
            </w:pPr>
            <w:r>
              <w:rPr>
                <w:rFonts w:ascii="Arial" w:cs="Arial" w:eastAsia="Arial" w:hAnsi="Arial"/>
                <w:sz w:val="18"/>
                <w:szCs w:val="18"/>
                <w:b w:val="1"/>
                <w:bCs w:val="1"/>
                <w:color w:val="auto"/>
              </w:rPr>
              <w:t>Rules 457(b) and 0-11(a)(2)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Fee Offset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Claims</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1000" w:type="dxa"/>
            <w:vAlign w:val="bottom"/>
          </w:tcPr>
          <w:p>
            <w:pPr>
              <w:spacing w:after="0" w:line="198" w:lineRule="exact"/>
              <w:rPr>
                <w:sz w:val="20"/>
                <w:szCs w:val="20"/>
                <w:color w:val="auto"/>
              </w:rPr>
            </w:pPr>
            <w:r>
              <w:rPr>
                <w:rFonts w:ascii="Arial" w:cs="Arial" w:eastAsia="Arial" w:hAnsi="Arial"/>
                <w:sz w:val="18"/>
                <w:szCs w:val="18"/>
                <w:b w:val="1"/>
                <w:bCs w:val="1"/>
                <w:color w:val="auto"/>
              </w:rPr>
              <w:t>Fee Offset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Sources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Rules 457(p)</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1000" w:type="dxa"/>
            <w:vAlign w:val="bottom"/>
          </w:tcPr>
          <w:p>
            <w:pPr>
              <w:spacing w:after="0" w:line="198" w:lineRule="exact"/>
              <w:rPr>
                <w:sz w:val="20"/>
                <w:szCs w:val="20"/>
                <w:color w:val="auto"/>
              </w:rPr>
            </w:pPr>
            <w:r>
              <w:rPr>
                <w:rFonts w:ascii="Arial" w:cs="Arial" w:eastAsia="Arial" w:hAnsi="Arial"/>
                <w:sz w:val="18"/>
                <w:szCs w:val="18"/>
                <w:b w:val="1"/>
                <w:bCs w:val="1"/>
                <w:color w:val="auto"/>
              </w:rPr>
              <w:t>Fee Offset</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Claims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gridSpan w:val="2"/>
          </w:tcPr>
          <w:p>
            <w:pPr>
              <w:jc w:val="right"/>
              <w:ind w:right="90"/>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Fee Offset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Sources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color w:val="auto"/>
                <w:w w:val="88"/>
              </w:rPr>
              <w:t>Table 3: Combined Prospectuses</w:t>
            </w:r>
          </w:p>
        </w:tc>
        <w:tc>
          <w:tcPr>
            <w:tcW w:w="3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4"/>
        </w:trPr>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7"/>
          </w:tcPr>
          <w:p>
            <w:pPr>
              <w:jc w:val="center"/>
              <w:ind w:right="48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1"/>
              </w:rPr>
              <w:t>Amount of</w:t>
            </w:r>
          </w:p>
        </w:tc>
        <w:tc>
          <w:tcPr>
            <w:tcW w:w="160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5"/>
              </w:rPr>
              <w:t>Securities</w:t>
            </w:r>
          </w:p>
        </w:tc>
        <w:tc>
          <w:tcPr>
            <w:tcW w:w="160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86"/>
              </w:rPr>
              <w:t>of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Security Class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Previously</w:t>
            </w:r>
          </w:p>
        </w:tc>
        <w:tc>
          <w:tcPr>
            <w:tcW w:w="160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0"/>
              </w:rPr>
              <w:t>Previously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2"/>
              </w:rPr>
              <w:t>Initial Effective</w:t>
            </w:r>
          </w:p>
        </w:tc>
      </w:tr>
      <w:tr>
        <w:trPr>
          <w:trHeight w:val="241"/>
        </w:trPr>
        <w:tc>
          <w:tcPr>
            <w:tcW w:w="2080" w:type="dxa"/>
            <w:vAlign w:val="bottom"/>
            <w:gridSpan w:val="3"/>
          </w:tcPr>
          <w:p>
            <w:pPr>
              <w:ind w:left="720"/>
              <w:spacing w:after="0"/>
              <w:rPr>
                <w:sz w:val="20"/>
                <w:szCs w:val="20"/>
                <w:color w:val="auto"/>
              </w:rPr>
            </w:pPr>
            <w:r>
              <w:rPr>
                <w:rFonts w:ascii="Arial" w:cs="Arial" w:eastAsia="Arial" w:hAnsi="Arial"/>
                <w:sz w:val="18"/>
                <w:szCs w:val="18"/>
                <w:b w:val="1"/>
                <w:bCs w:val="1"/>
                <w:color w:val="auto"/>
              </w:rPr>
              <w:t>Security Type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Title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8"/>
              </w:rPr>
              <w:t>Registered</w:t>
            </w:r>
          </w:p>
        </w:tc>
        <w:tc>
          <w:tcPr>
            <w:tcW w:w="160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88"/>
              </w:rPr>
              <w:t>Registered</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1"/>
              </w:rPr>
              <w:t>Form Type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File Number</w:t>
            </w:r>
          </w:p>
        </w:tc>
        <w:tc>
          <w:tcPr>
            <w:tcW w:w="9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10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655"/>
        </w:trPr>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
      <w:numFmt w:val="bullet"/>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
      <w:numFmt w:val="bullet"/>
      <w:start w:val="1"/>
    </w:lvl>
  </w:abstractNum>
  <w:abstractNum w:abstractNumId="10">
    <w:nsid w:val="1EBA5D23"/>
    <w:multiLevelType w:val="hybridMultilevel"/>
    <w:lvl w:ilvl="0">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1."/>
      <w:numFmt w:val="decimal"/>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1."/>
      <w:numFmt w:val="decimal"/>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1"/>
      <w:numFmt w:val="decimal"/>
      <w:start w:val="107"/>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7FFFCA11"/>
    <w:multiLevelType w:val="hybridMultilevel"/>
    <w:lvl w:ilvl="0">
      <w:lvlJc w:val="left"/>
      <w:lvlText w:val="(%1)"/>
      <w:numFmt w:val="decimal"/>
      <w:start w:val="2"/>
    </w:lvl>
    <w:lvl w:ilvl="1">
      <w:lvlJc w:val="left"/>
      <w:lvlText w:val="(%2)"/>
      <w:numFmt w:val="lowerRoman"/>
      <w:start w:val="1"/>
    </w:lvl>
  </w:abstractNum>
  <w:abstractNum w:abstractNumId="30">
    <w:nsid w:val="1A27709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1">
    <w:nsid w:val="71EA110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2">
    <w:nsid w:val="100F59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7FB7E0AA"/>
    <w:multiLevelType w:val="hybridMultilevel"/>
    <w:lvl w:ilvl="0">
      <w:lvlJc w:val="left"/>
      <w:lvlText w:val="(%1)"/>
      <w:numFmt w:val="lowerRoman"/>
      <w:start w:val="2"/>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1)"/>
      <w:numFmt w:val="lowerLetter"/>
      <w:start w:val="1"/>
    </w:lvl>
  </w:abstractNum>
  <w:abstractNum w:abstractNumId="36">
    <w:nsid w:val="94211F2"/>
    <w:multiLevelType w:val="hybridMultilevel"/>
    <w:lvl w:ilvl="0">
      <w:lvlJc w:val="left"/>
      <w:lvlText w:val="(%1)"/>
      <w:numFmt w:val="lowerLetter"/>
      <w:start w:val="2"/>
    </w:lvl>
  </w:abstractNum>
  <w:abstractNum w:abstractNumId="37">
    <w:nsid w:val="885E1B"/>
    <w:multiLevelType w:val="hybridMultilevel"/>
    <w:lvl w:ilvl="0">
      <w:lvlJc w:val="left"/>
      <w:lvlText w:val="(%1)"/>
      <w:numFmt w:val="lowerLetter"/>
      <w:start w:val="14"/>
    </w:lvl>
  </w:abstractNum>
  <w:abstractNum w:abstractNumId="38">
    <w:nsid w:val="76272110"/>
    <w:multiLevelType w:val="hybridMultilevel"/>
    <w:lvl w:ilvl="0">
      <w:lvlJc w:val="left"/>
      <w:lvlText w:val="%1"/>
      <w:numFmt w:val="lowerLetter"/>
      <w:start w:val="1"/>
    </w:lvl>
    <w:lvl w:ilvl="1">
      <w:lvlJc w:val="left"/>
      <w:lvlText w:val="(%2)"/>
      <w:numFmt w:val="lowerLetter"/>
      <w:start w:val="1"/>
    </w:lvl>
  </w:abstractNum>
  <w:abstractNum w:abstractNumId="39">
    <w:nsid w:val="4C04A8AF"/>
    <w:multiLevelType w:val="hybridMultilevel"/>
    <w:lvl w:ilvl="0">
      <w:lvlJc w:val="left"/>
      <w:lvlText w:val="(%1)"/>
      <w:numFmt w:val="lowerLetter"/>
      <w:start w:val="35"/>
    </w:lvl>
    <w:lvl w:ilvl="1">
      <w:lvlJc w:val="left"/>
      <w:lvlText w:val="(%2)"/>
      <w:numFmt w:val="lowerLetter"/>
      <w:start w:val="2"/>
    </w:lvl>
  </w:abstractNum>
  <w:abstractNum w:abstractNumId="40">
    <w:nsid w:val="1716703B"/>
    <w:multiLevelType w:val="hybridMultilevel"/>
    <w:lvl w:ilvl="0">
      <w:lvlJc w:val="left"/>
      <w:lvlText w:val="(%1)"/>
      <w:numFmt w:val="lowerLetter"/>
      <w:start w:val="1"/>
    </w:lvl>
  </w:abstractNum>
  <w:abstractNum w:abstractNumId="41">
    <w:nsid w:val="14E17E33"/>
    <w:multiLevelType w:val="hybridMultilevel"/>
    <w:lvl w:ilvl="0">
      <w:lvlJc w:val="left"/>
      <w:lvlText w:val="(%1)"/>
      <w:numFmt w:val="lowerLetter"/>
      <w:start w:val="3"/>
    </w:lvl>
  </w:abstractNum>
  <w:abstractNum w:abstractNumId="42">
    <w:nsid w:val="3222E7CD"/>
    <w:multiLevelType w:val="hybridMultilevel"/>
    <w:lvl w:ilvl="0">
      <w:lvlJc w:val="left"/>
      <w:lvlText w:val="(%1)"/>
      <w:numFmt w:val="lowerLetter"/>
      <w:start w:val="5"/>
    </w:lvl>
  </w:abstractNum>
  <w:abstractNum w:abstractNumId="43">
    <w:nsid w:val="74DE0EE3"/>
    <w:multiLevelType w:val="hybridMultilevel"/>
    <w:lvl w:ilvl="0">
      <w:lvlJc w:val="left"/>
      <w:lvlText w:val="(%1)"/>
      <w:numFmt w:val="lowerLetter"/>
      <w:start w:val="1"/>
    </w:lvl>
    <w:lvl w:ilvl="1">
      <w:lvlJc w:val="left"/>
      <w:lvlText w:val="(%2)"/>
      <w:numFmt w:val="lowerRoman"/>
      <w:start w:val="1"/>
    </w:lvl>
  </w:abstractNum>
  <w:abstractNum w:abstractNumId="44">
    <w:nsid w:val="68EBC550"/>
    <w:multiLevelType w:val="hybridMultilevel"/>
    <w:lvl w:ilvl="0">
      <w:lvlJc w:val="left"/>
      <w:lvlText w:val="(%1)"/>
      <w:numFmt w:val="lowerLetter"/>
      <w:start w:val="1"/>
    </w:lvl>
  </w:abstractNum>
  <w:abstractNum w:abstractNumId="45">
    <w:nsid w:val="2DF6D648"/>
    <w:multiLevelType w:val="hybridMultilevel"/>
    <w:lvl w:ilvl="0">
      <w:lvlJc w:val="left"/>
      <w:lvlText w:val="(%1)"/>
      <w:numFmt w:val="lowerLetter"/>
      <w:start w:val="1"/>
    </w:lvl>
  </w:abstractNum>
  <w:abstractNum w:abstractNumId="46">
    <w:nsid w:val="46B7D447"/>
    <w:multiLevelType w:val="hybridMultilevel"/>
    <w:lvl w:ilvl="0">
      <w:lvlJc w:val="left"/>
      <w:lvlText w:val="(%1)"/>
      <w:numFmt w:val="lowerLetter"/>
      <w:start w:val="4"/>
    </w:lvl>
    <w:lvl w:ilvl="1">
      <w:lvlJc w:val="left"/>
      <w:lvlText w:val="(%2)"/>
      <w:numFmt w:val="lowerRoman"/>
      <w:start w:val="1"/>
    </w:lvl>
  </w:abstractNum>
  <w:abstractNum w:abstractNumId="47">
    <w:nsid w:val="4A2AC315"/>
    <w:multiLevelType w:val="hybridMultilevel"/>
    <w:lvl w:ilvl="0">
      <w:lvlJc w:val="left"/>
      <w:lvlText w:val="(%1)"/>
      <w:numFmt w:val="lowerLetter"/>
      <w:start w:val="1"/>
    </w:lvl>
  </w:abstractNum>
  <w:abstractNum w:abstractNumId="48">
    <w:nsid w:val="39EE015C"/>
    <w:multiLevelType w:val="hybridMultilevel"/>
    <w:lvl w:ilvl="0">
      <w:lvlJc w:val="left"/>
      <w:lvlText w:val="(%1)"/>
      <w:numFmt w:val="lowerLetter"/>
      <w:start w:val="1"/>
    </w:lvl>
  </w:abstractNum>
  <w:abstractNum w:abstractNumId="49">
    <w:nsid w:val="57FC4FBB"/>
    <w:multiLevelType w:val="hybridMultilevel"/>
    <w:lvl w:ilvl="0">
      <w:lvlJc w:val="left"/>
      <w:lvlText w:val="(%1)"/>
      <w:numFmt w:val="lowerLetter"/>
      <w:start w:val="1"/>
    </w:lvl>
  </w:abstractNum>
  <w:abstractNum w:abstractNumId="50">
    <w:nsid w:val="CC1016F"/>
    <w:multiLevelType w:val="hybridMultilevel"/>
    <w:lvl w:ilvl="0">
      <w:lvlJc w:val="left"/>
      <w:lvlText w:val="(%1)"/>
      <w:numFmt w:val="lowerLetter"/>
      <w:start w:val="1"/>
    </w:lvl>
    <w:lvl w:ilvl="1">
      <w:lvlJc w:val="left"/>
      <w:lvlText w:val="(%2)"/>
      <w:numFmt w:val="lowerRoman"/>
      <w:start w:val="1"/>
    </w:lvl>
  </w:abstractNum>
  <w:abstractNum w:abstractNumId="51">
    <w:nsid w:val="43F18422"/>
    <w:multiLevelType w:val="hybridMultilevel"/>
    <w:lvl w:ilvl="0">
      <w:lvlJc w:val="left"/>
      <w:lvlText w:val="%1"/>
      <w:numFmt w:val="lowerLetter"/>
      <w:start w:val="1"/>
    </w:lvl>
    <w:lvl w:ilvl="1">
      <w:lvlJc w:val="left"/>
      <w:lvlText w:val="(%2)"/>
      <w:numFmt w:val="lowerLetter"/>
      <w:start w:val="61"/>
    </w:lvl>
  </w:abstractNum>
  <w:abstractNum w:abstractNumId="52">
    <w:nsid w:val="60EF0119"/>
    <w:multiLevelType w:val="hybridMultilevel"/>
    <w:lvl w:ilvl="0">
      <w:lvlJc w:val="left"/>
      <w:lvlText w:val="(%1)"/>
      <w:numFmt w:val="lowerLetter"/>
      <w:start w:val="4"/>
    </w:lvl>
    <w:lvl w:ilvl="1">
      <w:lvlJc w:val="left"/>
      <w:lvlText w:val="%2"/>
      <w:numFmt w:val="lowerLetter"/>
      <w:start w:val="1"/>
    </w:lvl>
  </w:abstractNum>
  <w:abstractNum w:abstractNumId="53">
    <w:nsid w:val="26F324BA"/>
    <w:multiLevelType w:val="hybridMultilevel"/>
    <w:lvl w:ilvl="0">
      <w:lvlJc w:val="left"/>
      <w:lvlText w:val="(%1)"/>
      <w:numFmt w:val="lowerLetter"/>
      <w:start w:val="1"/>
    </w:lvl>
  </w:abstractNum>
  <w:abstractNum w:abstractNumId="54">
    <w:nsid w:val="7F01579B"/>
    <w:multiLevelType w:val="hybridMultilevel"/>
    <w:lvl w:ilvl="0">
      <w:lvlJc w:val="left"/>
      <w:lvlText w:val="(%1)"/>
      <w:numFmt w:val="lowerLetter"/>
      <w:start w:val="5"/>
    </w:lvl>
  </w:abstractNum>
  <w:abstractNum w:abstractNumId="55">
    <w:nsid w:val="49DA307D"/>
    <w:multiLevelType w:val="hybridMultilevel"/>
    <w:lvl w:ilvl="0">
      <w:lvlJc w:val="left"/>
      <w:lvlText w:val="(%1)"/>
      <w:numFmt w:val="lowerLetter"/>
      <w:start w:val="1"/>
    </w:lvl>
  </w:abstractNum>
  <w:abstractNum w:abstractNumId="56">
    <w:nsid w:val="7055A5F5"/>
    <w:multiLevelType w:val="hybridMultilevel"/>
    <w:lvl w:ilvl="0">
      <w:lvlJc w:val="left"/>
      <w:lvlText w:val="(%1)"/>
      <w:numFmt w:val="lowerLetter"/>
      <w:start w:val="3"/>
    </w:lvl>
  </w:abstractNum>
  <w:abstractNum w:abstractNumId="57">
    <w:nsid w:val="5FB8370B"/>
    <w:multiLevelType w:val="hybridMultilevel"/>
    <w:lvl w:ilvl="0">
      <w:lvlJc w:val="left"/>
      <w:lvlText w:val="(%1)"/>
      <w:numFmt w:val="lowerLetter"/>
      <w:start w:val="1"/>
    </w:lvl>
    <w:lvl w:ilvl="1">
      <w:lvlJc w:val="left"/>
      <w:lvlText w:val="(%2)"/>
      <w:numFmt w:val="lowerRoman"/>
      <w:start w:val="1"/>
    </w:lvl>
  </w:abstractNum>
  <w:abstractNum w:abstractNumId="58">
    <w:nsid w:val="50801EE1"/>
    <w:multiLevelType w:val="hybridMultilevel"/>
    <w:lvl w:ilvl="0">
      <w:lvlJc w:val="left"/>
      <w:lvlText w:val="%1"/>
      <w:numFmt w:val="lowerLetter"/>
      <w:start w:val="1"/>
    </w:lvl>
    <w:lvl w:ilvl="1">
      <w:lvlJc w:val="left"/>
      <w:lvlText w:val="(%2)"/>
      <w:numFmt w:val="lowerLetter"/>
      <w:start w:val="61"/>
    </w:lvl>
  </w:abstractNum>
  <w:abstractNum w:abstractNumId="59">
    <w:nsid w:val="488AC1A"/>
    <w:multiLevelType w:val="hybridMultilevel"/>
    <w:lvl w:ilvl="0">
      <w:lvlJc w:val="left"/>
      <w:lvlText w:val="(%1)"/>
      <w:numFmt w:val="lowerLetter"/>
      <w:start w:val="2"/>
    </w:lvl>
    <w:lvl w:ilvl="1">
      <w:lvlJc w:val="left"/>
      <w:lvlText w:val="%2"/>
      <w:numFmt w:val="lowerLetter"/>
      <w:start w:val="1"/>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9"/>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lowerLetter"/>
      <w:start w:val="6"/>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10"/>
    </w:lvl>
  </w:abstractNum>
  <w:abstractNum w:abstractNumId="67">
    <w:nsid w:val="73A1821B"/>
    <w:multiLevelType w:val="hybridMultilevel"/>
    <w:lvl w:ilvl="0">
      <w:lvlJc w:val="left"/>
      <w:lvlText w:val="(%1)"/>
      <w:numFmt w:val="lowerLetter"/>
      <w:start w:val="12"/>
    </w:lvl>
  </w:abstractNum>
  <w:abstractNum w:abstractNumId="68">
    <w:nsid w:val="7DE67713"/>
    <w:multiLevelType w:val="hybridMultilevel"/>
    <w:lvl w:ilvl="0">
      <w:lvlJc w:val="left"/>
      <w:lvlText w:val="(%1)"/>
      <w:numFmt w:val="lowerLetter"/>
      <w:start w:val="1"/>
    </w:lvl>
  </w:abstractNum>
  <w:abstractNum w:abstractNumId="69">
    <w:nsid w:val="555C55B5"/>
    <w:multiLevelType w:val="hybridMultilevel"/>
    <w:lvl w:ilvl="0">
      <w:lvlJc w:val="left"/>
      <w:lvlText w:val="(%1)"/>
      <w:numFmt w:val="lowerLetter"/>
      <w:start w:val="3"/>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Letter"/>
      <w:start w:val="1"/>
    </w:lvl>
    <w:lvl w:ilvl="1">
      <w:lvlJc w:val="left"/>
      <w:lvlText w:val="["/>
      <w:numFmt w:val="bullet"/>
      <w:start w:val="1"/>
    </w:lvl>
  </w:abstractNum>
  <w:abstractNum w:abstractNumId="72">
    <w:nsid w:val="6A3DD3E8"/>
    <w:multiLevelType w:val="hybridMultilevel"/>
    <w:lvl w:ilvl="0">
      <w:lvlJc w:val="left"/>
      <w:lvlText w:val="(%1)"/>
      <w:numFmt w:val="lowerLetter"/>
      <w:start w:val="1"/>
    </w:lvl>
  </w:abstractNum>
  <w:abstractNum w:abstractNumId="73">
    <w:nsid w:val="71C91298"/>
    <w:multiLevelType w:val="hybridMultilevel"/>
    <w:lvl w:ilvl="0">
      <w:lvlJc w:val="left"/>
      <w:lvlText w:val="(%1)"/>
      <w:numFmt w:val="lowerLetter"/>
      <w:start w:val="1"/>
    </w:lvl>
  </w:abstractNum>
  <w:abstractNum w:abstractNumId="74">
    <w:nsid w:val="9DAF632"/>
    <w:multiLevelType w:val="hybridMultilevel"/>
    <w:lvl w:ilvl="0">
      <w:lvlJc w:val="left"/>
      <w:lvlText w:val="(%1)"/>
      <w:numFmt w:val="lowerRoman"/>
      <w:start w:val="1"/>
    </w:lvl>
  </w:abstractNum>
  <w:abstractNum w:abstractNumId="75">
    <w:nsid w:val="53299938"/>
    <w:multiLevelType w:val="hybridMultilevel"/>
    <w:lvl w:ilvl="0">
      <w:lvlJc w:val="left"/>
      <w:lvlText w:val="%1."/>
      <w:numFmt w:val="decimal"/>
      <w:start w:val="1"/>
    </w:lvl>
  </w:abstractNum>
  <w:abstractNum w:abstractNumId="76">
    <w:nsid w:val="1FBFE8E0"/>
    <w:multiLevelType w:val="hybridMultilevel"/>
    <w:lvl w:ilvl="0">
      <w:lvlJc w:val="left"/>
      <w:lvlText w:val="%1."/>
      <w:numFmt w:val="decimal"/>
      <w:start w:val="4"/>
    </w:lvl>
  </w:abstractNum>
  <w:abstractNum w:abstractNumId="77">
    <w:nsid w:val="5092CA79"/>
    <w:multiLevelType w:val="hybridMultilevel"/>
    <w:lvl w:ilvl="0">
      <w:lvlJc w:val="left"/>
      <w:lvlText w:val="%1."/>
      <w:numFmt w:val="decimal"/>
      <w:start w:val="8"/>
    </w:lvl>
  </w:abstractNum>
  <w:abstractNum w:abstractNumId="78">
    <w:nsid w:val="1D545C4D"/>
    <w:multiLevelType w:val="hybridMultilevel"/>
    <w:lvl w:ilvl="0">
      <w:lvlJc w:val="left"/>
      <w:lvlText w:val="(%1)"/>
      <w:numFmt w:val="lowerRoman"/>
      <w:start w:val="1"/>
    </w:lvl>
  </w:abstractNum>
  <w:abstractNum w:abstractNumId="79">
    <w:nsid w:val="59ADEA3D"/>
    <w:multiLevelType w:val="hybridMultilevel"/>
    <w:lvl w:ilvl="0">
      <w:lvlJc w:val="left"/>
      <w:lvlText w:val="(%1)"/>
      <w:numFmt w:val="lowerRoman"/>
      <w:start w:val="5"/>
    </w:lvl>
  </w:abstractNum>
  <w:abstractNum w:abstractNumId="80">
    <w:nsid w:val="288F1A34"/>
    <w:multiLevelType w:val="hybridMultilevel"/>
    <w:lvl w:ilvl="0">
      <w:lvlJc w:val="left"/>
      <w:lvlText w:val="%1"/>
      <w:numFmt w:val="decimal"/>
      <w:start w:val="499"/>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1."/>
      <w:numFmt w:val="decimal"/>
      <w:start w:val="2"/>
    </w:lvl>
  </w:abstractNum>
  <w:abstractNum w:abstractNumId="83">
    <w:nsid w:val="97E1B4E"/>
    <w:multiLevelType w:val="hybridMultilevel"/>
    <w:lvl w:ilvl="0">
      <w:lvlJc w:val="left"/>
      <w:lvlText w:val="%1."/>
      <w:numFmt w:val="decimal"/>
      <w:start w:val="3"/>
    </w:lvl>
  </w:abstractNum>
  <w:abstractNum w:abstractNumId="84">
    <w:nsid w:val="51088277"/>
    <w:multiLevelType w:val="hybridMultilevel"/>
    <w:lvl w:ilvl="0">
      <w:lvlJc w:val="left"/>
      <w:lvlText w:val="%1."/>
      <w:numFmt w:val="decimal"/>
      <w:start w:val="4"/>
    </w:lvl>
    <w:lvl w:ilvl="1">
      <w:lvlJc w:val="left"/>
      <w:lvlText w:val="(%2)"/>
      <w:numFmt w:val="lowerLetter"/>
      <w:start w:val="1"/>
    </w:lvl>
  </w:abstractNum>
  <w:abstractNum w:abstractNumId="85">
    <w:nsid w:val="1CA0C5FA"/>
    <w:multiLevelType w:val="hybridMultilevel"/>
    <w:lvl w:ilvl="0">
      <w:lvlJc w:val="left"/>
      <w:lvlText w:val="(%1)"/>
      <w:numFmt w:val="lowerLetter"/>
      <w:start w:val="3"/>
    </w:lvl>
  </w:abstractNum>
  <w:abstractNum w:abstractNumId="86">
    <w:nsid w:val="53584BCB"/>
    <w:multiLevelType w:val="hybridMultilevel"/>
    <w:lvl w:ilvl="0">
      <w:lvlJc w:val="left"/>
      <w:lvlText w:val="%1."/>
      <w:numFmt w:val="decimal"/>
      <w:start w:val="6"/>
    </w:lvl>
    <w:lvl w:ilvl="1">
      <w:lvlJc w:val="left"/>
      <w:lvlText w:val="(%2)"/>
      <w:numFmt w:val="lowerLetter"/>
      <w:start w:val="1"/>
    </w:lvl>
  </w:abstractNum>
  <w:abstractNum w:abstractNumId="87">
    <w:nsid w:val="415E286C"/>
    <w:multiLevelType w:val="hybridMultilevel"/>
    <w:lvl w:ilvl="0">
      <w:lvlJc w:val="left"/>
      <w:lvlText w:val="(%1)"/>
      <w:numFmt w:val="lowerLetter"/>
      <w:start w:val="4"/>
    </w:lvl>
  </w:abstractNum>
  <w:abstractNum w:abstractNumId="88">
    <w:nsid w:val="7C58FD05"/>
    <w:multiLevelType w:val="hybridMultilevel"/>
    <w:lvl w:ilvl="0">
      <w:lvlJc w:val="left"/>
      <w:lvlText w:val="(%1)"/>
      <w:numFmt w:val="lowerLetter"/>
      <w:start w:val="7"/>
    </w:lvl>
  </w:abstractNum>
  <w:abstractNum w:abstractNumId="89">
    <w:nsid w:val="23D86AAC"/>
    <w:multiLevelType w:val="hybridMultilevel"/>
    <w:lvl w:ilvl="0">
      <w:lvlJc w:val="left"/>
      <w:lvlText w:val="(%1)"/>
      <w:numFmt w:val="lowerLetter"/>
      <w:start w:val="10"/>
    </w:lvl>
    <w:lvl w:ilvl="1">
      <w:lvlJc w:val="left"/>
      <w:lvlText w:val="(%2)"/>
      <w:numFmt w:val="lowerRoman"/>
      <w:start w:val="1"/>
    </w:lvl>
  </w:abstractNum>
  <w:abstractNum w:abstractNumId="90">
    <w:nsid w:val="45E6D486"/>
    <w:multiLevelType w:val="hybridMultilevel"/>
    <w:lvl w:ilvl="0">
      <w:lvlJc w:val="left"/>
      <w:lvlText w:val="(%1)"/>
      <w:numFmt w:val="lowerRoman"/>
      <w:start w:val="3"/>
    </w:lvl>
  </w:abstractNum>
  <w:abstractNum w:abstractNumId="91">
    <w:nsid w:val="5C10FE21"/>
    <w:multiLevelType w:val="hybridMultilevel"/>
    <w:lvl w:ilvl="0">
      <w:lvlJc w:val="left"/>
      <w:lvlText w:val="(%1)"/>
      <w:numFmt w:val="lowerLetter"/>
      <w:start w:val="11"/>
    </w:lvl>
    <w:lvl w:ilvl="1">
      <w:lvlJc w:val="left"/>
      <w:lvlText w:val="(%2)"/>
      <w:numFmt w:val="lowerLetter"/>
      <w:start w:val="35"/>
    </w:lvl>
  </w:abstractNum>
  <w:abstractNum w:abstractNumId="92">
    <w:nsid w:val="E7FFA2B"/>
    <w:multiLevelType w:val="hybridMultilevel"/>
    <w:lvl w:ilvl="0">
      <w:lvlJc w:val="left"/>
      <w:lvlText w:val="(%1)"/>
      <w:numFmt w:val="lowerLetter"/>
      <w:start w:val="12"/>
    </w:lvl>
  </w:abstractNum>
  <w:abstractNum w:abstractNumId="93">
    <w:nsid w:val="3C5991AA"/>
    <w:multiLevelType w:val="hybridMultilevel"/>
    <w:lvl w:ilvl="0">
      <w:lvlJc w:val="left"/>
      <w:lvlText w:val="(%1)"/>
      <w:numFmt w:val="lowerLetter"/>
      <w:start w:val="13"/>
    </w:lvl>
    <w:lvl w:ilvl="1">
      <w:lvlJc w:val="left"/>
      <w:lvlText w:val="(%2)"/>
      <w:numFmt w:val="lowerLetter"/>
      <w:start w:val="35"/>
    </w:lvl>
  </w:abstractNum>
  <w:abstractNum w:abstractNumId="94">
    <w:nsid w:val="4BD8591A"/>
    <w:multiLevelType w:val="hybridMultilevel"/>
    <w:lvl w:ilvl="0">
      <w:lvlJc w:val="left"/>
      <w:lvlText w:val="%1"/>
      <w:numFmt w:val="lowerLetter"/>
      <w:start w:val="1"/>
    </w:lvl>
    <w:lvl w:ilvl="1">
      <w:lvlJc w:val="left"/>
      <w:lvlText w:val="(%2)"/>
      <w:numFmt w:val="lowerLetter"/>
      <w:start w:val="16"/>
    </w:lvl>
    <w:lvl w:ilvl="2">
      <w:lvlJc w:val="left"/>
      <w:lvlText w:val="(%3)"/>
      <w:numFmt w:val="lowerRoman"/>
      <w:start w:val="1"/>
    </w:lvl>
  </w:abstractNum>
  <w:abstractNum w:abstractNumId="95">
    <w:nsid w:val="78DF6A5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96">
    <w:nsid w:val="39B7AAA2"/>
    <w:multiLevelType w:val="hybridMultilevel"/>
    <w:lvl w:ilvl="0">
      <w:lvlJc w:val="left"/>
      <w:lvlText w:val="%1"/>
      <w:numFmt w:val="lowerLetter"/>
      <w:start w:val="1"/>
    </w:lvl>
    <w:lvl w:ilvl="1">
      <w:lvlJc w:val="left"/>
      <w:lvlText w:val="(%2)"/>
      <w:numFmt w:val="lowerLetter"/>
      <w:start w:val="61"/>
    </w:lvl>
  </w:abstractNum>
  <w:abstractNum w:abstractNumId="97">
    <w:nsid w:val="2B0D8DBE"/>
    <w:multiLevelType w:val="hybridMultilevel"/>
    <w:lvl w:ilvl="0">
      <w:lvlJc w:val="left"/>
      <w:lvlText w:val="(%1)"/>
      <w:numFmt w:val="lowerLetter"/>
      <w:start w:val="17"/>
    </w:lvl>
    <w:lvl w:ilvl="1">
      <w:lvlJc w:val="left"/>
      <w:lvlText w:val="%2"/>
      <w:numFmt w:val="lowerLetter"/>
      <w:start w:val="1"/>
    </w:lvl>
  </w:abstractNum>
  <w:abstractNum w:abstractNumId="98">
    <w:nsid w:val="6C80EC70"/>
    <w:multiLevelType w:val="hybridMultilevel"/>
    <w:lvl w:ilvl="0">
      <w:lvlJc w:val="left"/>
      <w:lvlText w:val="(%1)"/>
      <w:numFmt w:val="lowerLetter"/>
      <w:start w:val="22"/>
    </w:lvl>
  </w:abstractNum>
  <w:abstractNum w:abstractNumId="99">
    <w:nsid w:val="379E21B5"/>
    <w:multiLevelType w:val="hybridMultilevel"/>
    <w:lvl w:ilvl="0">
      <w:lvlJc w:val="left"/>
      <w:lvlText w:val="(%1)"/>
      <w:numFmt w:val="lowerLetter"/>
      <w:start w:val="24"/>
    </w:lvl>
    <w:lvl w:ilvl="1">
      <w:lvlJc w:val="left"/>
      <w:lvlText w:val="(%2)"/>
      <w:numFmt w:val="lowerLetter"/>
      <w:start w:val="27"/>
    </w:lvl>
  </w:abstractNum>
  <w:abstractNum w:abstractNumId="100">
    <w:nsid w:val="69E373"/>
    <w:multiLevelType w:val="hybridMultilevel"/>
    <w:lvl w:ilvl="0">
      <w:lvlJc w:val="left"/>
      <w:lvlText w:val="(%1)"/>
      <w:numFmt w:val="lowerLetter"/>
      <w:start w:val="29"/>
    </w:lvl>
    <w:lvl w:ilvl="1">
      <w:lvlJc w:val="left"/>
      <w:lvlText w:val="(%2)"/>
      <w:numFmt w:val="lowerRoman"/>
      <w:start w:val="3"/>
    </w:lvl>
  </w:abstractNum>
  <w:abstractNum w:abstractNumId="101">
    <w:nsid w:val="2C27173B"/>
    <w:multiLevelType w:val="hybridMultilevel"/>
    <w:lvl w:ilvl="0">
      <w:lvlJc w:val="left"/>
      <w:lvlText w:val="(%1)"/>
      <w:numFmt w:val="lowerLetter"/>
      <w:start w:val="30"/>
    </w:lvl>
  </w:abstractNum>
  <w:abstractNum w:abstractNumId="102">
    <w:nsid w:val="4C9B0904"/>
    <w:multiLevelType w:val="hybridMultilevel"/>
    <w:lvl w:ilvl="0">
      <w:lvlJc w:val="left"/>
      <w:lvlText w:val="(%1)"/>
      <w:numFmt w:val="lowerLetter"/>
      <w:start w:val="35"/>
    </w:lvl>
  </w:abstractNum>
  <w:abstractNum w:abstractNumId="103">
    <w:nsid w:val="6AA7B75C"/>
    <w:multiLevelType w:val="hybridMultilevel"/>
    <w:lvl w:ilvl="0">
      <w:lvlJc w:val="left"/>
      <w:lvlText w:val="(%1)"/>
      <w:numFmt w:val="lowerLetter"/>
      <w:start w:val="40"/>
    </w:lvl>
  </w:abstractNum>
  <w:abstractNum w:abstractNumId="104">
    <w:nsid w:val="1DF029D3"/>
    <w:multiLevelType w:val="hybridMultilevel"/>
    <w:lvl w:ilvl="0">
      <w:lvlJc w:val="left"/>
      <w:lvlText w:val="(%1)"/>
      <w:numFmt w:val="lowerLetter"/>
      <w:start w:val="21"/>
    </w:lvl>
  </w:abstractNum>
  <w:abstractNum w:abstractNumId="105">
    <w:nsid w:val="5675FF36"/>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106">
    <w:nsid w:val="3DD15094"/>
    <w:multiLevelType w:val="hybridMultilevel"/>
    <w:lvl w:ilvl="0">
      <w:lvlJc w:val="left"/>
      <w:lvlText w:val="(%1)"/>
      <w:numFmt w:val="lowerLetter"/>
      <w:start w:val="2"/>
    </w:lvl>
  </w:abstractNum>
  <w:abstractNum w:abstractNumId="107">
    <w:nsid w:val="3DB012B3"/>
    <w:multiLevelType w:val="hybridMultilevel"/>
    <w:lvl w:ilvl="0">
      <w:lvlJc w:val="left"/>
      <w:lvlText w:val="(%1)"/>
      <w:numFmt w:val="lowerLetter"/>
      <w:start w:val="4"/>
    </w:lvl>
  </w:abstractNum>
  <w:abstractNum w:abstractNumId="108">
    <w:nsid w:val="2708C9AF"/>
    <w:multiLevelType w:val="hybridMultilevel"/>
    <w:lvl w:ilvl="0">
      <w:lvlJc w:val="left"/>
      <w:lvlText w:val="(%1)"/>
      <w:numFmt w:val="lowerLetter"/>
      <w:start w:val="9"/>
    </w:lvl>
    <w:lvl w:ilvl="1">
      <w:lvlJc w:val="left"/>
      <w:lvlText w:val="(%2)"/>
      <w:numFmt w:val="lowerRoman"/>
      <w:start w:val="1"/>
    </w:lvl>
  </w:abstractNum>
  <w:abstractNum w:abstractNumId="109">
    <w:nsid w:val="5B25ACE2"/>
    <w:multiLevelType w:val="hybridMultilevel"/>
    <w:lvl w:ilvl="0">
      <w:lvlJc w:val="left"/>
      <w:lvlText w:val="(%1)"/>
      <w:numFmt w:val="lowerRoman"/>
      <w:start w:val="4"/>
    </w:lvl>
  </w:abstractNum>
  <w:abstractNum w:abstractNumId="110">
    <w:nsid w:val="175DFCF0"/>
    <w:multiLevelType w:val="hybridMultilevel"/>
    <w:lvl w:ilvl="0">
      <w:lvlJc w:val="left"/>
      <w:lvlText w:val="(%1)"/>
      <w:numFmt w:val="lowerLetter"/>
      <w:start w:val="13"/>
    </w:lvl>
  </w:abstractNum>
  <w:abstractNum w:abstractNumId="111">
    <w:nsid w:val="4F97E3E4"/>
    <w:multiLevelType w:val="hybridMultilevel"/>
    <w:lvl w:ilvl="0">
      <w:lvlJc w:val="left"/>
      <w:lvlText w:val="(%1)"/>
      <w:numFmt w:val="lowerLetter"/>
      <w:start w:val="15"/>
    </w:lvl>
  </w:abstractNum>
  <w:abstractNum w:abstractNumId="112">
    <w:nsid w:val="53B0A9E"/>
    <w:multiLevelType w:val="hybridMultilevel"/>
    <w:lvl w:ilvl="0">
      <w:lvlJc w:val="left"/>
      <w:lvlText w:val="%1"/>
      <w:numFmt w:val="decimal"/>
      <w:start w:val="1"/>
    </w:lvl>
    <w:lvl w:ilvl="1">
      <w:lvlJc w:val="left"/>
      <w:lvlText w:val="(%2)"/>
      <w:numFmt w:val="lowerLetter"/>
      <w:start w:val="20"/>
    </w:lvl>
    <w:lvl w:ilvl="2">
      <w:lvlJc w:val="left"/>
      <w:lvlText w:val="(%3)"/>
      <w:numFmt w:val="decimal"/>
      <w:start w:val="5"/>
    </w:lvl>
  </w:abstractNum>
  <w:abstractNum w:abstractNumId="113">
    <w:nsid w:val="34FD6B4F"/>
    <w:multiLevelType w:val="hybridMultilevel"/>
    <w:lvl w:ilvl="0">
      <w:lvlJc w:val="left"/>
      <w:lvlText w:val="%1."/>
      <w:numFmt w:val="decimal"/>
      <w:start w:val="8"/>
    </w:lvl>
    <w:lvl w:ilvl="1">
      <w:lvlJc w:val="left"/>
      <w:lvlText w:val="(%2)"/>
      <w:numFmt w:val="lowerLetter"/>
      <w:start w:val="22"/>
    </w:lvl>
    <w:lvl w:ilvl="2">
      <w:lvlJc w:val="left"/>
      <w:lvlText w:val="%3"/>
      <w:numFmt w:val="decimal"/>
      <w:start w:val="1"/>
    </w:lvl>
  </w:abstractNum>
  <w:abstractNum w:abstractNumId="114">
    <w:nsid w:val="5915FF32"/>
    <w:multiLevelType w:val="hybridMultilevel"/>
    <w:lvl w:ilvl="0">
      <w:lvlJc w:val="left"/>
      <w:lvlText w:val="%1."/>
      <w:numFmt w:val="decimal"/>
      <w:start w:val="9"/>
    </w:lvl>
    <w:lvl w:ilvl="1">
      <w:lvlJc w:val="left"/>
      <w:lvlText w:val="(%2)"/>
      <w:numFmt w:val="lowerLetter"/>
      <w:start w:val="1"/>
    </w:lvl>
  </w:abstractNum>
  <w:abstractNum w:abstractNumId="115">
    <w:nsid w:val="56438D15"/>
    <w:multiLevelType w:val="hybridMultilevel"/>
    <w:lvl w:ilvl="0">
      <w:lvlJc w:val="left"/>
      <w:lvlText w:val="(%1)"/>
      <w:numFmt w:val="lowerLetter"/>
      <w:start w:val="3"/>
    </w:lvl>
  </w:abstractNum>
  <w:abstractNum w:abstractNumId="116">
    <w:nsid w:val="519E3149"/>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17">
    <w:nsid w:val="2C6E4AF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8">
    <w:nsid w:val="17A1B582"/>
    <w:multiLevelType w:val="hybridMultilevel"/>
    <w:lvl w:ilvl="0">
      <w:lvlJc w:val="left"/>
      <w:lvlText w:val="(%1)"/>
      <w:numFmt w:val="lowerLetter"/>
      <w:start w:val="2"/>
    </w:lvl>
    <w:lvl w:ilvl="1">
      <w:lvlJc w:val="left"/>
      <w:lvlText w:val="(%2)"/>
      <w:numFmt w:val="decimal"/>
      <w:start w:val="1"/>
    </w:lvl>
  </w:abstractNum>
  <w:abstractNum w:abstractNumId="119">
    <w:nsid w:val="4DF72E4E"/>
    <w:multiLevelType w:val="hybridMultilevel"/>
    <w:lvl w:ilvl="0">
      <w:lvlJc w:val="left"/>
      <w:lvlText w:val="%1"/>
      <w:numFmt w:val="decimal"/>
      <w:start w:val="1"/>
    </w:lvl>
    <w:lvl w:ilvl="1">
      <w:lvlJc w:val="left"/>
      <w:lvlText w:val="(%2)"/>
      <w:numFmt w:val="lowerLetter"/>
      <w:start w:val="4"/>
    </w:lvl>
  </w:abstractNum>
  <w:abstractNum w:abstractNumId="120">
    <w:nsid w:val="5046B5A9"/>
    <w:multiLevelType w:val="hybridMultilevel"/>
    <w:lvl w:ilvl="0">
      <w:lvlJc w:val="left"/>
      <w:lvlText w:val="%1."/>
      <w:numFmt w:val="decimal"/>
      <w:start w:val="11"/>
    </w:lvl>
    <w:lvl w:ilvl="1">
      <w:lvlJc w:val="left"/>
      <w:lvlText w:val="%2"/>
      <w:numFmt w:val="lowerLetter"/>
      <w:start w:val="1"/>
    </w:lvl>
  </w:abstractNum>
  <w:abstractNum w:abstractNumId="121">
    <w:nsid w:val="5D888A08"/>
    <w:multiLevelType w:val="hybridMultilevel"/>
    <w:lvl w:ilvl="0">
      <w:lvlJc w:val="left"/>
      <w:lvlText w:val="%1."/>
      <w:numFmt w:val="decimal"/>
      <w:start w:val="12"/>
    </w:lvl>
    <w:lvl w:ilvl="1">
      <w:lvlJc w:val="left"/>
      <w:lvlText w:val="(%2)"/>
      <w:numFmt w:val="lowerLetter"/>
      <w:start w:val="1"/>
    </w:lvl>
  </w:abstractNum>
  <w:abstractNum w:abstractNumId="122">
    <w:nsid w:val="2A082C70"/>
    <w:multiLevelType w:val="hybridMultilevel"/>
    <w:lvl w:ilvl="0">
      <w:lvlJc w:val="left"/>
      <w:lvlText w:val="(%1)"/>
      <w:numFmt w:val="lowerLetter"/>
      <w:start w:val="5"/>
    </w:lvl>
  </w:abstractNum>
  <w:abstractNum w:abstractNumId="123">
    <w:nsid w:val="5EC6AFD4"/>
    <w:multiLevelType w:val="hybridMultilevel"/>
    <w:lvl w:ilvl="0">
      <w:lvlJc w:val="left"/>
      <w:lvlText w:val="%1."/>
      <w:numFmt w:val="decimal"/>
      <w:start w:val="13"/>
    </w:lvl>
  </w:abstractNum>
  <w:abstractNum w:abstractNumId="124">
    <w:nsid w:val="19E21BB2"/>
    <w:multiLevelType w:val="hybridMultilevel"/>
    <w:lvl w:ilvl="0">
      <w:lvlJc w:val="left"/>
      <w:lvlText w:val="%1"/>
      <w:numFmt w:val="decimal"/>
      <w:start w:val="499"/>
    </w:lvl>
  </w:abstractNum>
  <w:abstractNum w:abstractNumId="125">
    <w:nsid w:val="75E0858A"/>
    <w:multiLevelType w:val="hybridMultilevel"/>
    <w:lvl w:ilvl="0">
      <w:lvlJc w:val="left"/>
      <w:lvlText w:val="%1"/>
      <w:numFmt w:val="decimal"/>
      <w:start w:val="499"/>
    </w:lvl>
  </w:abstractNum>
  <w:abstractNum w:abstractNumId="126">
    <w:nsid w:val="57A61A29"/>
    <w:multiLevelType w:val="hybridMultilevel"/>
    <w:lvl w:ilvl="0">
      <w:lvlJc w:val="left"/>
      <w:lvlText w:val="%1."/>
      <w:numFmt w:val="decimal"/>
      <w:start w:val="14"/>
    </w:lvl>
  </w:abstractNum>
  <w:abstractNum w:abstractNumId="127">
    <w:nsid w:val="5399C654"/>
    <w:multiLevelType w:val="hybridMultilevel"/>
    <w:lvl w:ilvl="0">
      <w:lvlJc w:val="left"/>
      <w:lvlText w:val="%1."/>
      <w:numFmt w:val="decimal"/>
      <w:start w:val="16"/>
    </w:lvl>
  </w:abstractNum>
  <w:abstractNum w:abstractNumId="128">
    <w:nsid w:val="20EE1348"/>
    <w:multiLevelType w:val="hybridMultilevel"/>
    <w:lvl w:ilvl="0">
      <w:lvlJc w:val="left"/>
      <w:lvlText w:val="%1."/>
      <w:numFmt w:val="decimal"/>
      <w:start w:val="19"/>
    </w:lvl>
  </w:abstractNum>
  <w:abstractNum w:abstractNumId="129">
    <w:nsid w:val="4427069A"/>
    <w:multiLevelType w:val="hybridMultilevel"/>
    <w:lvl w:ilvl="0">
      <w:lvlJc w:val="left"/>
      <w:lvlText w:val="(%1)"/>
      <w:numFmt w:val="lowerRoman"/>
      <w:start w:val="1"/>
    </w:lvl>
  </w:abstractNum>
  <w:abstractNum w:abstractNumId="130">
    <w:nsid w:val="B37E80A"/>
    <w:multiLevelType w:val="hybridMultilevel"/>
    <w:lvl w:ilvl="0">
      <w:lvlJc w:val="left"/>
      <w:lvlText w:val="%1."/>
      <w:numFmt w:val="decimal"/>
      <w:start w:val="1"/>
    </w:lvl>
  </w:abstractNum>
  <w:abstractNum w:abstractNumId="131">
    <w:nsid w:val="2157F6BC"/>
    <w:multiLevelType w:val="hybridMultilevel"/>
    <w:lvl w:ilvl="0">
      <w:lvlJc w:val="left"/>
      <w:lvlText w:val="1"/>
      <w:numFmt w:val="bullet"/>
      <w:start w:val="1"/>
    </w:lvl>
  </w:abstractNum>
  <w:abstractNum w:abstractNumId="132">
    <w:nsid w:val="704E1DD5"/>
    <w:multiLevelType w:val="hybridMultilevel"/>
    <w:lvl w:ilvl="0">
      <w:lvlJc w:val="left"/>
      <w:lvlText w:val="%1."/>
      <w:numFmt w:val="decimal"/>
      <w:start w:val="8"/>
    </w:lvl>
  </w:abstractNum>
  <w:abstractNum w:abstractNumId="133">
    <w:nsid w:val="57D2F10E"/>
    <w:multiLevelType w:val="hybridMultilevel"/>
    <w:lvl w:ilvl="0">
      <w:lvlJc w:val="left"/>
      <w:lvlText w:val="●"/>
      <w:numFmt w:val="bullet"/>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51" Type="http://schemas.openxmlformats.org/officeDocument/2006/relationships/hyperlink" Target="http://www.sec.gov/ix?doc=/Archives/edgar/data/1840856/000184085623000019/soun-20221231.htm" TargetMode="External"/><Relationship Id="rId52" Type="http://schemas.openxmlformats.org/officeDocument/2006/relationships/hyperlink" Target="http://www.sec.gov/ix?doc=/Archives/edgar/data/1840856/000184085623000031/soun-20230331.htm" TargetMode="External"/><Relationship Id="rId53" Type="http://schemas.openxmlformats.org/officeDocument/2006/relationships/hyperlink" Target="http://www.sec.gov/Archives/edgar/data/1840856/000121390023044031/def14a0523_soundhound.htm" TargetMode="External"/><Relationship Id="rId54" Type="http://schemas.openxmlformats.org/officeDocument/2006/relationships/hyperlink" Target="http://www.sec.gov/ix?doc=/Archives/edgar/data/1840856/000184085623000004/soun-20230105.htm" TargetMode="External"/><Relationship Id="rId55" Type="http://schemas.openxmlformats.org/officeDocument/2006/relationships/hyperlink" Target="http://www.sec.gov/ix?doc=/Archives/edgar/data/1840856/000184085623000008/soun-20230120.htm" TargetMode="External"/><Relationship Id="rId56" Type="http://schemas.openxmlformats.org/officeDocument/2006/relationships/hyperlink" Target="http://www.sec.gov/ix?doc=/Archives/edgar/data/1840856/000121390023030044/ea176992-8k_soundhound.htm" TargetMode="External"/><Relationship Id="rId57" Type="http://schemas.openxmlformats.org/officeDocument/2006/relationships/hyperlink" Target="http://www.sec.gov/ix?doc=/Archives/edgar/data/1840856/000121390023036919/ea178069-8k_soundhound.htm" TargetMode="External"/><Relationship Id="rId58" Type="http://schemas.openxmlformats.org/officeDocument/2006/relationships/hyperlink" Target="http://www.sec.gov/ix?doc=/Archives/edgar/data/1840856/000121390023054855/ea181375-8k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2023-07-24T15:27:22Z</dcterms:created>
  <dcterms:modified xsi:type="dcterms:W3CDTF">2023-07-24T15:27:22Z</dcterms:modified>
</cp:coreProperties>
</file>