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8069-8k_soundhound.htm"/>
      <w:bookmarkStart w:id="1" w:name="ksea1780698k_soundhound"/>
      <w:bookmarkEnd w:id="0"/>
      <w:bookmarkEnd w:id="1"/>
      <w:r>
        <w:rPr>
          <w:bdr w:val="single" w:sz="16"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30504__20"/>
      <w:bookmarkEnd w:id="2"/>
      <w:r>
        <w:rPr>
          <w:rFonts w:ascii="Times New Roman;Times;Serif" w:hAnsi="Times New Roman;Times;Serif"/>
          <w:b/>
          <w:i w:val="false"/>
          <w:caps w:val="false"/>
          <w:smallCaps w:val="false"/>
          <w:sz w:val="20"/>
        </w:rPr>
        <w:t>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May 4, 2023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 w:name="xdx_90F_edei--EntityRegistrantName_c2023"/>
      <w:bookmarkEnd w:id="4"/>
      <w:r>
        <w:rPr>
          <w:rFonts w:ascii="Times New Roman;Times;Serif" w:hAnsi="Times New Roman;Times;Serif"/>
          <w:b/>
          <w:i w:val="false"/>
          <w:caps w:val="false"/>
          <w:smallCaps w:val="false"/>
          <w:sz w:val="20"/>
        </w:rPr>
        <w:t>SOUNDHOUND AI,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6030" w:type="dxa"/>
        <w:jc w:val="left"/>
        <w:tblInd w:w="0" w:type="dxa"/>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2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9_edei--EntityFileNumber_c20230504"/>
            <w:bookmarkEnd w:id="6"/>
            <w:r>
              <w:rPr>
                <w:rFonts w:ascii="Times New Roman;Times;Serif" w:hAnsi="Times New Roman;Times;Serif"/>
                <w:b/>
                <w:i w:val="false"/>
                <w:caps w:val="false"/>
                <w:smallCaps w:val="false"/>
                <w:sz w:val="20"/>
              </w:rPr>
              <w:t>001-40193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85-1286799</w:t>
            </w:r>
          </w:p>
        </w:tc>
      </w:tr>
      <w:tr>
        <w:trPr/>
        <w:tc>
          <w:tcPr>
            <w:tcW w:w="216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2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jc w:val="center"/>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shd w:fill="auto" w:val="clear"/>
            <w:vAlign w:val="center"/>
          </w:tcPr>
          <w:p>
            <w:pPr>
              <w:pStyle w:val="TableContents"/>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5400 Betsy Ross Drive</w:t>
            </w:r>
          </w:p>
          <w:p>
            <w:pPr>
              <w:pStyle w:val="TableContents"/>
              <w:spacing w:before="0" w:after="283"/>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Santa Clara, </w:t>
            </w:r>
            <w:bookmarkStart w:id="10" w:name="xdx_90D_edei--EntityAddressStateOrProvin"/>
            <w:bookmarkEnd w:id="10"/>
            <w:r>
              <w:rPr>
                <w:rFonts w:ascii="Times New Roman;Times;Serif" w:hAnsi="Times New Roman;Times;Serif"/>
                <w:b/>
                <w:i w:val="false"/>
                <w:caps w:val="false"/>
                <w:smallCaps w:val="false"/>
                <w:sz w:val="20"/>
              </w:rPr>
              <w:t>CA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0" w:type="dxa"/>
            <w:tcBorders>
              <w:bottom w:val="single" w:sz="12" w:space="0" w:color="000000"/>
            </w:tcBorders>
            <w:shd w:fill="auto" w:val="clear"/>
            <w:vAlign w:val="center"/>
          </w:tcPr>
          <w:p>
            <w:pPr>
              <w:pStyle w:val="TableContents"/>
              <w:jc w:val="center"/>
              <w:rPr>
                <w:caps w:val="false"/>
                <w:smallCaps w:val="false"/>
              </w:rPr>
            </w:pPr>
            <w:r>
              <w:rPr>
                <w:caps w:val="false"/>
                <w:smallCaps w:val="false"/>
              </w:rPr>
              <w:t> </w:t>
            </w:r>
          </w:p>
          <w:p>
            <w:pPr>
              <w:pStyle w:val="TableContents"/>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95054</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5_edei--CityAreaCode_c20230504__20"/>
      <w:bookmarkEnd w:id="12"/>
      <w:r>
        <w:rPr>
          <w:rFonts w:ascii="Times New Roman;Times;Serif" w:hAnsi="Times New Roman;Times;Serif"/>
          <w:b w:val="false"/>
          <w:i w:val="false"/>
          <w:caps w:val="false"/>
          <w:smallCaps w:val="false"/>
          <w:sz w:val="20"/>
        </w:rPr>
        <w:t xml:space="preserve">408) </w:t>
      </w:r>
      <w:bookmarkStart w:id="13" w:name="xdx_90E_edei--LocalPhoneNumber_c20230504"/>
      <w:bookmarkEnd w:id="13"/>
      <w:r>
        <w:rPr>
          <w:rFonts w:ascii="Times New Roman;Times;Serif" w:hAnsi="Times New Roman;Times;Serif"/>
          <w:b w:val="false"/>
          <w:i w:val="false"/>
          <w:caps w:val="false"/>
          <w:smallCaps w:val="false"/>
          <w:sz w:val="20"/>
        </w:rPr>
        <w:t>441-3200</w:t>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rPr>
          <w:caps w:val="false"/>
          <w:smallCaps w:val="false"/>
        </w:rPr>
      </w:pPr>
      <w:r>
        <w:rPr>
          <w:caps w:val="false"/>
          <w:smallCaps w:val="false"/>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jc w:val="left"/>
              <w:rPr/>
            </w:pPr>
            <w:bookmarkStart w:id="14" w:name="xdx_906_edei--WrittenCommunications_c202"/>
            <w:bookmarkEnd w:id="14"/>
            <w:r>
              <w:rPr/>
              <w:t>☐</w:t>
            </w:r>
          </w:p>
        </w:tc>
        <w:tc>
          <w:tcPr>
            <w:tcW w:w="729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ind w:left="302" w:right="0" w:hanging="302"/>
        <w:jc w:val="both"/>
        <w:rPr>
          <w:caps w:val="false"/>
          <w:smallCaps w:val="false"/>
        </w:rPr>
      </w:pPr>
      <w:r>
        <w:rPr>
          <w:caps w:val="false"/>
          <w:smallCaps w:val="false"/>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jc w:val="left"/>
              <w:rPr/>
            </w:pPr>
            <w:bookmarkStart w:id="15" w:name="xdx_905_edei--SolicitingMaterial_c202305"/>
            <w:bookmarkEnd w:id="15"/>
            <w:r>
              <w:rPr/>
              <w:t>☐</w:t>
            </w:r>
          </w:p>
        </w:tc>
        <w:tc>
          <w:tcPr>
            <w:tcW w:w="732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ind w:left="302" w:right="0" w:hanging="302"/>
        <w:jc w:val="both"/>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jc w:val="left"/>
              <w:rPr/>
            </w:pPr>
            <w:bookmarkStart w:id="16" w:name="xdx_903_edei--PreCommencementTenderOffer"/>
            <w:bookmarkEnd w:id="16"/>
            <w:r>
              <w:rPr/>
              <w:t>☐</w:t>
            </w:r>
          </w:p>
        </w:tc>
        <w:tc>
          <w:tcPr>
            <w:tcW w:w="90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ind w:left="302" w:right="0" w:hanging="302"/>
        <w:jc w:val="both"/>
        <w:rPr>
          <w:caps w:val="false"/>
          <w:smallCaps w:val="false"/>
        </w:rPr>
      </w:pPr>
      <w:r>
        <w:rPr>
          <w:caps w:val="false"/>
          <w:smallCaps w:val="false"/>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jc w:val="left"/>
              <w:rPr/>
            </w:pPr>
            <w:bookmarkStart w:id="17" w:name="xdx_900_edei--PreCommencementIssuerTende"/>
            <w:bookmarkEnd w:id="17"/>
            <w:r>
              <w:rPr/>
              <w:t>☐</w:t>
            </w:r>
          </w:p>
        </w:tc>
        <w:tc>
          <w:tcPr>
            <w:tcW w:w="900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ind w:left="302" w:right="0" w:hanging="302"/>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440"/>
        <w:gridCol w:w="60"/>
        <w:gridCol w:w="1123"/>
        <w:gridCol w:w="60"/>
        <w:gridCol w:w="2522"/>
      </w:tblGrid>
      <w:tr>
        <w:trPr/>
        <w:tc>
          <w:tcPr>
            <w:tcW w:w="64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2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22"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3_edei--Security12bTitle_c20230504"/>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F_edei--TradingSymbol_c20230504__2"/>
            <w:bookmarkEnd w:id="19"/>
            <w:r>
              <w:rPr>
                <w:rFonts w:ascii="Times New Roman;Times;Serif" w:hAnsi="Times New Roman;Times;Serif"/>
                <w:b w:val="false"/>
                <w:i w:val="false"/>
                <w:caps w:val="false"/>
                <w:smallCaps w:val="false"/>
                <w:sz w:val="20"/>
              </w:rPr>
              <w:t>SOUN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522"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F_edei--SecurityExchangeName_c2023"/>
            <w:bookmarkEnd w:id="20"/>
            <w:r>
              <w:rPr>
                <w:rFonts w:ascii="Times New Roman;Times;Serif" w:hAnsi="Times New Roman;Times;Serif"/>
                <w:b w:val="false"/>
                <w:i w:val="false"/>
                <w:caps w:val="false"/>
                <w:smallCaps w:val="false"/>
                <w:sz w:val="20"/>
              </w:rPr>
              <w:t>Nasdaq Stock Market LLC</w:t>
            </w:r>
          </w:p>
        </w:tc>
      </w:tr>
      <w:tr>
        <w:trPr/>
        <w:tc>
          <w:tcPr>
            <w:tcW w:w="6440"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1" w:name="xdx_902_edei--Security12bTitle_c20230504"/>
            <w:bookmarkEnd w:id="21"/>
            <w:r>
              <w:rPr>
                <w:rFonts w:ascii="Times New Roman;Times;Serif" w:hAnsi="Times New Roman;Times;Serif"/>
                <w:b w:val="false"/>
                <w:i w:val="false"/>
                <w:caps w:val="false"/>
                <w:smallCaps w:val="false"/>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2" w:name="xdx_900_edei--TradingSymbol_c20230504__2"/>
            <w:bookmarkEnd w:id="22"/>
            <w:r>
              <w:rPr>
                <w:rFonts w:ascii="Times New Roman;Times;Serif" w:hAnsi="Times New Roman;Times;Serif"/>
                <w:b w:val="false"/>
                <w:i w:val="false"/>
                <w:caps w:val="false"/>
                <w:smallCaps w:val="false"/>
                <w:sz w:val="20"/>
              </w:rPr>
              <w:t>SOUNW</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522" w:type="dxa"/>
            <w:tcBorders/>
            <w:shd w:fill="FFFF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B_edei--SecurityExchangeName_c2023"/>
            <w:bookmarkEnd w:id="23"/>
            <w:r>
              <w:rPr>
                <w:rFonts w:ascii="Times New Roman;Times;Serif" w:hAnsi="Times New Roman;Times;Serif"/>
                <w:b w:val="false"/>
                <w:i w:val="false"/>
                <w:caps w:val="false"/>
                <w:smallCaps w:val="false"/>
                <w:sz w:val="20"/>
              </w:rPr>
              <w:t>Nasdaq Stock Market LLC</w:t>
            </w:r>
          </w:p>
        </w:tc>
      </w:tr>
    </w:tbl>
    <w:p>
      <w:pPr>
        <w:pStyle w:val="TextBody"/>
        <w:ind w:left="302" w:right="0" w:hanging="302"/>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3_edei--EntityExTransitionPeriod_c"/>
      <w:bookmarkEnd w:id="25"/>
      <w:r>
        <w:rPr>
          <w:rFonts w:ascii="Times New Roman;Times;Serif" w:hAnsi="Times New Roman;Times;Serif"/>
          <w:b w:val="false"/>
          <w:i w:val="false"/>
          <w:caps w:val="false"/>
          <w:smallCaps w:val="false"/>
          <w:sz w:val="20"/>
        </w:rPr>
        <w:t>☐</w:t>
      </w:r>
    </w:p>
    <w:p>
      <w:pPr>
        <w:pStyle w:val="TextBody"/>
        <w:jc w:val="left"/>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rPr>
          <w:caps w:val="false"/>
          <w:smallCaps w:val="false"/>
        </w:rPr>
      </w:pPr>
      <w:r>
        <w:rPr>
          <w:caps w:val="false"/>
          <w:smallCaps w:val="false"/>
        </w:rPr>
        <w:t> </w:t>
      </w:r>
    </w:p>
    <w:p>
      <w:pPr>
        <w:pStyle w:val="TextBody"/>
        <w:spacing w:before="0" w:after="0"/>
        <w:jc w:val="center"/>
        <w:rPr>
          <w:caps w:val="false"/>
          <w:smallCaps w:val="false"/>
          <w:bdr w:val="single" w:sz="12" w:space="1" w:color="000000"/>
        </w:rPr>
      </w:pPr>
      <w:r>
        <w:rPr>
          <w:caps w:val="false"/>
          <w:smallCaps w:val="false"/>
          <w:bdr w:val="single" w:sz="12" w:space="1" w:color="000000"/>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Item 5.08.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333333"/>
          <w:sz w:val="20"/>
        </w:rPr>
        <w:t>Shareholder Director Nominations.</w:t>
      </w:r>
    </w:p>
    <w:p>
      <w:pPr>
        <w:pStyle w:val="TextBody"/>
        <w:shd w:fill="FFFFFF" w:val="clear"/>
        <w:jc w:val="both"/>
        <w:rPr>
          <w:caps w:val="false"/>
          <w:smallCaps w:val="false"/>
          <w:color w:val="333333"/>
        </w:rPr>
      </w:pPr>
      <w:r>
        <w:rPr>
          <w:caps w:val="false"/>
          <w:smallCaps w:val="false"/>
          <w:color w:val="333333"/>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the board of directors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of SoundHound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determined that the Company's 2023 Annual Meeting of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will be held on Thursday, June 29, 2023. It is expected that the Annual Meeting will be held virtually, but the time and location of the Annual Meeting will be as set forth in the Company's definitive proxy statement for the Annual Meeting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Pursuant to the Company's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stockholders seeking to bring business before the Annual Meeting or to nominate candidates for election as directors at the Annual Meeting must deliver such proposals or nominations in writing to the principal executive offices of the Company, at 5400 Betsy Ross Drive, Santa Clara, CA 95054, Attention: Corporate Secretary, no later than the close of business on the tenth (10th) day following the date of this report which is May 15, 2023. Any stockholder proposal or director nomination must comply with the processes and procedures outlined in the Bylaws and must also comply with the requirements of Delaware law and the rules and regulations promulgated by the SEC, as applicable.</w:t>
      </w:r>
    </w:p>
    <w:p>
      <w:pPr>
        <w:pStyle w:val="TextBody"/>
        <w:shd w:fill="FFFFFF" w:val="clear"/>
        <w:ind w:left="0" w:right="0" w:firstLine="720"/>
        <w:jc w:val="both"/>
        <w:rPr>
          <w:caps w:val="false"/>
          <w:smallCaps w:val="false"/>
          <w:color w:val="333333"/>
        </w:rPr>
      </w:pPr>
      <w:r>
        <w:rPr>
          <w:caps w:val="false"/>
          <w:smallCaps w:val="false"/>
          <w:color w:val="333333"/>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ind w:left="0" w:right="0" w:firstLine="720"/>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5, 2023</w:t>
      </w:r>
    </w:p>
    <w:p>
      <w:pPr>
        <w:pStyle w:val="TextBody"/>
        <w:rPr>
          <w:caps w:val="false"/>
          <w:smallCaps w:val="false"/>
        </w:rPr>
      </w:pPr>
      <w:r>
        <w:rPr>
          <w:caps w:val="false"/>
          <w:smallCaps w:val="false"/>
        </w:rPr>
        <w:t> </w:t>
      </w:r>
    </w:p>
    <w:tbl>
      <w:tblPr>
        <w:tblW w:w="2635" w:type="dxa"/>
        <w:jc w:val="left"/>
        <w:tblInd w:w="0" w:type="dxa"/>
        <w:tblCellMar>
          <w:top w:w="0" w:type="dxa"/>
          <w:left w:w="0" w:type="dxa"/>
          <w:bottom w:w="0" w:type="dxa"/>
          <w:right w:w="0" w:type="dxa"/>
        </w:tblCellMar>
      </w:tblPr>
      <w:tblGrid>
        <w:gridCol w:w="75"/>
        <w:gridCol w:w="605"/>
        <w:gridCol w:w="1955"/>
      </w:tblGrid>
      <w:tr>
        <w:trPr/>
        <w:tc>
          <w:tcPr>
            <w:tcW w:w="75" w:type="dxa"/>
            <w:tcBorders/>
            <w:shd w:fill="auto" w:val="clear"/>
            <w:vAlign w:val="center"/>
          </w:tcPr>
          <w:p>
            <w:pPr>
              <w:pStyle w:val="TableContents"/>
              <w:spacing w:before="0" w:after="283"/>
              <w:rPr/>
            </w:pPr>
            <w:r>
              <w:rPr/>
              <w:t> </w:t>
            </w:r>
          </w:p>
        </w:tc>
        <w:tc>
          <w:tcPr>
            <w:tcW w:w="2560"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tc>
      </w:tr>
      <w:tr>
        <w:trPr/>
        <w:tc>
          <w:tcPr>
            <w:tcW w:w="75" w:type="dxa"/>
            <w:tcBorders/>
            <w:shd w:fill="auto" w:val="clear"/>
            <w:vAlign w:val="center"/>
          </w:tcPr>
          <w:p>
            <w:pPr>
              <w:pStyle w:val="TableContents"/>
              <w:spacing w:before="0" w:after="283"/>
              <w:rPr/>
            </w:pPr>
            <w:r>
              <w:rPr/>
              <w:t> </w:t>
            </w:r>
          </w:p>
        </w:tc>
        <w:tc>
          <w:tcPr>
            <w:tcW w:w="256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2560" w:type="dxa"/>
            <w:gridSpan w:val="2"/>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Mohajer</w:t>
            </w:r>
          </w:p>
        </w:tc>
      </w:tr>
      <w:tr>
        <w:trPr/>
        <w:tc>
          <w:tcPr>
            <w:tcW w:w="7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Mohajer</w:t>
            </w:r>
          </w:p>
        </w:tc>
      </w:tr>
      <w:tr>
        <w:trPr/>
        <w:tc>
          <w:tcPr>
            <w:tcW w:w="75"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1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spacing w:before="0" w:after="283"/>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585</Words>
  <CharactersWithSpaces>3717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