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val="false"/>
          <w:i w:val="false"/>
          <w:caps w:val="false"/>
          <w:smallCaps w:val="false"/>
          <w:sz w:val="20"/>
        </w:rPr>
      </w:pPr>
      <w:bookmarkStart w:id="0" w:name="ea0220378-s3mef_sound.htm"/>
      <w:bookmarkStart w:id="1" w:name="ksea0220378s3mef_sound"/>
      <w:bookmarkEnd w:id="0"/>
      <w:bookmarkEnd w:id="1"/>
      <w:r>
        <w:rPr>
          <w:rFonts w:ascii="Times New Roman;Times;Serif" w:hAnsi="Times New Roman;Times;Serif"/>
          <w:b/>
          <w:i w:val="false"/>
          <w:caps w:val="false"/>
          <w:smallCaps w:val="false"/>
          <w:sz w:val="20"/>
        </w:rPr>
        <w:t>As filed with the Securities and Exchange Commission 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November 8, 2024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333-__________</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 </w:t>
      </w:r>
    </w:p>
    <w:p>
      <w:pPr>
        <w:pStyle w:val="TextBody"/>
        <w:bidi w:val="0"/>
        <w:spacing w:before="0" w:after="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86-1286799</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5400 Betsy Ross Drive,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Santa Clara, CA 95054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 441 - 3200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Keyvan Mohajer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5400 Betsy Ross Drive,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Santa Clara, CA 95054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 441-3200</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send a copy of all communications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Douglas Ellenoff,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Matthew Bernstein,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Ellenoff Grossman &amp; Schole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1345 Avenue of the Americas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10105-0302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370-1300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proposed sale to the public: As soon as practicable after this Registration Statement becomes effective.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333-273393</w:t>
      </w:r>
    </w:p>
    <w:p>
      <w:pPr>
        <w:pStyle w:val="TextBody"/>
        <w:bidi w:val="0"/>
        <w:spacing w:before="0" w:after="0"/>
        <w:ind w:left="0" w:right="0" w:firstLine="57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57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 ☒</w:t>
            </w:r>
          </w:p>
        </w:tc>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 ☐</w:t>
            </w:r>
          </w:p>
        </w:tc>
      </w:tr>
      <w:tr>
        <w:trPr/>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 ☐</w:t>
            </w:r>
          </w:p>
        </w:tc>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 ☐</w:t>
            </w:r>
          </w:p>
        </w:tc>
      </w:tr>
      <w:tr>
        <w:trPr/>
        <w:tc>
          <w:tcPr>
            <w:tcW w:w="20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registration statement shall become effective upon filing with the Securities and Exchange Commission in accordance with Rule 462(b)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EXPLANATORY NOTE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AND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pPr>
      <w:r>
        <w:rPr>
          <w:rFonts w:ascii="Times New Roman;Times;Serif" w:hAnsi="Times New Roman;Times;Serif"/>
          <w:b w:val="false"/>
          <w:i w:val="false"/>
          <w:caps w:val="false"/>
          <w:smallCaps w:val="false"/>
          <w:sz w:val="20"/>
        </w:rPr>
        <w:t xml:space="preserve">Pursuant to Rule 462(b) under the Securities Act of 1933, as amended, SoundHound AI, Inc. (the “Registrant”) is filing this Registration Statement on Form S-3 (this “Registration Statement”) with the Securities and Exchange Commission (the “Commission”). This Registration Statement relates to the public offering of securities contemplated by the Registration Statement on </w:t>
      </w:r>
      <w:hyperlink r:id="rId2">
        <w:r>
          <w:rPr>
            <w:rStyle w:val="InternetLink"/>
            <w:rFonts w:ascii="Times New Roman;Times;Serif" w:hAnsi="Times New Roman;Times;Serif"/>
            <w:b w:val="false"/>
            <w:i w:val="false"/>
            <w:caps w:val="false"/>
            <w:smallCaps w:val="false"/>
            <w:sz w:val="20"/>
          </w:rPr>
          <w:t>Form S-3</w:t>
        </w:r>
      </w:hyperlink>
      <w:r>
        <w:rPr>
          <w:rFonts w:ascii="Times New Roman;Times;Serif" w:hAnsi="Times New Roman;Times;Serif"/>
          <w:b w:val="false"/>
          <w:i w:val="false"/>
          <w:caps w:val="false"/>
          <w:smallCaps w:val="false"/>
          <w:sz w:val="20"/>
        </w:rPr>
        <w:t> (File No. 333-273393) (the “Prior Registration Statement”), which was declared effective by the Commission on August 4, 2023.</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filing this Registration Statement for the sole purpose of increasing the aggregate amount of securities offered by the Registrant by a proposed additional aggregate offering price of $20,000,000. The additional securities that are being registered for issuance and sale are in an amount and at a price that together represent no more than 20% of the maximum aggregate offering price of unsold securities under the Prior Registration Statement. The information set forth in the Prior Registration Statement, including all information incorporated by reference therein, and all exhibits to the Prior Registration Statement are hereby incorporated by reference into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opinion and consents are listed on an Exhibit Index attached hereto and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with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25"/>
        <w:gridCol w:w="60"/>
        <w:gridCol w:w="7715"/>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283"/>
              <w:jc w:val="left"/>
              <w:rPr/>
            </w:pPr>
            <w:r>
              <w:rPr/>
              <w:t> </w:t>
            </w:r>
          </w:p>
        </w:tc>
      </w:tr>
      <w:tr>
        <w:trPr/>
        <w:tc>
          <w:tcPr>
            <w:tcW w:w="7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77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vAlign w:val="center"/>
          </w:tcPr>
          <w:p>
            <w:pPr>
              <w:pStyle w:val="TableContents"/>
              <w:bidi w:val="0"/>
              <w:spacing w:before="0" w:after="283"/>
              <w:jc w:val="left"/>
              <w:rPr/>
            </w:pPr>
            <w:r>
              <w:rPr/>
              <w:t> </w:t>
            </w:r>
          </w:p>
        </w:tc>
        <w:tc>
          <w:tcPr>
            <w:tcW w:w="7715" w:type="dxa"/>
            <w:tcBorders/>
            <w:shd w:fill="CCEEFF" w:val="clear"/>
            <w:vAlign w:val="center"/>
          </w:tcPr>
          <w:p>
            <w:pPr>
              <w:pStyle w:val="TableContents"/>
              <w:bidi w:val="0"/>
              <w:spacing w:before="0" w:after="283"/>
              <w:jc w:val="left"/>
              <w:rPr/>
            </w:pPr>
            <w:hyperlink w:anchor="ea022037801ex5-1_sound.htm">
              <w:r>
                <w:rPr>
                  <w:rStyle w:val="InternetLink"/>
                  <w:rFonts w:ascii="Times New Roman;Times;Serif" w:hAnsi="Times New Roman;Times;Serif"/>
                  <w:sz w:val="20"/>
                </w:rPr>
                <w:t>Opinion of Ellenoff Grossman &amp; Schole LLP</w:t>
              </w:r>
            </w:hyperlink>
            <w:r>
              <w:rPr>
                <w:rFonts w:ascii="Times New Roman;Times;Serif" w:hAnsi="Times New Roman;Times;Serif"/>
                <w:sz w:val="20"/>
              </w:rPr>
              <w:t xml:space="preserve">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vAlign w:val="center"/>
          </w:tcPr>
          <w:p>
            <w:pPr>
              <w:pStyle w:val="TableContents"/>
              <w:bidi w:val="0"/>
              <w:spacing w:before="0" w:after="283"/>
              <w:jc w:val="left"/>
              <w:rPr/>
            </w:pPr>
            <w:r>
              <w:rPr/>
              <w:t> </w:t>
            </w:r>
          </w:p>
        </w:tc>
        <w:tc>
          <w:tcPr>
            <w:tcW w:w="7715" w:type="dxa"/>
            <w:tcBorders/>
            <w:shd w:fill="FFFFFF" w:val="clear"/>
            <w:vAlign w:val="center"/>
          </w:tcPr>
          <w:p>
            <w:pPr>
              <w:pStyle w:val="TableContents"/>
              <w:bidi w:val="0"/>
              <w:spacing w:before="0" w:after="283"/>
              <w:jc w:val="left"/>
              <w:rPr/>
            </w:pPr>
            <w:hyperlink w:anchor="ea022037801ex23-1_sound.htm">
              <w:r>
                <w:rPr>
                  <w:rStyle w:val="InternetLink"/>
                  <w:rFonts w:ascii="Times New Roman;Times;Serif" w:hAnsi="Times New Roman;Times;Serif"/>
                  <w:sz w:val="20"/>
                </w:rPr>
                <w:t>Consent of PricewaterhouseCoopers LLP</w:t>
              </w:r>
            </w:hyperlink>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vAlign w:val="center"/>
          </w:tcPr>
          <w:p>
            <w:pPr>
              <w:pStyle w:val="TableContents"/>
              <w:bidi w:val="0"/>
              <w:spacing w:before="0" w:after="283"/>
              <w:jc w:val="left"/>
              <w:rPr/>
            </w:pPr>
            <w:r>
              <w:rPr/>
              <w:t> </w:t>
            </w:r>
          </w:p>
        </w:tc>
        <w:tc>
          <w:tcPr>
            <w:tcW w:w="7715" w:type="dxa"/>
            <w:tcBorders/>
            <w:shd w:fill="CCEEFF" w:val="clear"/>
            <w:vAlign w:val="center"/>
          </w:tcPr>
          <w:p>
            <w:pPr>
              <w:pStyle w:val="TableContents"/>
              <w:bidi w:val="0"/>
              <w:spacing w:before="0" w:after="283"/>
              <w:jc w:val="left"/>
              <w:rPr/>
            </w:pPr>
            <w:hyperlink w:anchor="ea022037801ex23-2_sound.htm">
              <w:r>
                <w:rPr>
                  <w:rStyle w:val="InternetLink"/>
                  <w:rFonts w:ascii="Times New Roman;Times;Serif" w:hAnsi="Times New Roman;Times;Serif"/>
                  <w:sz w:val="20"/>
                </w:rPr>
                <w:t>Consent of Armanino LLP</w:t>
              </w:r>
            </w:hyperlink>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60" w:type="dxa"/>
            <w:tcBorders/>
            <w:shd w:fill="FFFFFF" w:val="clear"/>
            <w:vAlign w:val="center"/>
          </w:tcPr>
          <w:p>
            <w:pPr>
              <w:pStyle w:val="TableContents"/>
              <w:bidi w:val="0"/>
              <w:spacing w:before="0" w:after="283"/>
              <w:jc w:val="left"/>
              <w:rPr/>
            </w:pPr>
            <w:r>
              <w:rPr/>
              <w:t> </w:t>
            </w:r>
          </w:p>
        </w:tc>
        <w:tc>
          <w:tcPr>
            <w:tcW w:w="7715" w:type="dxa"/>
            <w:tcBorders/>
            <w:shd w:fill="FFFFFF" w:val="clear"/>
            <w:vAlign w:val="center"/>
          </w:tcPr>
          <w:p>
            <w:pPr>
              <w:pStyle w:val="TableContents"/>
              <w:bidi w:val="0"/>
              <w:spacing w:before="0" w:after="283"/>
              <w:jc w:val="left"/>
              <w:rPr/>
            </w:pPr>
            <w:hyperlink w:anchor="ea022037801ex23-3_sound.htm">
              <w:r>
                <w:rPr>
                  <w:rStyle w:val="InternetLink"/>
                  <w:rFonts w:ascii="Times New Roman;Times;Serif" w:hAnsi="Times New Roman;Times;Serif"/>
                  <w:sz w:val="20"/>
                </w:rPr>
                <w:t>Consent of Ernst &amp; Young LLP</w:t>
              </w:r>
            </w:hyperlink>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23.4*</w:t>
            </w:r>
          </w:p>
        </w:tc>
        <w:tc>
          <w:tcPr>
            <w:tcW w:w="60" w:type="dxa"/>
            <w:tcBorders/>
            <w:shd w:fill="CCEEFF" w:val="clear"/>
            <w:vAlign w:val="center"/>
          </w:tcPr>
          <w:p>
            <w:pPr>
              <w:pStyle w:val="TableContents"/>
              <w:bidi w:val="0"/>
              <w:spacing w:before="0" w:after="283"/>
              <w:jc w:val="left"/>
              <w:rPr/>
            </w:pPr>
            <w:r>
              <w:rPr/>
              <w:t> </w:t>
            </w:r>
          </w:p>
        </w:tc>
        <w:tc>
          <w:tcPr>
            <w:tcW w:w="7715" w:type="dxa"/>
            <w:tcBorders/>
            <w:shd w:fill="CCEEFF" w:val="clear"/>
            <w:vAlign w:val="center"/>
          </w:tcPr>
          <w:p>
            <w:pPr>
              <w:pStyle w:val="TableContents"/>
              <w:bidi w:val="0"/>
              <w:spacing w:before="0" w:after="283"/>
              <w:jc w:val="left"/>
              <w:rPr/>
            </w:pPr>
            <w:hyperlink w:anchor="ea022037801ex5-1_sound.htm">
              <w:r>
                <w:rPr>
                  <w:rStyle w:val="InternetLink"/>
                  <w:rFonts w:ascii="Times New Roman;Times;Serif" w:hAnsi="Times New Roman;Times;Serif"/>
                  <w:sz w:val="20"/>
                </w:rPr>
                <w:t>Consent of Ellenoff Grossman &amp; Schole (included in Exhibit 5.1)</w:t>
              </w:r>
            </w:hyperlink>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60" w:type="dxa"/>
            <w:tcBorders/>
            <w:shd w:fill="FFFFFF" w:val="clear"/>
            <w:vAlign w:val="center"/>
          </w:tcPr>
          <w:p>
            <w:pPr>
              <w:pStyle w:val="TableContents"/>
              <w:bidi w:val="0"/>
              <w:spacing w:before="0" w:after="283"/>
              <w:jc w:val="left"/>
              <w:rPr/>
            </w:pPr>
            <w:r>
              <w:rPr/>
              <w:t> </w:t>
            </w:r>
          </w:p>
        </w:tc>
        <w:tc>
          <w:tcPr>
            <w:tcW w:w="7715" w:type="dxa"/>
            <w:tcBorders/>
            <w:shd w:fill="FFFFFF" w:val="cle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"https://www.sec.gov/Archives/edgar/data/1840856/000121390023059229/ea181770-s3_soundhound.htm" \l "l_014"</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Power of Attorney (incorporated by reference to Exhibit 24 of the Prior Registration Statement)</w:t>
            </w:r>
            <w:r>
              <w:rPr>
                <w:rStyle w:val="InternetLink"/>
                <w:sz w:val="20"/>
                <w:rFonts w:ascii="Times New Roman;Times;Serif" w:hAnsi="Times New Roman;Times;Serif"/>
              </w:rPr>
              <w:fldChar w:fldCharType="end"/>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vAlign w:val="center"/>
          </w:tcPr>
          <w:p>
            <w:pPr>
              <w:pStyle w:val="TableContents"/>
              <w:bidi w:val="0"/>
              <w:spacing w:before="0" w:after="283"/>
              <w:jc w:val="left"/>
              <w:rPr/>
            </w:pPr>
            <w:r>
              <w:rPr/>
              <w:t> </w:t>
            </w:r>
          </w:p>
        </w:tc>
        <w:tc>
          <w:tcPr>
            <w:tcW w:w="7715" w:type="dxa"/>
            <w:tcBorders/>
            <w:shd w:fill="CCEEFF" w:val="clear"/>
            <w:vAlign w:val="center"/>
          </w:tcPr>
          <w:p>
            <w:pPr>
              <w:pStyle w:val="TableContents"/>
              <w:bidi w:val="0"/>
              <w:spacing w:before="0" w:after="283"/>
              <w:jc w:val="left"/>
              <w:rPr/>
            </w:pPr>
            <w:hyperlink w:anchor="ea022037801ex-fee_sound.htm">
              <w:r>
                <w:rPr>
                  <w:rStyle w:val="InternetLink"/>
                  <w:rFonts w:ascii="Times New Roman;Times;Serif" w:hAnsi="Times New Roman;Times;Serif"/>
                  <w:sz w:val="20"/>
                </w:rPr>
                <w:t>Calculation of Filing Fee Table</w:t>
              </w:r>
            </w:hyperlink>
          </w:p>
        </w:tc>
      </w:tr>
    </w:tbl>
    <w:p>
      <w:pPr>
        <w:pStyle w:val="TextBody"/>
        <w:bidi w:val="0"/>
        <w:spacing w:before="0" w:after="283"/>
        <w:jc w:val="left"/>
        <w:rPr/>
      </w:pPr>
      <w:r>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Santa Clara, State of California, on this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November, 2024.</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105"/>
        <w:gridCol w:w="635"/>
        <w:gridCol w:w="2015"/>
      </w:tblGrid>
      <w:tr>
        <w:trPr/>
        <w:tc>
          <w:tcPr>
            <w:tcW w:w="10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SoundHound AI, Inc.</w:t>
            </w:r>
          </w:p>
        </w:tc>
      </w:tr>
      <w:tr>
        <w:trPr/>
        <w:tc>
          <w:tcPr>
            <w:tcW w:w="10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6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Dr. Keyvan Mohajer</w:t>
            </w:r>
          </w:p>
        </w:tc>
      </w:tr>
      <w:tr>
        <w:trPr/>
        <w:tc>
          <w:tcPr>
            <w:tcW w:w="1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rFonts w:ascii="Times New Roman;Times;Serif" w:hAnsi="Times New Roman;Times;Serif"/>
                <w:sz w:val="20"/>
              </w:rPr>
              <w:t>Name:</w:t>
            </w:r>
            <w:r>
              <w:rPr/>
              <w:t> </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Keyvan Mohajer</w:t>
            </w:r>
          </w:p>
        </w:tc>
      </w:tr>
      <w:tr>
        <w:trPr/>
        <w:tc>
          <w:tcPr>
            <w:tcW w:w="1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on behalf of the Registrant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6930" w:type="dxa"/>
        <w:jc w:val="left"/>
        <w:tblInd w:w="0" w:type="dxa"/>
        <w:tblLayout w:type="fixed"/>
        <w:tblCellMar>
          <w:top w:w="0" w:type="dxa"/>
          <w:left w:w="0" w:type="dxa"/>
          <w:bottom w:w="28" w:type="dxa"/>
          <w:right w:w="0" w:type="dxa"/>
        </w:tblCellMar>
      </w:tblPr>
      <w:tblGrid>
        <w:gridCol w:w="1640"/>
        <w:gridCol w:w="60"/>
        <w:gridCol w:w="3635"/>
        <w:gridCol w:w="60"/>
        <w:gridCol w:w="1535"/>
      </w:tblGrid>
      <w:tr>
        <w:trPr/>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6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640" w:type="dxa"/>
            <w:tcBorders/>
            <w:tcMar>
              <w:bottom w:w="0" w:type="dxa"/>
            </w:tcMar>
            <w:vAlign w:val="center"/>
          </w:tcPr>
          <w:p>
            <w:pPr>
              <w:pStyle w:val="TableContents"/>
              <w:bidi w:val="0"/>
              <w:spacing w:before="0" w:after="283"/>
              <w:jc w:val="left"/>
              <w:rPr/>
            </w:pPr>
            <w:r>
              <w:rPr/>
              <w:t> </w:t>
            </w:r>
          </w:p>
        </w:tc>
        <w:tc>
          <w:tcPr>
            <w:tcW w:w="3695" w:type="dxa"/>
            <w:gridSpan w:val="2"/>
            <w:tcBorders/>
            <w:tcMar>
              <w:bottom w:w="0" w:type="dxa"/>
            </w:tcMar>
            <w:vAlign w:val="center"/>
          </w:tcPr>
          <w:p>
            <w:pPr>
              <w:pStyle w:val="TableContents"/>
              <w:bidi w:val="0"/>
              <w:spacing w:before="0" w:after="283"/>
              <w:jc w:val="left"/>
              <w:rPr/>
            </w:pPr>
            <w:r>
              <w:rPr/>
              <w:t> </w:t>
            </w:r>
          </w:p>
        </w:tc>
        <w:tc>
          <w:tcPr>
            <w:tcW w:w="1595" w:type="dxa"/>
            <w:gridSpan w:val="2"/>
            <w:tcBorders/>
            <w:tcMar>
              <w:bottom w:w="0" w:type="dxa"/>
            </w:tcMar>
            <w:vAlign w:val="center"/>
          </w:tcPr>
          <w:p>
            <w:pPr>
              <w:pStyle w:val="TableContents"/>
              <w:bidi w:val="0"/>
              <w:spacing w:before="0" w:after="283"/>
              <w:jc w:val="left"/>
              <w:rPr/>
            </w:pPr>
            <w:r>
              <w:rPr/>
              <w:t> </w:t>
            </w:r>
          </w:p>
        </w:tc>
      </w:tr>
      <w:tr>
        <w:trPr/>
        <w:tc>
          <w:tcPr>
            <w:tcW w:w="16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Keyvan Mohajer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8, 2024</w:t>
            </w:r>
          </w:p>
        </w:tc>
      </w:tr>
      <w:tr>
        <w:trPr/>
        <w:tc>
          <w:tcPr>
            <w:tcW w:w="1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Mohajer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3695" w:type="dxa"/>
            <w:gridSpan w:val="2"/>
            <w:tcBorders/>
            <w:tcMar>
              <w:bottom w:w="0" w:type="dxa"/>
            </w:tcMar>
            <w:vAlign w:val="center"/>
          </w:tcPr>
          <w:p>
            <w:pPr>
              <w:pStyle w:val="TableContents"/>
              <w:bidi w:val="0"/>
              <w:spacing w:before="0" w:after="283"/>
              <w:jc w:val="left"/>
              <w:rPr/>
            </w:pPr>
            <w:r>
              <w:rPr/>
              <w:t> </w:t>
            </w:r>
          </w:p>
        </w:tc>
        <w:tc>
          <w:tcPr>
            <w:tcW w:w="1595" w:type="dxa"/>
            <w:gridSpan w:val="2"/>
            <w:tcBorders/>
            <w:tcMar>
              <w:bottom w:w="0" w:type="dxa"/>
            </w:tcMar>
            <w:vAlign w:val="center"/>
          </w:tcPr>
          <w:p>
            <w:pPr>
              <w:pStyle w:val="TableContents"/>
              <w:bidi w:val="0"/>
              <w:spacing w:before="0" w:after="283"/>
              <w:jc w:val="left"/>
              <w:rPr/>
            </w:pPr>
            <w:r>
              <w:rPr/>
              <w:t> </w:t>
            </w:r>
          </w:p>
        </w:tc>
      </w:tr>
      <w:tr>
        <w:trPr/>
        <w:tc>
          <w:tcPr>
            <w:tcW w:w="16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Nitesh Sharan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8, 2024</w:t>
            </w:r>
          </w:p>
        </w:tc>
      </w:tr>
      <w:tr>
        <w:trPr/>
        <w:tc>
          <w:tcPr>
            <w:tcW w:w="1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Nitesh Sharan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3695" w:type="dxa"/>
            <w:gridSpan w:val="2"/>
            <w:tcBorders/>
            <w:tcMar>
              <w:bottom w:w="0" w:type="dxa"/>
            </w:tcMar>
            <w:vAlign w:val="center"/>
          </w:tcPr>
          <w:p>
            <w:pPr>
              <w:pStyle w:val="TableContents"/>
              <w:bidi w:val="0"/>
              <w:spacing w:before="0" w:after="283"/>
              <w:jc w:val="left"/>
              <w:rPr/>
            </w:pPr>
            <w:r>
              <w:rPr/>
              <w:t> </w:t>
            </w:r>
          </w:p>
        </w:tc>
        <w:tc>
          <w:tcPr>
            <w:tcW w:w="1595" w:type="dxa"/>
            <w:gridSpan w:val="2"/>
            <w:tcBorders/>
            <w:tcMar>
              <w:bottom w:w="0" w:type="dxa"/>
            </w:tcMar>
            <w:vAlign w:val="center"/>
          </w:tcPr>
          <w:p>
            <w:pPr>
              <w:pStyle w:val="TableContents"/>
              <w:bidi w:val="0"/>
              <w:spacing w:before="0" w:after="283"/>
              <w:jc w:val="left"/>
              <w:rPr/>
            </w:pPr>
            <w:r>
              <w:rPr/>
              <w:t> </w:t>
            </w:r>
          </w:p>
        </w:tc>
      </w:tr>
      <w:tr>
        <w:trPr/>
        <w:tc>
          <w:tcPr>
            <w:tcW w:w="16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8, 2024</w:t>
            </w:r>
          </w:p>
        </w:tc>
      </w:tr>
      <w:tr>
        <w:trPr/>
        <w:tc>
          <w:tcPr>
            <w:tcW w:w="1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Hom</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3695" w:type="dxa"/>
            <w:gridSpan w:val="2"/>
            <w:tcBorders/>
            <w:tcMar>
              <w:bottom w:w="0" w:type="dxa"/>
            </w:tcMar>
            <w:vAlign w:val="center"/>
          </w:tcPr>
          <w:p>
            <w:pPr>
              <w:pStyle w:val="TableContents"/>
              <w:bidi w:val="0"/>
              <w:spacing w:before="0" w:after="283"/>
              <w:jc w:val="left"/>
              <w:rPr/>
            </w:pPr>
            <w:r>
              <w:rPr/>
              <w:t> </w:t>
            </w:r>
          </w:p>
        </w:tc>
        <w:tc>
          <w:tcPr>
            <w:tcW w:w="1595" w:type="dxa"/>
            <w:gridSpan w:val="2"/>
            <w:tcBorders/>
            <w:tcMar>
              <w:bottom w:w="0" w:type="dxa"/>
            </w:tcMar>
            <w:vAlign w:val="center"/>
          </w:tcPr>
          <w:p>
            <w:pPr>
              <w:pStyle w:val="TableContents"/>
              <w:bidi w:val="0"/>
              <w:spacing w:before="0" w:after="283"/>
              <w:jc w:val="left"/>
              <w:rPr/>
            </w:pPr>
            <w:r>
              <w:rPr/>
              <w:t> </w:t>
            </w:r>
          </w:p>
        </w:tc>
      </w:tr>
      <w:tr>
        <w:trPr/>
        <w:tc>
          <w:tcPr>
            <w:tcW w:w="16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8, 2024</w:t>
            </w:r>
          </w:p>
        </w:tc>
      </w:tr>
      <w:tr>
        <w:trPr/>
        <w:tc>
          <w:tcPr>
            <w:tcW w:w="1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Eric Ball</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3695" w:type="dxa"/>
            <w:gridSpan w:val="2"/>
            <w:tcBorders/>
            <w:tcMar>
              <w:bottom w:w="0" w:type="dxa"/>
            </w:tcMar>
            <w:vAlign w:val="center"/>
          </w:tcPr>
          <w:p>
            <w:pPr>
              <w:pStyle w:val="TableContents"/>
              <w:bidi w:val="0"/>
              <w:spacing w:before="0" w:after="283"/>
              <w:jc w:val="left"/>
              <w:rPr/>
            </w:pPr>
            <w:r>
              <w:rPr/>
              <w:t> </w:t>
            </w:r>
          </w:p>
        </w:tc>
        <w:tc>
          <w:tcPr>
            <w:tcW w:w="1595" w:type="dxa"/>
            <w:gridSpan w:val="2"/>
            <w:tcBorders/>
            <w:tcMar>
              <w:bottom w:w="0" w:type="dxa"/>
            </w:tcMar>
            <w:vAlign w:val="center"/>
          </w:tcPr>
          <w:p>
            <w:pPr>
              <w:pStyle w:val="TableContents"/>
              <w:bidi w:val="0"/>
              <w:spacing w:before="0" w:after="283"/>
              <w:jc w:val="left"/>
              <w:rPr/>
            </w:pPr>
            <w:r>
              <w:rPr/>
              <w:t> </w:t>
            </w:r>
          </w:p>
        </w:tc>
      </w:tr>
      <w:tr>
        <w:trPr/>
        <w:tc>
          <w:tcPr>
            <w:tcW w:w="16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8, 2024</w:t>
            </w:r>
          </w:p>
        </w:tc>
      </w:tr>
      <w:tr>
        <w:trPr/>
        <w:tc>
          <w:tcPr>
            <w:tcW w:w="1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Larry Marcus</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3695" w:type="dxa"/>
            <w:gridSpan w:val="2"/>
            <w:tcBorders/>
            <w:tcMar>
              <w:bottom w:w="0" w:type="dxa"/>
            </w:tcMar>
            <w:vAlign w:val="center"/>
          </w:tcPr>
          <w:p>
            <w:pPr>
              <w:pStyle w:val="TableContents"/>
              <w:bidi w:val="0"/>
              <w:spacing w:before="0" w:after="283"/>
              <w:jc w:val="left"/>
              <w:rPr/>
            </w:pPr>
            <w:r>
              <w:rPr/>
              <w:t> </w:t>
            </w:r>
          </w:p>
        </w:tc>
        <w:tc>
          <w:tcPr>
            <w:tcW w:w="1595" w:type="dxa"/>
            <w:gridSpan w:val="2"/>
            <w:tcBorders/>
            <w:tcMar>
              <w:bottom w:w="0" w:type="dxa"/>
            </w:tcMar>
            <w:vAlign w:val="center"/>
          </w:tcPr>
          <w:p>
            <w:pPr>
              <w:pStyle w:val="TableContents"/>
              <w:bidi w:val="0"/>
              <w:spacing w:before="0" w:after="283"/>
              <w:jc w:val="left"/>
              <w:rPr/>
            </w:pPr>
            <w:r>
              <w:rPr/>
              <w:t> </w:t>
            </w:r>
          </w:p>
        </w:tc>
      </w:tr>
      <w:tr>
        <w:trPr/>
        <w:tc>
          <w:tcPr>
            <w:tcW w:w="16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8, 2024</w:t>
            </w:r>
          </w:p>
        </w:tc>
      </w:tr>
      <w:tr>
        <w:trPr/>
        <w:tc>
          <w:tcPr>
            <w:tcW w:w="1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Diana Sroka</w:t>
            </w:r>
          </w:p>
        </w:tc>
        <w:tc>
          <w:tcPr>
            <w:tcW w:w="3695" w:type="dxa"/>
            <w:gridSpan w:val="2"/>
            <w:tcBorders/>
            <w:tcMar>
              <w:bottom w:w="0" w:type="dxa"/>
            </w:tcMar>
            <w:vAlign w:val="center"/>
          </w:tcPr>
          <w:p>
            <w:pPr>
              <w:pStyle w:val="TableContents"/>
              <w:bidi w:val="0"/>
              <w:spacing w:before="0" w:after="283"/>
              <w:jc w:val="left"/>
              <w:rPr/>
            </w:pPr>
            <w:r>
              <w:rPr/>
              <w:t> </w:t>
            </w:r>
          </w:p>
        </w:tc>
        <w:tc>
          <w:tcPr>
            <w:tcW w:w="1595" w:type="dxa"/>
            <w:gridSpan w:val="2"/>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485"/>
        <w:gridCol w:w="1910"/>
        <w:gridCol w:w="75"/>
      </w:tblGrid>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By:</w:t>
            </w:r>
          </w:p>
        </w:tc>
        <w:tc>
          <w:tcPr>
            <w:tcW w:w="19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Dr. Keyvan Mohajer</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Keyvan Mohajer</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2037801ex5-1_sound.htm"/>
      <w:bookmarkStart w:id="3" w:name="ksea022037801ex51_sound"/>
      <w:bookmarkEnd w:id="2"/>
      <w:bookmarkEnd w:id="3"/>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November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SoundHound AI, Inc.</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5400 Betsy Ross Drive</w:t>
        <w:br/>
        <w:t>Santa Clara, CA 95054</w:t>
      </w:r>
    </w:p>
    <w:p>
      <w:pPr>
        <w:pStyle w:val="TextBody"/>
        <w:bidi w:val="0"/>
        <w:spacing w:before="0" w:after="0"/>
        <w:ind w:left="0" w:right="0" w:hanging="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35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3425" w:type="dxa"/>
            <w:tcBorders/>
            <w:vAlign w:val="center"/>
          </w:tcPr>
          <w:p>
            <w:pPr>
              <w:pStyle w:val="TableContents"/>
              <w:bidi w:val="0"/>
              <w:spacing w:before="0" w:after="283"/>
              <w:jc w:val="both"/>
              <w:rPr>
                <w:u w:val="single"/>
              </w:rPr>
            </w:pPr>
            <w:r>
              <w:rPr>
                <w:u w:val="single"/>
              </w:rPr>
              <w:t>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We have acted as counsel to SoundHound AI, Inc., a Delaware corporation (the “</w:t>
      </w:r>
      <w:r>
        <w:rPr>
          <w:rFonts w:ascii="Times New Roman;Times;Serif" w:hAnsi="Times New Roman;Times;Serif"/>
          <w:b/>
          <w:i w:val="false"/>
          <w:caps w:val="false"/>
          <w:smallCaps w:val="false"/>
          <w:sz w:val="20"/>
          <w:shd w:fill="FFFFFF" w:val="clear"/>
        </w:rPr>
        <w:t>Company</w:t>
      </w:r>
      <w:r>
        <w:rPr>
          <w:rFonts w:ascii="Times New Roman;Times;Serif" w:hAnsi="Times New Roman;Times;Serif"/>
          <w:b w:val="false"/>
          <w:i w:val="false"/>
          <w:caps w:val="false"/>
          <w:smallCaps w:val="false"/>
          <w:sz w:val="20"/>
          <w:shd w:fill="FFFFFF" w:val="clear"/>
        </w:rPr>
        <w:t>”), in connection with the filing of a Registration Statement on Form S-3 (the “</w:t>
      </w:r>
      <w:r>
        <w:rPr>
          <w:rFonts w:ascii="Times New Roman;Times;Serif" w:hAnsi="Times New Roman;Times;Serif"/>
          <w:b/>
          <w:i w:val="false"/>
          <w:caps w:val="false"/>
          <w:smallCaps w:val="false"/>
          <w:sz w:val="20"/>
          <w:shd w:fill="FFFFFF" w:val="clear"/>
        </w:rPr>
        <w:t>Registration Statement</w:t>
      </w:r>
      <w:r>
        <w:rPr>
          <w:rFonts w:ascii="Times New Roman;Times;Serif" w:hAnsi="Times New Roman;Times;Serif"/>
          <w:b w:val="false"/>
          <w:i w:val="false"/>
          <w:caps w:val="false"/>
          <w:smallCaps w:val="false"/>
          <w:sz w:val="20"/>
          <w:shd w:fill="FFFFFF" w:val="clear"/>
        </w:rPr>
        <w:t>”) with the Securities and Exchange Commission (the “</w:t>
      </w:r>
      <w:r>
        <w:rPr>
          <w:rFonts w:ascii="Times New Roman;Times;Serif" w:hAnsi="Times New Roman;Times;Serif"/>
          <w:b/>
          <w:i w:val="false"/>
          <w:caps w:val="false"/>
          <w:smallCaps w:val="false"/>
          <w:sz w:val="20"/>
          <w:shd w:fill="FFFFFF" w:val="clear"/>
        </w:rPr>
        <w:t>Commission</w:t>
      </w:r>
      <w:r>
        <w:rPr>
          <w:rFonts w:ascii="Times New Roman;Times;Serif" w:hAnsi="Times New Roman;Times;Serif"/>
          <w:b w:val="false"/>
          <w:i w:val="false"/>
          <w:caps w:val="false"/>
          <w:smallCaps w:val="false"/>
          <w:sz w:val="20"/>
          <w:shd w:fill="FFFFFF" w:val="clear"/>
        </w:rPr>
        <w:t>”) pursuant to Rule 462(b) of the Securities Act of 1933, as amended (the “</w:t>
      </w:r>
      <w:r>
        <w:rPr>
          <w:rFonts w:ascii="Times New Roman;Times;Serif" w:hAnsi="Times New Roman;Times;Serif"/>
          <w:b/>
          <w:i w:val="false"/>
          <w:caps w:val="false"/>
          <w:smallCaps w:val="false"/>
          <w:sz w:val="20"/>
          <w:shd w:fill="FFFFFF" w:val="clear"/>
        </w:rPr>
        <w:t>Act</w:t>
      </w:r>
      <w:r>
        <w:rPr>
          <w:rFonts w:ascii="Times New Roman;Times;Serif" w:hAnsi="Times New Roman;Times;Serif"/>
          <w:b w:val="false"/>
          <w:i w:val="false"/>
          <w:caps w:val="false"/>
          <w:smallCaps w:val="false"/>
          <w:sz w:val="20"/>
          <w:shd w:fill="FFFFFF" w:val="clear"/>
        </w:rPr>
        <w:t>”). The Registration Statement relates to the offer and sale from time to time of additional shares of the Company’s Class A common stock, par value $0.0001 per share (the “</w:t>
      </w:r>
      <w:r>
        <w:rPr>
          <w:rFonts w:ascii="Times New Roman;Times;Serif" w:hAnsi="Times New Roman;Times;Serif"/>
          <w:b/>
          <w:i w:val="false"/>
          <w:caps w:val="false"/>
          <w:smallCaps w:val="false"/>
          <w:sz w:val="20"/>
          <w:shd w:fill="FFFFFF" w:val="clear"/>
        </w:rPr>
        <w:t>Common Stock</w:t>
      </w:r>
      <w:r>
        <w:rPr>
          <w:rFonts w:ascii="Times New Roman;Times;Serif" w:hAnsi="Times New Roman;Times;Serif"/>
          <w:b w:val="false"/>
          <w:i w:val="false"/>
          <w:caps w:val="false"/>
          <w:smallCaps w:val="false"/>
          <w:sz w:val="20"/>
          <w:shd w:fill="FFFFFF" w:val="clear"/>
        </w:rPr>
        <w:t>”), up to a maximum aggregate amount of $20,000,000 (the “</w:t>
      </w:r>
      <w:r>
        <w:rPr>
          <w:rFonts w:ascii="Times New Roman;Times;Serif" w:hAnsi="Times New Roman;Times;Serif"/>
          <w:b/>
          <w:i w:val="false"/>
          <w:caps w:val="false"/>
          <w:smallCaps w:val="false"/>
          <w:sz w:val="20"/>
          <w:shd w:fill="FFFFFF" w:val="clear"/>
        </w:rPr>
        <w:t>Shares</w:t>
      </w:r>
      <w:r>
        <w:rPr>
          <w:rFonts w:ascii="Times New Roman;Times;Serif" w:hAnsi="Times New Roman;Times;Serif"/>
          <w:b w:val="false"/>
          <w:i w:val="false"/>
          <w:caps w:val="false"/>
          <w:smallCaps w:val="false"/>
          <w:sz w:val="20"/>
          <w:shd w:fill="FFFFFF" w:val="clear"/>
        </w:rPr>
        <w:t xml:space="preserve">”), pursuant to an Equity Distribution Agreement, dated November 8, 2024, among the Company, </w:t>
      </w:r>
      <w:r>
        <w:rPr>
          <w:rFonts w:ascii="Times New Roman;Times;Serif" w:hAnsi="Times New Roman;Times;Serif"/>
          <w:b w:val="false"/>
          <w:i w:val="false"/>
          <w:caps w:val="false"/>
          <w:smallCaps w:val="false"/>
          <w:sz w:val="20"/>
        </w:rPr>
        <w:t>Barclays Capital Inc., Piper Sandler &amp; Co., D. A. Davidson &amp; Co., H.C. Wainwright &amp; Co., LLC and Joseph Gunnar &amp; Co., LLC</w:t>
      </w:r>
      <w:r>
        <w:rPr>
          <w:rFonts w:ascii="Times New Roman;Times;Serif" w:hAnsi="Times New Roman;Times;Serif"/>
          <w:b w:val="false"/>
          <w:i w:val="false"/>
          <w:caps w:val="false"/>
          <w:smallCaps w:val="false"/>
          <w:sz w:val="20"/>
          <w:shd w:fill="FFFFFF" w:val="clear"/>
        </w:rPr>
        <w:t>. The Registration Statement incorporates by reference the Registration Statement on Form S-3 (Registration No. 333-273393) (the “</w:t>
      </w:r>
      <w:r>
        <w:rPr>
          <w:rFonts w:ascii="Times New Roman;Times;Serif" w:hAnsi="Times New Roman;Times;Serif"/>
          <w:b/>
          <w:i w:val="false"/>
          <w:caps w:val="false"/>
          <w:smallCaps w:val="false"/>
          <w:sz w:val="20"/>
          <w:shd w:fill="FFFFFF" w:val="clear"/>
        </w:rPr>
        <w:t>Prior Registration Statement</w:t>
      </w:r>
      <w:r>
        <w:rPr>
          <w:rFonts w:ascii="Times New Roman;Times;Serif" w:hAnsi="Times New Roman;Times;Serif"/>
          <w:b w:val="false"/>
          <w:i w:val="false"/>
          <w:caps w:val="false"/>
          <w:smallCaps w:val="false"/>
          <w:sz w:val="20"/>
          <w:shd w:fill="FFFFFF" w:val="clear"/>
        </w:rPr>
        <w:t>”), which was declared effective on August 4, 2023, including the prospectus which forms part of the Prior Registration Statement (the “</w:t>
      </w:r>
      <w:r>
        <w:rPr>
          <w:rFonts w:ascii="Times New Roman;Times;Serif" w:hAnsi="Times New Roman;Times;Serif"/>
          <w:b/>
          <w:i w:val="false"/>
          <w:caps w:val="false"/>
          <w:smallCaps w:val="false"/>
          <w:sz w:val="20"/>
          <w:shd w:fill="FFFFFF" w:val="clear"/>
        </w:rPr>
        <w:t>Prospectus</w:t>
      </w:r>
      <w:r>
        <w:rPr>
          <w:rFonts w:ascii="Times New Roman;Times;Serif" w:hAnsi="Times New Roman;Times;Serif"/>
          <w:b w:val="false"/>
          <w:i w:val="false"/>
          <w:caps w:val="false"/>
          <w:smallCaps w:val="false"/>
          <w:sz w:val="20"/>
          <w:shd w:fill="FFFFFF" w:val="clear"/>
        </w:rPr>
        <w:t>”) and the supplements to the Prospectus referred to therein (each a “</w:t>
      </w:r>
      <w:r>
        <w:rPr>
          <w:rFonts w:ascii="Times New Roman;Times;Serif" w:hAnsi="Times New Roman;Times;Serif"/>
          <w:b/>
          <w:i w:val="false"/>
          <w:caps w:val="false"/>
          <w:smallCaps w:val="false"/>
          <w:sz w:val="20"/>
          <w:shd w:fill="FFFFFF" w:val="clear"/>
        </w:rPr>
        <w:t>Prospectus Supplement</w:t>
      </w:r>
      <w:r>
        <w:rPr>
          <w:rFonts w:ascii="Times New Roman;Times;Serif" w:hAnsi="Times New Roman;Times;Serif"/>
          <w:b w:val="false"/>
          <w:i w:val="false"/>
          <w:caps w:val="false"/>
          <w:smallCaps w:val="false"/>
          <w:sz w:val="20"/>
          <w:shd w:fill="FFFFFF" w:val="clear"/>
        </w:rPr>
        <w:t>”). The Shares are covered by the Registration Statement, and we understand that the Shares are to be offered and sold in the manner described in the Prospectus Supplement. This opinion is being delivered at the request of the Company and in accordance with the requirements of Item 601(b)(5) of Regulation S-K promulgated by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For purposes of this opinion, we have examined such documents and reviewed such questions of law as we have considered necessary and appropriate for the purposes of our opinion set forth below. In rendering our opinion,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questions of fact material to our opinions, we have relied upon certificates of officers of the Company and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Based upon and subject to the foregoing, we are of the opinion that the Shares have been duly authorized and, when issued and paid for as described in the Prospectus Supplement,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opinions expressed herein are limited to the laws of the General Corporation Law of the State of Delaware as currently in effect, and no opinion is expressed with respect to any other laws or any effect that such other laws may have on the opinions expressed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consent to the filing of this opinion with the SEC as Exhibit 5.1 to the Registration Statement. We also consent to the reference of our firm under the caption “Experts” in the Prospectus Supplement and in each case in any amendment or supplement thereto. In giving this consent, we do not thereby admit that we are in the category of persons whose consent is required under Section 7 and Section 11 of the Actor the rules and regulations of the Commission promulgated thereunder, nor do we admit that we are experts with respect to any part of the Prospectus Supplement within the meaning of the term “expert” as used in the Act or the related rules and regulations of the Commission promulgated thereunder.</w:t>
      </w:r>
    </w:p>
    <w:p>
      <w:pPr>
        <w:pStyle w:val="TextBody"/>
        <w:bidi w:val="0"/>
        <w:spacing w:before="0" w:after="0"/>
        <w:ind w:left="4500" w:right="0" w:hanging="0"/>
        <w:jc w:val="left"/>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75"/>
        <w:gridCol w:w="2960"/>
      </w:tblGrid>
      <w:tr>
        <w:trPr/>
        <w:tc>
          <w:tcPr>
            <w:tcW w:w="7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Ellenoff Grossman &amp; Schole LLP</w:t>
            </w:r>
          </w:p>
        </w:tc>
      </w:tr>
      <w:tr>
        <w:trPr/>
        <w:tc>
          <w:tcPr>
            <w:tcW w:w="7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Ellenoff Grossman &amp; Schole LLP</w:t>
            </w:r>
          </w:p>
        </w:tc>
      </w:tr>
    </w:tbl>
    <w:p>
      <w:pPr>
        <w:pStyle w:val="TextBody"/>
        <w:bidi w:val="0"/>
        <w:spacing w:before="0" w:after="0"/>
        <w:ind w:left="4500" w:right="0" w:hanging="0"/>
        <w:jc w:val="left"/>
        <w:rPr>
          <w:caps w:val="false"/>
          <w:smallCaps w:val="false"/>
        </w:rPr>
      </w:pPr>
      <w:r>
        <w:rPr>
          <w:caps w:val="false"/>
          <w:smallCaps w:val="false"/>
        </w:rPr>
        <w:t> </w:t>
      </w:r>
    </w:p>
    <w:p>
      <w:pPr>
        <w:pStyle w:val="TextBody"/>
        <w:bidi w:val="0"/>
        <w:spacing w:before="0" w:after="0"/>
        <w:ind w:left="450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22037801ex23-1_sound.htm"/>
      <w:bookmarkStart w:id="5" w:name="ksea022037801ex231_sound"/>
      <w:bookmarkEnd w:id="4"/>
      <w:bookmarkEnd w:id="5"/>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SoundHound AI, Inc. of our report dated March 1, 2024 relating to the financial statements and the effectiveness of internal control over financial reporting, which appears in SoundHound AI Inc.’s Annual Report on Form 10-K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8, 2024</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6" w:name="ea022037801ex23-2_sound.htm"/>
      <w:bookmarkStart w:id="7" w:name="ksea022037801ex232_sound"/>
      <w:bookmarkEnd w:id="6"/>
      <w:bookmarkEnd w:id="7"/>
      <w:r>
        <w:rPr/>
        <w:t> </w:t>
      </w:r>
      <w:r>
        <w:br w:type="page"/>
      </w:r>
    </w:p>
    <w:p>
      <w:pPr>
        <w:pStyle w:val="TextBody"/>
        <w:bidi w:val="0"/>
        <w:jc w:val="right"/>
        <w:rPr>
          <w:b/>
        </w:rPr>
      </w:pPr>
      <w:r>
        <w:rPr>
          <w:b/>
        </w:rPr>
        <w:t>Exhibit 23.2</w:t>
      </w:r>
    </w:p>
    <w:p>
      <w:pPr>
        <w:pStyle w:val="TextBody"/>
        <w:bidi w:val="0"/>
        <w:spacing w:before="0" w:after="283"/>
        <w:jc w:val="left"/>
        <w:rPr/>
      </w:pPr>
      <w:r>
        <w:rPr/>
        <w:t>  </w:t>
      </w:r>
    </w:p>
    <w:p>
      <w:pPr>
        <w:pStyle w:val="TextBody"/>
        <w:shd w:fill="FFFFFF" w:val="clear"/>
        <w:bidi w:val="0"/>
        <w:jc w:val="center"/>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CONSENT OF INDEPENDENT REGISTERED PUBLIC ACCOUNTING FIRM</w:t>
      </w:r>
    </w:p>
    <w:p>
      <w:pPr>
        <w:pStyle w:val="TextBody"/>
        <w:shd w:fill="FFFFFF" w:val="clear"/>
        <w:bidi w:val="0"/>
        <w:jc w:val="both"/>
        <w:rPr>
          <w:caps w:val="false"/>
          <w:smallCaps w:val="false"/>
        </w:rPr>
      </w:pPr>
      <w:r>
        <w:rPr>
          <w:caps w:val="false"/>
          <w:smallCaps w:val="false"/>
        </w:rPr>
        <w:t>  </w:t>
      </w:r>
    </w:p>
    <w:p>
      <w:pPr>
        <w:pStyle w:val="TextBody"/>
        <w:bidi w:val="0"/>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consent to the incorporation by reference in this Registration Statement on Form S-3MEF of our audit report dated March 28, 2023, except for </w:t>
      </w:r>
      <w:r>
        <w:rPr>
          <w:rFonts w:ascii="Times New Roman;Times;Serif" w:hAnsi="Times New Roman;Times;Serif"/>
          <w:b w:val="false"/>
          <w:i w:val="false"/>
          <w:caps w:val="false"/>
          <w:smallCaps w:val="false"/>
          <w:sz w:val="20"/>
        </w:rPr>
        <w:t>the effects of the tables reflecting the impact of the revisions as of and for the year ended December 31, 2022 discussed in Note 20 (not presented herein) to the consolidated financial statements</w:t>
      </w:r>
      <w:r>
        <w:rPr>
          <w:rFonts w:ascii="Times New Roman;Times;Serif" w:hAnsi="Times New Roman;Times;Serif"/>
          <w:b w:val="false"/>
          <w:i w:val="false"/>
          <w:caps w:val="false"/>
          <w:smallCaps w:val="false"/>
          <w:sz w:val="20"/>
          <w:shd w:fill="FFFFFF" w:val="clear"/>
        </w:rPr>
        <w:t xml:space="preserve">, as to which the date is March 1, 2024, relating to the consolidated financial statements of SoundHound AI, Inc. (the "Company"), for the year ended December 31, 2023, which report appears in the </w:t>
      </w:r>
      <w:r>
        <w:rPr>
          <w:rFonts w:ascii="Times New Roman;Times;Serif" w:hAnsi="Times New Roman;Times;Serif"/>
          <w:b w:val="false"/>
          <w:i w:val="false"/>
          <w:caps w:val="false"/>
          <w:smallCaps w:val="false"/>
          <w:sz w:val="20"/>
        </w:rPr>
        <w:t>Company's 2023 Annual Report on Form 10-K</w:t>
      </w:r>
      <w:r>
        <w:rPr>
          <w:rFonts w:ascii="Times New Roman;Times;Serif" w:hAnsi="Times New Roman;Times;Serif"/>
          <w:b w:val="false"/>
          <w:i w:val="false"/>
          <w:caps w:val="false"/>
          <w:smallCaps w:val="false"/>
          <w:sz w:val="20"/>
          <w:shd w:fill="FFFFFF" w:val="clear"/>
        </w:rPr>
        <w:t>. We also consent to the reference to us under the heading “Experts” in this Registration Statement.</w:t>
      </w:r>
      <w:r>
        <w:rPr>
          <w:rFonts w:ascii="Times New Roman;Times;Serif" w:hAnsi="Times New Roman;Times;Serif"/>
          <w:b w:val="false"/>
          <w:i w:val="false"/>
          <w:caps w:val="false"/>
          <w:smallCaps w:val="false"/>
          <w:sz w:val="20"/>
        </w:rPr>
        <w:t> </w:t>
      </w:r>
    </w:p>
    <w:p>
      <w:pPr>
        <w:pStyle w:val="TextBody"/>
        <w:shd w:fill="FFFFFF" w:val="clear"/>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 Armanino</w:t>
      </w:r>
      <w:r>
        <w:rPr>
          <w:rFonts w:ascii="Times New Roman;Times;Serif" w:hAnsi="Times New Roman;Times;Serif"/>
          <w:b w:val="false"/>
          <w:i w:val="false"/>
          <w:caps w:val="false"/>
          <w:smallCaps w:val="false"/>
          <w:position w:val="7"/>
          <w:sz w:val="16"/>
          <w:sz w:val="20"/>
          <w:shd w:fill="FFFFFF" w:val="clear"/>
        </w:rPr>
        <w:t>LLP</w:t>
      </w:r>
    </w:p>
    <w:p>
      <w:pPr>
        <w:pStyle w:val="TextBody"/>
        <w:shd w:fill="FFFFFF" w:val="clear"/>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San Jose, California</w:t>
      </w:r>
    </w:p>
    <w:p>
      <w:pPr>
        <w:pStyle w:val="TextBody"/>
        <w:shd w:fill="FFFFFF" w:val="clear"/>
        <w:bidi w:val="0"/>
        <w:jc w:val="both"/>
        <w:rPr>
          <w:caps w:val="false"/>
          <w:smallCaps w:val="false"/>
        </w:rPr>
      </w:pPr>
      <w:r>
        <w:rPr>
          <w:caps w:val="false"/>
          <w:smallCaps w:val="false"/>
        </w:rPr>
        <w:t> </w:t>
      </w:r>
    </w:p>
    <w:p>
      <w:pPr>
        <w:pStyle w:val="TextBody"/>
        <w:bidi w:val="0"/>
        <w:spacing w:before="0" w:after="1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November 8, 2024</w:t>
      </w:r>
    </w:p>
    <w:p>
      <w:pPr>
        <w:pStyle w:val="TextBody"/>
        <w:shd w:fill="FFFFFF" w:val="clear"/>
        <w:bidi w:val="0"/>
        <w:ind w:left="0" w:right="0" w:hanging="0"/>
        <w:jc w:val="both"/>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ea022037801ex23-3_sound.htm"/>
      <w:bookmarkStart w:id="9" w:name="ksea022037801ex233_sound"/>
      <w:bookmarkEnd w:id="8"/>
      <w:bookmarkEnd w:id="9"/>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Auditors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on Form S-3 and related Prospectus Supplement of SoundHound AI, Inc. for the registration of its Class A Common Stock. and to the incorporation by reference therein of our report dated October 22, 2024, with respect to the consolidated and combined financial statements of Amelia Holdings, Inc. and Subsidiaries as of and for the year ended December 31, 2023 and as of December 31, 2022 (Successor), and the periods from December 21, 2022 through December 31, 2022 (Successor), and January 1, 2022 through December 20, 2022 (Predecessor) incorporated by reference in the Current Report on Form 8-K/A of SoundHound AI, Inc., filed with the Securities and Exchange Commission on October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8,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b/>
          <w:sz w:val="24"/>
        </w:rPr>
      </w:pPr>
      <w:bookmarkStart w:id="10" w:name="ea022037801ex-fee_sound.htm"/>
      <w:bookmarkStart w:id="11" w:name="ksea022037801exfee_sound"/>
      <w:bookmarkEnd w:id="10"/>
      <w:bookmarkEnd w:id="11"/>
      <w:r>
        <w:rPr>
          <w:b/>
          <w:sz w:val="24"/>
        </w:rPr>
        <w:t>Ex-Filing Fees</w:t>
      </w:r>
      <w:r>
        <w:br w:type="page"/>
      </w:r>
    </w:p>
    <w:p>
      <w:pPr>
        <w:pStyle w:val="TextBody"/>
        <w:bidi w:val="0"/>
        <w:spacing w:before="0" w:after="120"/>
        <w:jc w:val="center"/>
        <w:rPr>
          <w:b/>
          <w:sz w:val="24"/>
        </w:rPr>
      </w:pPr>
      <w:r>
        <w:rPr>
          <w:b/>
          <w:sz w:val="24"/>
        </w:rPr>
        <w:t>CALCULATION OF FILING FEE TABLES</w:t>
      </w:r>
    </w:p>
    <w:p>
      <w:pPr>
        <w:pStyle w:val="TextBody"/>
        <w:bidi w:val="0"/>
        <w:spacing w:before="0" w:after="120"/>
        <w:jc w:val="center"/>
        <w:rPr>
          <w:b/>
          <w:sz w:val="24"/>
        </w:rPr>
      </w:pPr>
      <w:r>
        <w:rPr>
          <w:b/>
          <w:sz w:val="24"/>
        </w:rPr>
        <w:t>S-3</w:t>
      </w:r>
    </w:p>
    <w:p>
      <w:pPr>
        <w:pStyle w:val="TextBody"/>
        <w:bidi w:val="0"/>
        <w:spacing w:before="0" w:after="240"/>
        <w:jc w:val="center"/>
        <w:rPr>
          <w:b/>
          <w:sz w:val="24"/>
        </w:rPr>
      </w:pPr>
      <w:r>
        <w:rPr>
          <w:b/>
          <w:sz w:val="24"/>
        </w:rPr>
        <w:t>SOUNDHOUND AI, INC.</w:t>
      </w:r>
    </w:p>
    <w:p>
      <w:pPr>
        <w:pStyle w:val="TextBody"/>
        <w:pBdr>
          <w:top w:val="double" w:sz="8" w:space="6" w:color="808080"/>
        </w:pBdr>
        <w:bidi w:val="0"/>
        <w:spacing w:before="0" w:after="80"/>
        <w:jc w:val="center"/>
        <w:rPr>
          <w:b/>
          <w:sz w:val="22"/>
        </w:rPr>
      </w:pPr>
      <w:r>
        <w:rPr>
          <w:b/>
          <w:sz w:val="22"/>
        </w:rPr>
        <w:t>Table 1: Newly Registered and Carry Forward Securities</w:t>
      </w:r>
    </w:p>
    <w:tbl>
      <w:tblPr>
        <w:tblW w:w="10225" w:type="dxa"/>
        <w:jc w:val="left"/>
        <w:tblInd w:w="0" w:type="dxa"/>
        <w:tblLayout w:type="fixed"/>
        <w:tblCellMar>
          <w:top w:w="0" w:type="dxa"/>
          <w:left w:w="0" w:type="dxa"/>
          <w:bottom w:w="0" w:type="dxa"/>
          <w:right w:w="0" w:type="dxa"/>
        </w:tblCellMar>
      </w:tblPr>
      <w:tblGrid>
        <w:gridCol w:w="530"/>
        <w:gridCol w:w="60"/>
        <w:gridCol w:w="800"/>
        <w:gridCol w:w="60"/>
        <w:gridCol w:w="905"/>
        <w:gridCol w:w="60"/>
        <w:gridCol w:w="575"/>
        <w:gridCol w:w="60"/>
        <w:gridCol w:w="1100"/>
        <w:gridCol w:w="60"/>
        <w:gridCol w:w="1025"/>
        <w:gridCol w:w="60"/>
        <w:gridCol w:w="517"/>
        <w:gridCol w:w="478"/>
        <w:gridCol w:w="60"/>
        <w:gridCol w:w="140"/>
        <w:gridCol w:w="1400"/>
        <w:gridCol w:w="60"/>
        <w:gridCol w:w="1040"/>
        <w:gridCol w:w="60"/>
        <w:gridCol w:w="162"/>
        <w:gridCol w:w="1013"/>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22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Class A Common Stock, $0.0001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20,000,000.00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0.0001531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3,062.00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29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20,000,000.00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3,062.00</w:t>
            </w:r>
          </w:p>
        </w:tc>
      </w:tr>
      <w:tr>
        <w:trPr/>
        <w:tc>
          <w:tcPr>
            <w:tcW w:w="629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629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629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3,062.00</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b/>
        </w:rPr>
      </w:pPr>
      <w:r>
        <w:rPr>
          <w:b/>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5"/>
        <w:gridCol w:w="23"/>
        <w:gridCol w:w="9947"/>
      </w:tblGrid>
      <w:tr>
        <w:trPr/>
        <w:tc>
          <w:tcPr>
            <w:tcW w:w="235"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7" w:type="dxa"/>
            <w:tcBorders/>
            <w:vAlign w:val="center"/>
          </w:tcPr>
          <w:p>
            <w:pPr>
              <w:pStyle w:val="TableContents"/>
              <w:bidi w:val="0"/>
              <w:spacing w:before="0" w:after="283"/>
              <w:jc w:val="both"/>
              <w:rPr/>
            </w:pPr>
            <w:r>
              <w:rPr/>
              <w:t>The Registrant previously registered the offering, issuance and sale of securities, including its Class A common stock, of up to $400,000,000 under the Registration Statement on Form S-3 (File No. 333-273393), which was filed by the Registrant on July 24, 2023 and declared effective on August 4, 2023 (the “Prior Registration Statement”). As of the date hereof, a balance of $100,000,000 of securities remains unsold under the Prior Registration Statement. In accordance with Rule 462(b) under the Securities Act of 1933, as amended (the “Securities Act”), an additional amount of securities having a proposed maximum aggregate offering price of $20,000,000 is hereby registered, representing no more than 20% of the maximum aggregate offering price of securities available for issuance under the Prior Registration Statement. Pursuant to Rule 416 under the Securities Act, this Registration Statement on Form S-3 shall also cover any additional shares of the Registrant’s Class A common stock that become issuable in respect of the securities identified in the above table by reason of any stock dividend, stock split, recapitalization or other similar transaction effected without the registrant’s receipt of consideration which results in an increase in the number of the outstanding shares of the registrant’s Class A common stock.</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0856/000121390023059229/ea181770-s3_soundhound.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2327</Words>
  <Characters>12677</Characters>
  <CharactersWithSpaces>15106</CharactersWithSpaces>
  <Paragraphs>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