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42,500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482,500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settlement of shares of restricted stock units granted to the reporting person on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03/13/2023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2023-03-13T17:11:38Z</dcterms:created>
  <dcterms:modified xsi:type="dcterms:W3CDTF">2023-03-13T17:11:38Z</dcterms:modified>
</cp:coreProperties>
</file>