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Collins John DeNeen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SOUNDHOUND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5400 BETSY ROSS DR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SOUNDHOUND AI, INC.</w:t>
              </w:r>
            </w:hyperlink>
            <w:r>
              <w:rPr/>
              <w:t xml:space="preserve"> [ </w:t>
            </w:r>
            <w:r>
              <w:rPr>
                <w:rFonts w:ascii="Times;serif" w:hAnsi="Times;serif"/>
                <w:color w:val="0000FF"/>
                <w:sz w:val="24"/>
                <w:shd w:fill="FFFFFF" w:val="clear"/>
              </w:rPr>
              <w:t>SOUN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1182"/>
        <w:gridCol w:w="435"/>
        <w:gridCol w:w="654"/>
        <w:gridCol w:w="1254"/>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50,573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50,573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1,000,000</w:t>
            </w:r>
            <w:r>
              <w:rPr>
                <w:rFonts w:ascii="Times;serif" w:hAnsi="Times;serif"/>
                <w:color w:val="008000"/>
                <w:position w:val="7"/>
                <w:sz w:val="16"/>
                <w:sz w:val="20"/>
                <w:shd w:fill="FFFFFF" w:val="clear"/>
              </w:rPr>
              <w:t>(3)</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1,050,573</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that Amended and Restated Merger Agreement, dated July 2, 2026 (as it may be amended from time to time, the "Merger Agreement") by and among LivePerson, Inc. ("LivePerson"), the Issuer, Lightspeed Merger Sub Inc., an indirect wholly owned subsidiary of the Issuer ("Merger Sub I") and Lightspeed Merger Sub II Inc., an indirect wholly owned subsidiary of the Issuer ("Merger Sub II"), Merger Sub I merged with and into LivePerson, with LivePerson continuing as the surviving corporation and becoming an indirect, wholly owned subsidiary of the Issuer (the "First Merger") and immediately following the First Merger, a merger of Merger Sub II with and into the surviving corporation with LivePerson continuing as the surviving corporation and becoming an indirect, wholly owned subsidiary of the Issuer (the "Second Merger").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Merger Agreement, the Reporting Person's LivePerson common stock and restricted stock units converted into the Issuer's Class A common stock and restricted stock units, respectively, according to the terms of the Merger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grant of restricted stock units. These restricted stock units vest in 48 equal monthly installments commencing on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/Warren Heit, attorney-in-fact for Collins John DeNeen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6386" TargetMode="External"/><Relationship Id="rId5" Type="http://schemas.openxmlformats.org/officeDocument/2006/relationships/hyperlink" Target="http://www.sec.gov/cgi-bin/browse-edgar?action=getcompany&amp;CIK=0001840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775</Words>
  <Characters>4218</Characters>
  <CharactersWithSpaces>4914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