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FORM 10-Q</w:t>
      </w:r>
    </w:p>
    <w:p>
      <w:pPr>
        <w:spacing w:after="0" w:line="189"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jc w:val="center"/>
        <w:spacing w:after="0" w:line="461" w:lineRule="auto"/>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QUARTERLY REPORT PURSUANT TO SECTION 13 OR 15(d) OF THE SECURITIES EXCHANGE ACT OF 1934</w:t>
      </w:r>
      <w:r>
        <w:rPr>
          <w:rFonts w:ascii="Arial" w:cs="Arial" w:eastAsia="Arial" w:hAnsi="Arial"/>
          <w:sz w:val="18"/>
          <w:szCs w:val="18"/>
          <w:color w:val="auto"/>
        </w:rPr>
        <w:t xml:space="preserve"> </w:t>
      </w:r>
      <w:r>
        <w:rPr>
          <w:rFonts w:ascii="Arial" w:cs="Arial" w:eastAsia="Arial" w:hAnsi="Arial"/>
          <w:sz w:val="18"/>
          <w:szCs w:val="18"/>
          <w:b w:val="1"/>
          <w:bCs w:val="1"/>
          <w:color w:val="auto"/>
        </w:rPr>
        <w:t>For the quarterly period ended September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For the transition period from________to________</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001-40193</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56"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00" w:type="dxa"/>
            <w:vAlign w:val="bottom"/>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tcPr>
          <w:p>
            <w:pPr>
              <w:jc w:val="center"/>
              <w:ind w:right="1910"/>
              <w:spacing w:after="0"/>
              <w:rPr>
                <w:sz w:val="20"/>
                <w:szCs w:val="20"/>
                <w:color w:val="auto"/>
              </w:rPr>
            </w:pPr>
            <w:r>
              <w:rPr>
                <w:rFonts w:ascii="Arial" w:cs="Arial" w:eastAsia="Arial" w:hAnsi="Arial"/>
                <w:sz w:val="18"/>
                <w:szCs w:val="18"/>
                <w:b w:val="1"/>
                <w:bCs w:val="1"/>
                <w:color w:val="auto"/>
                <w:w w:val="89"/>
              </w:rPr>
              <w:t>86-1286799</w:t>
            </w:r>
          </w:p>
        </w:tc>
      </w:tr>
      <w:tr>
        <w:trPr>
          <w:trHeight w:val="229"/>
        </w:trPr>
        <w:tc>
          <w:tcPr>
            <w:tcW w:w="7660" w:type="dxa"/>
            <w:vAlign w:val="bottom"/>
            <w:gridSpan w:val="3"/>
          </w:tcPr>
          <w:p>
            <w:pPr>
              <w:jc w:val="center"/>
              <w:ind w:right="2080"/>
              <w:spacing w:after="0"/>
              <w:rPr>
                <w:sz w:val="20"/>
                <w:szCs w:val="20"/>
                <w:color w:val="auto"/>
              </w:rPr>
            </w:pPr>
            <w:r>
              <w:rPr>
                <w:rFonts w:ascii="Arial" w:cs="Arial" w:eastAsia="Arial" w:hAnsi="Arial"/>
                <w:sz w:val="18"/>
                <w:szCs w:val="18"/>
                <w:color w:val="auto"/>
                <w:w w:val="93"/>
              </w:rPr>
              <w:t>(State or other jurisdiction of</w:t>
            </w:r>
          </w:p>
        </w:tc>
        <w:tc>
          <w:tcPr>
            <w:tcW w:w="3580" w:type="dxa"/>
            <w:vAlign w:val="bottom"/>
          </w:tcPr>
          <w:p>
            <w:pPr>
              <w:jc w:val="center"/>
              <w:ind w:right="1910"/>
              <w:spacing w:after="0"/>
              <w:rPr>
                <w:sz w:val="20"/>
                <w:szCs w:val="20"/>
                <w:color w:val="auto"/>
              </w:rPr>
            </w:pPr>
            <w:r>
              <w:rPr>
                <w:rFonts w:ascii="Arial" w:cs="Arial" w:eastAsia="Arial" w:hAnsi="Arial"/>
                <w:sz w:val="18"/>
                <w:szCs w:val="18"/>
                <w:color w:val="auto"/>
                <w:w w:val="92"/>
              </w:rPr>
              <w:t>(I.R.S. Employer</w:t>
            </w:r>
          </w:p>
        </w:tc>
      </w:tr>
      <w:tr>
        <w:trPr>
          <w:trHeight w:val="230"/>
        </w:trPr>
        <w:tc>
          <w:tcPr>
            <w:tcW w:w="7660" w:type="dxa"/>
            <w:vAlign w:val="bottom"/>
            <w:gridSpan w:val="3"/>
          </w:tcPr>
          <w:p>
            <w:pPr>
              <w:jc w:val="center"/>
              <w:ind w:right="2040"/>
              <w:spacing w:after="0"/>
              <w:rPr>
                <w:sz w:val="20"/>
                <w:szCs w:val="20"/>
                <w:color w:val="auto"/>
              </w:rPr>
            </w:pPr>
            <w:r>
              <w:rPr>
                <w:rFonts w:ascii="Arial" w:cs="Arial" w:eastAsia="Arial" w:hAnsi="Arial"/>
                <w:sz w:val="18"/>
                <w:szCs w:val="18"/>
                <w:color w:val="auto"/>
                <w:w w:val="93"/>
              </w:rPr>
              <w:t>incorporation or organization)</w:t>
            </w:r>
          </w:p>
        </w:tc>
        <w:tc>
          <w:tcPr>
            <w:tcW w:w="3580" w:type="dxa"/>
            <w:vAlign w:val="bottom"/>
          </w:tcPr>
          <w:p>
            <w:pPr>
              <w:jc w:val="center"/>
              <w:ind w:right="1870"/>
              <w:spacing w:after="0"/>
              <w:rPr>
                <w:sz w:val="20"/>
                <w:szCs w:val="20"/>
                <w:color w:val="auto"/>
              </w:rPr>
            </w:pPr>
            <w:r>
              <w:rPr>
                <w:rFonts w:ascii="Arial" w:cs="Arial" w:eastAsia="Arial" w:hAnsi="Arial"/>
                <w:sz w:val="18"/>
                <w:szCs w:val="18"/>
                <w:color w:val="auto"/>
                <w:w w:val="95"/>
              </w:rPr>
              <w:t>Identification No.)</w:t>
            </w:r>
          </w:p>
        </w:tc>
      </w:tr>
      <w:tr>
        <w:trPr>
          <w:trHeight w:val="574"/>
        </w:trPr>
        <w:tc>
          <w:tcPr>
            <w:tcW w:w="7660" w:type="dxa"/>
            <w:vAlign w:val="bottom"/>
            <w:tcBorders>
              <w:bottom w:val="single" w:sz="8" w:color="auto"/>
            </w:tcBorders>
            <w:gridSpan w:val="3"/>
          </w:tcPr>
          <w:p>
            <w:pPr>
              <w:jc w:val="center"/>
              <w:ind w:left="3490"/>
              <w:spacing w:after="0"/>
              <w:rPr>
                <w:sz w:val="20"/>
                <w:szCs w:val="20"/>
                <w:color w:val="auto"/>
              </w:rPr>
            </w:pPr>
            <w:r>
              <w:rPr>
                <w:rFonts w:ascii="Arial" w:cs="Arial" w:eastAsia="Arial" w:hAnsi="Arial"/>
                <w:sz w:val="18"/>
                <w:szCs w:val="18"/>
                <w:b w:val="1"/>
                <w:bCs w:val="1"/>
                <w:color w:val="auto"/>
                <w:w w:val="90"/>
              </w:rPr>
              <w:t>5400 Betsy Ross Drive, Santa Clara, CA 95054</w:t>
            </w:r>
          </w:p>
        </w:tc>
        <w:tc>
          <w:tcPr>
            <w:tcW w:w="3580" w:type="dxa"/>
            <w:vAlign w:val="bottom"/>
            <w:tcBorders>
              <w:bottom w:val="single" w:sz="8" w:color="auto"/>
            </w:tcBorders>
          </w:tcPr>
          <w:p>
            <w:pPr>
              <w:spacing w:after="0"/>
              <w:rPr>
                <w:sz w:val="24"/>
                <w:szCs w:val="24"/>
                <w:color w:val="auto"/>
              </w:rPr>
            </w:pPr>
          </w:p>
        </w:tc>
      </w:tr>
      <w:tr>
        <w:trPr>
          <w:trHeight w:val="243"/>
        </w:trPr>
        <w:tc>
          <w:tcPr>
            <w:tcW w:w="7660" w:type="dxa"/>
            <w:vAlign w:val="bottom"/>
            <w:gridSpan w:val="3"/>
          </w:tcPr>
          <w:p>
            <w:pPr>
              <w:jc w:val="center"/>
              <w:ind w:left="3510"/>
              <w:spacing w:after="0"/>
              <w:rPr>
                <w:sz w:val="20"/>
                <w:szCs w:val="20"/>
                <w:color w:val="auto"/>
              </w:rPr>
            </w:pPr>
            <w:r>
              <w:rPr>
                <w:rFonts w:ascii="Arial" w:cs="Arial" w:eastAsia="Arial" w:hAnsi="Arial"/>
                <w:sz w:val="18"/>
                <w:szCs w:val="18"/>
                <w:color w:val="auto"/>
                <w:w w:val="92"/>
              </w:rPr>
              <w:t>(Address of principal executive offices) (Zip Code)</w:t>
            </w:r>
          </w:p>
        </w:tc>
        <w:tc>
          <w:tcPr>
            <w:tcW w:w="3580" w:type="dxa"/>
            <w:vAlign w:val="bottom"/>
          </w:tcPr>
          <w:p>
            <w:pPr>
              <w:spacing w:after="0"/>
              <w:rPr>
                <w:sz w:val="21"/>
                <w:szCs w:val="21"/>
                <w:color w:val="auto"/>
              </w:rPr>
            </w:pPr>
          </w:p>
        </w:tc>
      </w:tr>
      <w:tr>
        <w:trPr>
          <w:trHeight w:val="574"/>
        </w:trPr>
        <w:tc>
          <w:tcPr>
            <w:tcW w:w="7660" w:type="dxa"/>
            <w:vAlign w:val="bottom"/>
            <w:tcBorders>
              <w:bottom w:val="single" w:sz="8" w:color="auto"/>
            </w:tcBorders>
            <w:gridSpan w:val="3"/>
          </w:tcPr>
          <w:p>
            <w:pPr>
              <w:jc w:val="center"/>
              <w:ind w:left="3490"/>
              <w:spacing w:after="0"/>
              <w:rPr>
                <w:sz w:val="20"/>
                <w:szCs w:val="20"/>
                <w:color w:val="auto"/>
              </w:rPr>
            </w:pPr>
            <w:r>
              <w:rPr>
                <w:rFonts w:ascii="Arial" w:cs="Arial" w:eastAsia="Arial" w:hAnsi="Arial"/>
                <w:sz w:val="18"/>
                <w:szCs w:val="18"/>
                <w:b w:val="1"/>
                <w:bCs w:val="1"/>
                <w:color w:val="auto"/>
                <w:w w:val="90"/>
              </w:rPr>
              <w:t>(408) 441-3200</w:t>
            </w:r>
          </w:p>
        </w:tc>
        <w:tc>
          <w:tcPr>
            <w:tcW w:w="3580" w:type="dxa"/>
            <w:vAlign w:val="bottom"/>
            <w:tcBorders>
              <w:bottom w:val="single" w:sz="8" w:color="auto"/>
            </w:tcBorders>
          </w:tcPr>
          <w:p>
            <w:pPr>
              <w:spacing w:after="0"/>
              <w:rPr>
                <w:sz w:val="24"/>
                <w:szCs w:val="24"/>
                <w:color w:val="auto"/>
              </w:rPr>
            </w:pPr>
          </w:p>
        </w:tc>
      </w:tr>
      <w:tr>
        <w:trPr>
          <w:trHeight w:val="243"/>
        </w:trPr>
        <w:tc>
          <w:tcPr>
            <w:tcW w:w="7660" w:type="dxa"/>
            <w:vAlign w:val="bottom"/>
            <w:gridSpan w:val="3"/>
          </w:tcPr>
          <w:p>
            <w:pPr>
              <w:jc w:val="center"/>
              <w:ind w:left="3490"/>
              <w:spacing w:after="0"/>
              <w:rPr>
                <w:sz w:val="20"/>
                <w:szCs w:val="20"/>
                <w:color w:val="auto"/>
              </w:rPr>
            </w:pPr>
            <w:r>
              <w:rPr>
                <w:rFonts w:ascii="Arial" w:cs="Arial" w:eastAsia="Arial" w:hAnsi="Arial"/>
                <w:sz w:val="18"/>
                <w:szCs w:val="18"/>
                <w:color w:val="auto"/>
                <w:w w:val="89"/>
              </w:rPr>
              <w:t>(Registrant’s telephone number, including area code)</w:t>
            </w:r>
          </w:p>
        </w:tc>
        <w:tc>
          <w:tcPr>
            <w:tcW w:w="3580" w:type="dxa"/>
            <w:vAlign w:val="bottom"/>
          </w:tcPr>
          <w:p>
            <w:pPr>
              <w:spacing w:after="0"/>
              <w:rPr>
                <w:sz w:val="21"/>
                <w:szCs w:val="21"/>
                <w:color w:val="auto"/>
              </w:rPr>
            </w:pPr>
          </w:p>
        </w:tc>
      </w:tr>
    </w:tbl>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9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Title of each class</w:t>
            </w:r>
          </w:p>
        </w:tc>
        <w:tc>
          <w:tcPr>
            <w:tcW w:w="3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50"/>
        </w:trPr>
        <w:tc>
          <w:tcPr>
            <w:tcW w:w="3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00" w:type="dxa"/>
            <w:vAlign w:val="bottom"/>
          </w:tcPr>
          <w:p>
            <w:pPr>
              <w:spacing w:after="0"/>
              <w:rPr>
                <w:sz w:val="21"/>
                <w:szCs w:val="21"/>
                <w:color w:val="auto"/>
              </w:rPr>
            </w:pPr>
          </w:p>
        </w:tc>
      </w:tr>
      <w:tr>
        <w:trPr>
          <w:trHeight w:val="229"/>
        </w:trPr>
        <w:tc>
          <w:tcPr>
            <w:tcW w:w="3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Class A Common stock, par value $0.0001 per</w:t>
            </w:r>
          </w:p>
        </w:tc>
        <w:tc>
          <w:tcPr>
            <w:tcW w:w="3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SOUN</w:t>
            </w:r>
          </w:p>
        </w:tc>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7"/>
        </w:trPr>
        <w:tc>
          <w:tcPr>
            <w:tcW w:w="3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share</w:t>
            </w:r>
          </w:p>
        </w:tc>
        <w:tc>
          <w:tcPr>
            <w:tcW w:w="3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700" w:type="dxa"/>
            <w:vAlign w:val="bottom"/>
            <w:tcBorders>
              <w:bottom w:val="single" w:sz="8" w:color="CCEEFF"/>
            </w:tcBorders>
            <w:shd w:val="clear" w:color="auto" w:fill="CCEEFF"/>
          </w:tcPr>
          <w:p>
            <w:pPr>
              <w:spacing w:after="0"/>
              <w:rPr>
                <w:sz w:val="20"/>
                <w:szCs w:val="20"/>
                <w:color w:val="auto"/>
              </w:rPr>
            </w:pPr>
          </w:p>
        </w:tc>
      </w:tr>
      <w:tr>
        <w:trPr>
          <w:trHeight w:val="270"/>
        </w:trPr>
        <w:tc>
          <w:tcPr>
            <w:tcW w:w="3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243"/>
        </w:trPr>
        <w:tc>
          <w:tcPr>
            <w:tcW w:w="3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Redeemable Warrants</w:t>
            </w:r>
          </w:p>
        </w:tc>
        <w:tc>
          <w:tcPr>
            <w:tcW w:w="3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SOUNW</w:t>
            </w:r>
          </w:p>
        </w:tc>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7"/>
        </w:trPr>
        <w:tc>
          <w:tcPr>
            <w:tcW w:w="3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r>
    </w:tbl>
    <w:p>
      <w:pPr>
        <w:spacing w:after="0" w:line="256"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43"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57"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7"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o</w:t>
            </w:r>
          </w:p>
        </w:tc>
        <w:tc>
          <w:tcPr>
            <w:tcW w:w="3560" w:type="dxa"/>
            <w:vAlign w:val="bottom"/>
          </w:tcPr>
          <w:p>
            <w:pPr>
              <w:ind w:left="120"/>
              <w:spacing w:after="0"/>
              <w:rPr>
                <w:sz w:val="20"/>
                <w:szCs w:val="20"/>
                <w:color w:val="auto"/>
              </w:rPr>
            </w:pPr>
            <w:r>
              <w:rPr>
                <w:rFonts w:ascii="Arial" w:cs="Arial" w:eastAsia="Arial" w:hAnsi="Arial"/>
                <w:sz w:val="18"/>
                <w:szCs w:val="18"/>
                <w:color w:val="auto"/>
              </w:rPr>
              <w:t>Large accelerated filer</w:t>
            </w:r>
          </w:p>
        </w:tc>
        <w:tc>
          <w:tcPr>
            <w:tcW w:w="2060" w:type="dxa"/>
            <w:vAlign w:val="bottom"/>
          </w:tcPr>
          <w:p>
            <w:pPr>
              <w:ind w:left="1820"/>
              <w:spacing w:after="0"/>
              <w:rPr>
                <w:sz w:val="20"/>
                <w:szCs w:val="20"/>
                <w:color w:val="auto"/>
              </w:rPr>
            </w:pPr>
            <w:r>
              <w:rPr>
                <w:rFonts w:ascii="Arial" w:cs="Arial" w:eastAsia="Arial" w:hAnsi="Arial"/>
                <w:sz w:val="18"/>
                <w:szCs w:val="18"/>
                <w:color w:val="auto"/>
              </w:rPr>
              <w:t>o</w:t>
            </w:r>
          </w:p>
        </w:tc>
        <w:tc>
          <w:tcPr>
            <w:tcW w:w="2080" w:type="dxa"/>
            <w:vAlign w:val="bottom"/>
          </w:tcPr>
          <w:p>
            <w:pPr>
              <w:ind w:left="120"/>
              <w:spacing w:after="0"/>
              <w:rPr>
                <w:sz w:val="20"/>
                <w:szCs w:val="20"/>
                <w:color w:val="auto"/>
              </w:rPr>
            </w:pPr>
            <w:r>
              <w:rPr>
                <w:rFonts w:ascii="Arial" w:cs="Arial" w:eastAsia="Arial" w:hAnsi="Arial"/>
                <w:sz w:val="18"/>
                <w:szCs w:val="18"/>
                <w:color w:val="auto"/>
              </w:rPr>
              <w:t>Accelerated filer</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x</w:t>
            </w:r>
          </w:p>
        </w:tc>
        <w:tc>
          <w:tcPr>
            <w:tcW w:w="3560" w:type="dxa"/>
            <w:vAlign w:val="bottom"/>
          </w:tcPr>
          <w:p>
            <w:pPr>
              <w:ind w:left="120"/>
              <w:spacing w:after="0"/>
              <w:rPr>
                <w:sz w:val="20"/>
                <w:szCs w:val="20"/>
                <w:color w:val="auto"/>
              </w:rPr>
            </w:pPr>
            <w:r>
              <w:rPr>
                <w:rFonts w:ascii="Arial" w:cs="Arial" w:eastAsia="Arial" w:hAnsi="Arial"/>
                <w:sz w:val="18"/>
                <w:szCs w:val="18"/>
                <w:color w:val="auto"/>
              </w:rPr>
              <w:t>Non-accelerated filer</w:t>
            </w:r>
          </w:p>
        </w:tc>
        <w:tc>
          <w:tcPr>
            <w:tcW w:w="2060" w:type="dxa"/>
            <w:vAlign w:val="bottom"/>
          </w:tcPr>
          <w:p>
            <w:pPr>
              <w:ind w:left="1820"/>
              <w:spacing w:after="0"/>
              <w:rPr>
                <w:sz w:val="20"/>
                <w:szCs w:val="20"/>
                <w:color w:val="auto"/>
              </w:rPr>
            </w:pPr>
            <w:r>
              <w:rPr>
                <w:rFonts w:ascii="Arial" w:cs="Arial" w:eastAsia="Arial" w:hAnsi="Arial"/>
                <w:sz w:val="18"/>
                <w:szCs w:val="18"/>
                <w:color w:val="auto"/>
              </w:rPr>
              <w:t>x</w:t>
            </w:r>
          </w:p>
        </w:tc>
        <w:tc>
          <w:tcPr>
            <w:tcW w:w="2080" w:type="dxa"/>
            <w:vAlign w:val="bottom"/>
          </w:tcPr>
          <w:p>
            <w:pPr>
              <w:ind w:left="120"/>
              <w:spacing w:after="0"/>
              <w:rPr>
                <w:sz w:val="20"/>
                <w:szCs w:val="20"/>
                <w:color w:val="auto"/>
              </w:rPr>
            </w:pPr>
            <w:r>
              <w:rPr>
                <w:rFonts w:ascii="Arial" w:cs="Arial" w:eastAsia="Arial" w:hAnsi="Arial"/>
                <w:sz w:val="18"/>
                <w:szCs w:val="18"/>
                <w:color w:val="auto"/>
                <w:w w:val="90"/>
              </w:rPr>
              <w:t>Smaller reporting company</w:t>
            </w:r>
          </w:p>
        </w:tc>
      </w:tr>
      <w:tr>
        <w:trPr>
          <w:trHeight w:val="270"/>
        </w:trPr>
        <w:tc>
          <w:tcPr>
            <w:tcW w:w="22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2060" w:type="dxa"/>
            <w:vAlign w:val="bottom"/>
          </w:tcPr>
          <w:p>
            <w:pPr>
              <w:ind w:left="1820"/>
              <w:spacing w:after="0"/>
              <w:rPr>
                <w:sz w:val="20"/>
                <w:szCs w:val="20"/>
                <w:color w:val="auto"/>
              </w:rPr>
            </w:pPr>
            <w:r>
              <w:rPr>
                <w:rFonts w:ascii="Arial" w:cs="Arial" w:eastAsia="Arial" w:hAnsi="Arial"/>
                <w:sz w:val="18"/>
                <w:szCs w:val="18"/>
                <w:color w:val="auto"/>
              </w:rPr>
              <w:t>x</w:t>
            </w:r>
          </w:p>
        </w:tc>
        <w:tc>
          <w:tcPr>
            <w:tcW w:w="2080" w:type="dxa"/>
            <w:vAlign w:val="bottom"/>
          </w:tcPr>
          <w:p>
            <w:pPr>
              <w:ind w:left="120"/>
              <w:spacing w:after="0"/>
              <w:rPr>
                <w:sz w:val="20"/>
                <w:szCs w:val="20"/>
                <w:color w:val="auto"/>
              </w:rPr>
            </w:pPr>
            <w:r>
              <w:rPr>
                <w:rFonts w:ascii="Arial" w:cs="Arial" w:eastAsia="Arial" w:hAnsi="Arial"/>
                <w:sz w:val="18"/>
                <w:szCs w:val="18"/>
                <w:color w:val="auto"/>
                <w:w w:val="90"/>
              </w:rPr>
              <w:t>Emerging growth company</w:t>
            </w:r>
          </w:p>
        </w:tc>
      </w:tr>
    </w:tbl>
    <w:p>
      <w:pPr>
        <w:spacing w:after="0" w:line="283"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240"/>
          </w:cols>
          <w:pgMar w:left="320" w:top="337" w:right="339" w:bottom="0" w:gutter="0" w:footer="0" w:header="0"/>
        </w:sectPr>
      </w:pPr>
    </w:p>
    <w:bookmarkStart w:id="1" w:name="page2"/>
    <w:bookmarkEnd w:id="1"/>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8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As of November 13, 2023, there were 209,438,885 shares of the Company’s Class A common stock, $0.0001 par value per share, issued and outstanding, and 37,485,408 shares of the Company’s Class B common stock, $0.0001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775335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0" w:type="dxa"/>
            <w:vAlign w:val="bottom"/>
            <w:shd w:val="clear" w:color="auto" w:fill="CCEEFF"/>
          </w:tcPr>
          <w:p>
            <w:pPr>
              <w:spacing w:after="0"/>
              <w:rPr>
                <w:sz w:val="22"/>
                <w:szCs w:val="22"/>
                <w:color w:val="auto"/>
              </w:rPr>
            </w:pPr>
          </w:p>
        </w:tc>
        <w:tc>
          <w:tcPr>
            <w:tcW w:w="10460" w:type="dxa"/>
            <w:vAlign w:val="bottom"/>
            <w:gridSpan w:val="24"/>
            <w:shd w:val="clear" w:color="auto" w:fill="CCEEFF"/>
          </w:tcPr>
          <w:p>
            <w:pPr>
              <w:spacing w:after="0"/>
              <w:rPr>
                <w:sz w:val="20"/>
                <w:szCs w:val="20"/>
                <w:color w:val="auto"/>
              </w:rPr>
            </w:pPr>
            <w:r>
              <w:rPr>
                <w:rFonts w:ascii="Arial" w:cs="Arial" w:eastAsia="Arial" w:hAnsi="Arial"/>
                <w:sz w:val="18"/>
                <w:szCs w:val="18"/>
                <w:color w:val="0000FF"/>
              </w:rPr>
              <w:t>PART I. FINANCIAL INFORMATION</w:t>
            </w:r>
          </w:p>
        </w:tc>
        <w:tc>
          <w:tcPr>
            <w:tcW w:w="76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w:t>
            </w: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Condensed Consolidated Financial Statements</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99"/>
              </w:rPr>
              <w:t>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Condensed Consolidated Balance Sheets as of September 30, 2023 (unaudited) and December 31, 2022</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99"/>
              </w:rPr>
              <w:t>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940" w:type="dxa"/>
            <w:vAlign w:val="bottom"/>
            <w:tcBorders>
              <w:top w:val="single" w:sz="8" w:color="0000FF"/>
            </w:tcBorders>
          </w:tcPr>
          <w:p>
            <w:pPr>
              <w:spacing w:after="0"/>
              <w:rPr>
                <w:sz w:val="23"/>
                <w:szCs w:val="23"/>
                <w:color w:val="auto"/>
              </w:rPr>
            </w:pPr>
          </w:p>
        </w:tc>
        <w:tc>
          <w:tcPr>
            <w:tcW w:w="1160" w:type="dxa"/>
            <w:vAlign w:val="bottom"/>
            <w:tcBorders>
              <w:top w:val="single" w:sz="8" w:color="0000FF"/>
            </w:tcBorders>
          </w:tcPr>
          <w:p>
            <w:pPr>
              <w:spacing w:after="0"/>
              <w:rPr>
                <w:sz w:val="23"/>
                <w:szCs w:val="23"/>
                <w:color w:val="auto"/>
              </w:rPr>
            </w:pPr>
          </w:p>
        </w:tc>
        <w:tc>
          <w:tcPr>
            <w:tcW w:w="980" w:type="dxa"/>
            <w:vAlign w:val="bottom"/>
            <w:tcBorders>
              <w:top w:val="single" w:sz="8" w:color="0000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w w:val="90"/>
              </w:rPr>
              <w:t>Condensed Consolidated Statements of Operations and Comprehensive Loss for the three and nine months ended September 30,</w:t>
            </w:r>
          </w:p>
        </w:tc>
        <w:tc>
          <w:tcPr>
            <w:tcW w:w="760" w:type="dxa"/>
            <w:vAlign w:val="bottom"/>
            <w:shd w:val="clear" w:color="auto" w:fill="CCEEFF"/>
          </w:tcPr>
          <w:p>
            <w:pPr>
              <w:spacing w:after="0"/>
              <w:rPr>
                <w:sz w:val="17"/>
                <w:szCs w:val="17"/>
                <w:color w:val="auto"/>
              </w:rPr>
            </w:pPr>
          </w:p>
        </w:tc>
      </w:tr>
      <w:tr>
        <w:trPr>
          <w:trHeight w:val="243"/>
        </w:trPr>
        <w:tc>
          <w:tcPr>
            <w:tcW w:w="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FF"/>
            </w:tcBorders>
            <w:shd w:val="clear" w:color="auto" w:fill="CCEEFF"/>
          </w:tcPr>
          <w:p>
            <w:pPr>
              <w:spacing w:after="0"/>
              <w:rPr>
                <w:sz w:val="21"/>
                <w:szCs w:val="21"/>
                <w:color w:val="auto"/>
              </w:rPr>
            </w:pPr>
          </w:p>
        </w:tc>
        <w:tc>
          <w:tcPr>
            <w:tcW w:w="9160" w:type="dxa"/>
            <w:vAlign w:val="bottom"/>
            <w:tcBorders>
              <w:top w:val="single" w:sz="8" w:color="0000FF"/>
            </w:tcBorders>
            <w:gridSpan w:val="20"/>
            <w:shd w:val="clear" w:color="auto" w:fill="CCEEFF"/>
          </w:tcPr>
          <w:p>
            <w:pPr>
              <w:ind w:left="80"/>
              <w:spacing w:after="0" w:line="196" w:lineRule="exact"/>
              <w:rPr>
                <w:sz w:val="20"/>
                <w:szCs w:val="20"/>
                <w:color w:val="auto"/>
              </w:rPr>
            </w:pPr>
            <w:r>
              <w:rPr>
                <w:rFonts w:ascii="Arial" w:cs="Arial" w:eastAsia="Arial" w:hAnsi="Arial"/>
                <w:sz w:val="18"/>
                <w:szCs w:val="18"/>
                <w:color w:val="0000FF"/>
              </w:rPr>
              <w:t>2023 and 2022 (unaudited)</w:t>
            </w:r>
          </w:p>
        </w:tc>
        <w:tc>
          <w:tcPr>
            <w:tcW w:w="2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jc w:val="center"/>
              <w:ind w:right="50"/>
              <w:spacing w:after="0" w:line="196" w:lineRule="exact"/>
              <w:rPr>
                <w:sz w:val="20"/>
                <w:szCs w:val="20"/>
                <w:color w:val="auto"/>
              </w:rPr>
            </w:pPr>
            <w:r>
              <w:rPr>
                <w:rFonts w:ascii="Arial" w:cs="Arial" w:eastAsia="Arial" w:hAnsi="Arial"/>
                <w:sz w:val="18"/>
                <w:szCs w:val="18"/>
                <w:color w:val="auto"/>
                <w:w w:val="99"/>
              </w:rPr>
              <w:t>2</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02"/>
        </w:trPr>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w w:val="96"/>
              </w:rPr>
              <w:t>Condensed Consolidated Statements of Redeemable Convertible Preferred Stock and Stockholders’ Equity (Deficit) for the</w:t>
            </w:r>
          </w:p>
        </w:tc>
        <w:tc>
          <w:tcPr>
            <w:tcW w:w="76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FF"/>
            </w:tcBorders>
            <w:shd w:val="clear" w:color="auto" w:fill="CCEEFF"/>
          </w:tcPr>
          <w:p>
            <w:pPr>
              <w:spacing w:after="0"/>
              <w:rPr>
                <w:sz w:val="21"/>
                <w:szCs w:val="21"/>
                <w:color w:val="auto"/>
              </w:rPr>
            </w:pPr>
          </w:p>
        </w:tc>
        <w:tc>
          <w:tcPr>
            <w:tcW w:w="8800" w:type="dxa"/>
            <w:vAlign w:val="bottom"/>
            <w:tcBorders>
              <w:top w:val="single" w:sz="8" w:color="0000FF"/>
            </w:tcBorders>
            <w:gridSpan w:val="19"/>
            <w:shd w:val="clear" w:color="auto" w:fill="CCEEFF"/>
          </w:tcPr>
          <w:p>
            <w:pPr>
              <w:ind w:left="80"/>
              <w:spacing w:after="0" w:line="196" w:lineRule="exact"/>
              <w:rPr>
                <w:sz w:val="20"/>
                <w:szCs w:val="20"/>
                <w:color w:val="auto"/>
              </w:rPr>
            </w:pPr>
            <w:r>
              <w:rPr>
                <w:rFonts w:ascii="Arial" w:cs="Arial" w:eastAsia="Arial" w:hAnsi="Arial"/>
                <w:sz w:val="18"/>
                <w:szCs w:val="18"/>
                <w:color w:val="0000FF"/>
              </w:rPr>
              <w:t>three and nine months ended September 30, 2023 and 2022 (unaudited)</w:t>
            </w:r>
          </w:p>
        </w:tc>
        <w:tc>
          <w:tcPr>
            <w:tcW w:w="560" w:type="dxa"/>
            <w:vAlign w:val="bottom"/>
            <w:tcBorders>
              <w:top w:val="single" w:sz="8" w:color="CCEEFF"/>
            </w:tcBorders>
            <w:gridSpan w:val="2"/>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jc w:val="center"/>
              <w:ind w:right="50"/>
              <w:spacing w:after="0" w:line="196" w:lineRule="exact"/>
              <w:rPr>
                <w:sz w:val="20"/>
                <w:szCs w:val="20"/>
                <w:color w:val="auto"/>
              </w:rPr>
            </w:pPr>
            <w:r>
              <w:rPr>
                <w:rFonts w:ascii="Arial" w:cs="Arial" w:eastAsia="Arial" w:hAnsi="Arial"/>
                <w:sz w:val="18"/>
                <w:szCs w:val="18"/>
                <w:color w:val="auto"/>
                <w:w w:val="99"/>
              </w:rPr>
              <w:t>3</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940" w:type="dxa"/>
            <w:vAlign w:val="bottom"/>
            <w:tcBorders>
              <w:top w:val="single" w:sz="8" w:color="0000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w w:val="96"/>
              </w:rPr>
              <w:t>Condensed Consolidated Statements of Cash Flows for the nine months ended September 30, 2023 and 2022 (unaudited)</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99"/>
              </w:rPr>
              <w:t>6</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940" w:type="dxa"/>
            <w:vAlign w:val="bottom"/>
            <w:tcBorders>
              <w:top w:val="single" w:sz="8" w:color="0000FF"/>
            </w:tcBorders>
          </w:tcPr>
          <w:p>
            <w:pPr>
              <w:spacing w:after="0"/>
              <w:rPr>
                <w:sz w:val="23"/>
                <w:szCs w:val="23"/>
                <w:color w:val="auto"/>
              </w:rPr>
            </w:pPr>
          </w:p>
        </w:tc>
        <w:tc>
          <w:tcPr>
            <w:tcW w:w="1160" w:type="dxa"/>
            <w:vAlign w:val="bottom"/>
            <w:tcBorders>
              <w:top w:val="single" w:sz="8" w:color="0000FF"/>
            </w:tcBorders>
          </w:tcPr>
          <w:p>
            <w:pPr>
              <w:spacing w:after="0"/>
              <w:rPr>
                <w:sz w:val="23"/>
                <w:szCs w:val="23"/>
                <w:color w:val="auto"/>
              </w:rPr>
            </w:pPr>
          </w:p>
        </w:tc>
        <w:tc>
          <w:tcPr>
            <w:tcW w:w="980" w:type="dxa"/>
            <w:vAlign w:val="bottom"/>
            <w:tcBorders>
              <w:top w:val="single" w:sz="8" w:color="0000FF"/>
            </w:tcBorders>
          </w:tcPr>
          <w:p>
            <w:pPr>
              <w:spacing w:after="0"/>
              <w:rPr>
                <w:sz w:val="23"/>
                <w:szCs w:val="23"/>
                <w:color w:val="auto"/>
              </w:rPr>
            </w:pPr>
          </w:p>
        </w:tc>
        <w:tc>
          <w:tcPr>
            <w:tcW w:w="126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Notes to Condensed Consolidated Financial Statements</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99"/>
              </w:rPr>
              <w:t>7</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2.</w:t>
            </w: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9"/>
              </w:rPr>
              <w:t>38</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940" w:type="dxa"/>
            <w:vAlign w:val="bottom"/>
            <w:tcBorders>
              <w:top w:val="single" w:sz="8" w:color="0000FF"/>
            </w:tcBorders>
          </w:tcPr>
          <w:p>
            <w:pPr>
              <w:spacing w:after="0"/>
              <w:rPr>
                <w:sz w:val="23"/>
                <w:szCs w:val="23"/>
                <w:color w:val="auto"/>
              </w:rPr>
            </w:pPr>
          </w:p>
        </w:tc>
        <w:tc>
          <w:tcPr>
            <w:tcW w:w="1160" w:type="dxa"/>
            <w:vAlign w:val="bottom"/>
            <w:tcBorders>
              <w:top w:val="single" w:sz="8" w:color="0000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3.</w:t>
            </w: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Quantitative and Qualitative Disclosures About Market Risk</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9"/>
              </w:rPr>
              <w:t>51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4.</w:t>
            </w: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Controls and Procedures</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9"/>
              </w:rPr>
              <w:t>51</w:t>
            </w:r>
          </w:p>
        </w:tc>
      </w:tr>
      <w:tr>
        <w:trPr>
          <w:trHeight w:val="270"/>
        </w:trPr>
        <w:tc>
          <w:tcPr>
            <w:tcW w:w="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10460" w:type="dxa"/>
            <w:vAlign w:val="bottom"/>
            <w:gridSpan w:val="24"/>
            <w:shd w:val="clear" w:color="auto" w:fill="CCEEFF"/>
          </w:tcPr>
          <w:p>
            <w:pPr>
              <w:spacing w:after="0" w:line="202" w:lineRule="exact"/>
              <w:rPr>
                <w:sz w:val="20"/>
                <w:szCs w:val="20"/>
                <w:color w:val="auto"/>
              </w:rPr>
            </w:pPr>
            <w:r>
              <w:rPr>
                <w:rFonts w:ascii="Arial" w:cs="Arial" w:eastAsia="Arial" w:hAnsi="Arial"/>
                <w:sz w:val="18"/>
                <w:szCs w:val="18"/>
                <w:color w:val="0000FF"/>
              </w:rPr>
              <w:t>PART II. OTHER INFORMATION</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9"/>
              </w:rPr>
              <w:t>53</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w:t>
            </w: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Legal Proceedings</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9"/>
              </w:rPr>
              <w:t>53</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1A.</w:t>
            </w: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Risk Factors</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9"/>
              </w:rPr>
              <w:t>53</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2.</w:t>
            </w: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Unregistered Sales of Equity Securities and Use of Proceeds</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9"/>
              </w:rPr>
              <w:t>54</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3.</w:t>
            </w: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Defaults Upon Senior Securities</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9"/>
              </w:rPr>
              <w:t>54</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4.</w:t>
            </w: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Mine Safety Disclosures</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9"/>
              </w:rPr>
              <w:t>54</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5.</w:t>
            </w: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Other Information</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9"/>
              </w:rPr>
              <w:t>54</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6.</w:t>
            </w:r>
          </w:p>
        </w:tc>
        <w:tc>
          <w:tcPr>
            <w:tcW w:w="9620" w:type="dxa"/>
            <w:vAlign w:val="bottom"/>
            <w:gridSpan w:val="23"/>
            <w:shd w:val="clear" w:color="auto" w:fill="CCEEFF"/>
          </w:tcPr>
          <w:p>
            <w:pPr>
              <w:ind w:left="180"/>
              <w:spacing w:after="0" w:line="202" w:lineRule="exact"/>
              <w:rPr>
                <w:sz w:val="20"/>
                <w:szCs w:val="20"/>
                <w:color w:val="auto"/>
              </w:rPr>
            </w:pPr>
            <w:r>
              <w:rPr>
                <w:rFonts w:ascii="Arial" w:cs="Arial" w:eastAsia="Arial" w:hAnsi="Arial"/>
                <w:sz w:val="18"/>
                <w:szCs w:val="18"/>
                <w:color w:val="0000FF"/>
              </w:rPr>
              <w:t>Exhibits</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9"/>
              </w:rPr>
              <w:t>55</w:t>
            </w:r>
          </w:p>
        </w:tc>
      </w:tr>
      <w:tr>
        <w:trPr>
          <w:trHeight w:val="270"/>
        </w:trPr>
        <w:tc>
          <w:tcPr>
            <w:tcW w:w="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10460" w:type="dxa"/>
            <w:vAlign w:val="bottom"/>
            <w:gridSpan w:val="24"/>
            <w:shd w:val="clear" w:color="auto" w:fill="CCEEFF"/>
          </w:tcPr>
          <w:p>
            <w:pPr>
              <w:spacing w:after="0" w:line="202" w:lineRule="exact"/>
              <w:rPr>
                <w:sz w:val="20"/>
                <w:szCs w:val="20"/>
                <w:color w:val="auto"/>
              </w:rPr>
            </w:pPr>
            <w:r>
              <w:rPr>
                <w:rFonts w:ascii="Arial" w:cs="Arial" w:eastAsia="Arial" w:hAnsi="Arial"/>
                <w:sz w:val="18"/>
                <w:szCs w:val="18"/>
                <w:color w:val="0000FF"/>
              </w:rPr>
              <w:t>SIGNATURES</w:t>
            </w:r>
          </w:p>
        </w:tc>
        <w:tc>
          <w:tcPr>
            <w:tcW w:w="76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9"/>
              </w:rPr>
              <w:t>56</w:t>
            </w: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Quarterly Report on Form 10-Q (this “report”) of SoundHound AI, Inc. (“we,” “us,” “our,” “SoundHound,” or the “Company”) contains “forward-looking statements” (as defined in Section 27A of the Securities Act of 1933, as amended, and Section 21E of the Securities Exchange Act of 1934, as amended) that reflect our current expectations and views of future events. The forward-looking statements are contained principally in the section of this report entitled “Management’s Discussion and Analysis of Financial Condition and Results of Operations.” Readers are cautioned that significant known and unknown risks, uncertainties and other important factors (including those over which we may have no control and others listed in this report and in the “Risk Factors” section of our annual report on Form 10-K, which was filed with the Securities and Exchange Commission on March 28, 2023 (the "Form 10-K")) may cause our actual results, performance or achievements to be materially different from those expressed or implied by the forward-looking statements. 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182" w:lineRule="exact"/>
        <w:rPr>
          <w:sz w:val="20"/>
          <w:szCs w:val="20"/>
          <w:color w:val="auto"/>
        </w:rPr>
      </w:pPr>
    </w:p>
    <w:p>
      <w:pPr>
        <w:ind w:left="980" w:hanging="324"/>
        <w:spacing w:after="0" w:line="277" w:lineRule="auto"/>
        <w:tabs>
          <w:tab w:leader="none" w:pos="975" w:val="left"/>
        </w:tabs>
        <w:numPr>
          <w:ilvl w:val="0"/>
          <w:numId w:val="1"/>
        </w:numPr>
        <w:rPr>
          <w:rFonts w:ascii="Arial" w:cs="Arial" w:eastAsia="Arial" w:hAnsi="Arial"/>
          <w:sz w:val="18"/>
          <w:szCs w:val="18"/>
          <w:color w:val="auto"/>
        </w:rPr>
      </w:pPr>
      <w:r>
        <w:rPr>
          <w:rFonts w:ascii="Arial" w:cs="Arial" w:eastAsia="Arial" w:hAnsi="Arial"/>
          <w:sz w:val="18"/>
          <w:szCs w:val="18"/>
          <w:color w:val="auto"/>
        </w:rPr>
        <w:t>execution of our business strategy, including launching new product offerings and expanding information and technology capabilities, particularly following our recent restructuring efforts;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market opportunity and our ability to acquire new customers and retain existing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and impact of our growth initiatives on our future financial performance;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intellectual property and trade secrets;</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additional capital, as necessary, including equity or debt financing, on terms that are acceptable to us, if at all, particularly in light of inflationary pressures and resulting increases in the cost of borrowing;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applicable laws or regulations and extensive and evolving government regulations that impact our operations and business;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to attract or maintain a qualified workforce, particularly following our recent restructuring efforts;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of product service failures that could lead our customers to use competitors’ services;</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investigations, claims, disputes, enforcement actions, litigation and/or other regulatory or legal proceedings, including with respect to our AI technology;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relating to uncertainty of our estimates of market opportunity and forecasts of market growth;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to maintain the listing of our Class A Common Stock on the Nasdaq Global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risks and uncertainties described under the section titled “Risk Factors” of our Form 10-K.</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These forward-looking statements involve numerous and significant risks and uncertainties. Although we believe that our expectations expressed in these forward-looking statements are reasonable, our expectations may later be found to be incorrect. Our actual results of operations or the results of other matters that we anticipate herein could be materially different from our expectations. Important risks and factors that could cause our actual results to be materially different from our expectations are generally set forth in the “Management’s Discussion and Analysis of Financial Condition and Results of Operation,” section contain in this report and in the “Business,” “Risk Factors” and other sections of the Form 10-K. You should thoroughly read this report and the documents that we refer to with the understanding that our actual future results may be materially different from, and worse than, what we expect. We qualify all of our forward-looking statements by these cautionary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forward-looking statements made in this report relate only to events or information as of the date of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completely and with the understanding that our actual future results may be materially different from what we expect.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7"/>
              </w:rPr>
              <w:t>September 30,</w:t>
            </w:r>
          </w:p>
        </w:tc>
        <w:tc>
          <w:tcPr>
            <w:tcW w:w="240" w:type="dxa"/>
            <w:vAlign w:val="bottom"/>
          </w:tcPr>
          <w:p>
            <w:pPr>
              <w:spacing w:after="0"/>
              <w:rPr>
                <w:sz w:val="11"/>
                <w:szCs w:val="11"/>
                <w:color w:val="auto"/>
              </w:rPr>
            </w:pPr>
          </w:p>
        </w:tc>
        <w:tc>
          <w:tcPr>
            <w:tcW w:w="1240" w:type="dxa"/>
            <w:vAlign w:val="bottom"/>
          </w:tcPr>
          <w:p>
            <w:pPr>
              <w:jc w:val="right"/>
              <w:ind w:right="366"/>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40"/>
        </w:trPr>
        <w:tc>
          <w:tcPr>
            <w:tcW w:w="8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86"/>
              <w:spacing w:after="0"/>
              <w:rPr>
                <w:sz w:val="20"/>
                <w:szCs w:val="20"/>
                <w:color w:val="auto"/>
              </w:rPr>
            </w:pPr>
            <w:r>
              <w:rPr>
                <w:rFonts w:ascii="Arial" w:cs="Arial" w:eastAsia="Arial" w:hAnsi="Arial"/>
                <w:sz w:val="11"/>
                <w:szCs w:val="11"/>
                <w:b w:val="1"/>
                <w:bCs w:val="1"/>
                <w:color w:val="auto"/>
                <w:w w:val="81"/>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8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8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1"/>
              </w:rPr>
              <w:t>(Unaudited)</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3900"/>
              <w:spacing w:after="0"/>
              <w:rPr>
                <w:sz w:val="20"/>
                <w:szCs w:val="20"/>
                <w:color w:val="auto"/>
              </w:rPr>
            </w:pPr>
            <w:r>
              <w:rPr>
                <w:rFonts w:ascii="Arial" w:cs="Arial" w:eastAsia="Arial" w:hAnsi="Arial"/>
                <w:sz w:val="11"/>
                <w:szCs w:val="11"/>
                <w:b w:val="1"/>
                <w:bCs w:val="1"/>
                <w:color w:val="auto"/>
              </w:rPr>
              <w:t>ASSETS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Current assets: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180" w:type="dxa"/>
            <w:vAlign w:val="bottom"/>
          </w:tcPr>
          <w:p>
            <w:pPr>
              <w:ind w:left="100"/>
              <w:spacing w:after="0"/>
              <w:rPr>
                <w:sz w:val="20"/>
                <w:szCs w:val="20"/>
                <w:color w:val="auto"/>
              </w:rPr>
            </w:pPr>
            <w:r>
              <w:rPr>
                <w:rFonts w:ascii="Arial" w:cs="Arial" w:eastAsia="Arial" w:hAnsi="Arial"/>
                <w:sz w:val="11"/>
                <w:szCs w:val="11"/>
                <w:color w:val="auto"/>
              </w:rPr>
              <w:t>Cash and cash equivalents</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96,146</w:t>
            </w:r>
          </w:p>
        </w:tc>
        <w:tc>
          <w:tcPr>
            <w:tcW w:w="10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9,245</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Accounts receivable, net</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3,376</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3,414</w:t>
            </w:r>
          </w:p>
        </w:tc>
        <w:tc>
          <w:tcPr>
            <w:tcW w:w="0" w:type="dxa"/>
            <w:vAlign w:val="bottom"/>
          </w:tcPr>
          <w:p>
            <w:pPr>
              <w:spacing w:after="0"/>
              <w:rPr>
                <w:sz w:val="1"/>
                <w:szCs w:val="1"/>
                <w:color w:val="auto"/>
              </w:rPr>
            </w:pPr>
          </w:p>
        </w:tc>
      </w:tr>
      <w:tr>
        <w:trPr>
          <w:trHeight w:val="153"/>
        </w:trPr>
        <w:tc>
          <w:tcPr>
            <w:tcW w:w="8180" w:type="dxa"/>
            <w:vAlign w:val="bottom"/>
          </w:tcPr>
          <w:p>
            <w:pPr>
              <w:ind w:left="100"/>
              <w:spacing w:after="0"/>
              <w:rPr>
                <w:sz w:val="20"/>
                <w:szCs w:val="20"/>
                <w:color w:val="auto"/>
              </w:rPr>
            </w:pPr>
            <w:r>
              <w:rPr>
                <w:rFonts w:ascii="Arial" w:cs="Arial" w:eastAsia="Arial" w:hAnsi="Arial"/>
                <w:sz w:val="11"/>
                <w:szCs w:val="11"/>
                <w:color w:val="auto"/>
              </w:rPr>
              <w:t>Prepaid expenses</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2,359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2,514</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Contract assets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6,139</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1,671</w:t>
            </w:r>
          </w:p>
        </w:tc>
        <w:tc>
          <w:tcPr>
            <w:tcW w:w="0" w:type="dxa"/>
            <w:vAlign w:val="bottom"/>
          </w:tcPr>
          <w:p>
            <w:pPr>
              <w:spacing w:after="0"/>
              <w:rPr>
                <w:sz w:val="1"/>
                <w:szCs w:val="1"/>
                <w:color w:val="auto"/>
              </w:rPr>
            </w:pPr>
          </w:p>
        </w:tc>
      </w:tr>
      <w:tr>
        <w:trPr>
          <w:trHeight w:val="153"/>
        </w:trPr>
        <w:tc>
          <w:tcPr>
            <w:tcW w:w="8180" w:type="dxa"/>
            <w:vAlign w:val="bottom"/>
          </w:tcPr>
          <w:p>
            <w:pPr>
              <w:ind w:left="100"/>
              <w:spacing w:after="0"/>
              <w:rPr>
                <w:sz w:val="20"/>
                <w:szCs w:val="20"/>
                <w:color w:val="auto"/>
              </w:rPr>
            </w:pPr>
            <w:r>
              <w:rPr>
                <w:rFonts w:ascii="Arial" w:cs="Arial" w:eastAsia="Arial" w:hAnsi="Arial"/>
                <w:sz w:val="11"/>
                <w:szCs w:val="11"/>
                <w:color w:val="auto"/>
              </w:rPr>
              <w:t>Other current assets</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1,353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859</w:t>
            </w:r>
          </w:p>
        </w:tc>
        <w:tc>
          <w:tcPr>
            <w:tcW w:w="0" w:type="dxa"/>
            <w:vAlign w:val="bottom"/>
          </w:tcPr>
          <w:p>
            <w:pPr>
              <w:spacing w:after="0"/>
              <w:rPr>
                <w:sz w:val="1"/>
                <w:szCs w:val="1"/>
                <w:color w:val="auto"/>
              </w:rPr>
            </w:pPr>
          </w:p>
        </w:tc>
      </w:tr>
      <w:tr>
        <w:trPr>
          <w:trHeight w:val="36"/>
        </w:trPr>
        <w:tc>
          <w:tcPr>
            <w:tcW w:w="8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Total current assets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109,373</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17,703</w:t>
            </w: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Arial" w:cs="Arial" w:eastAsia="Arial" w:hAnsi="Arial"/>
                <w:sz w:val="11"/>
                <w:szCs w:val="11"/>
                <w:color w:val="auto"/>
              </w:rPr>
              <w:t>Restricted cash equivalents, non-current</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13,775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230</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Right-of-use assets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5,861</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8,119</w:t>
            </w: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Arial" w:cs="Arial" w:eastAsia="Arial" w:hAnsi="Arial"/>
                <w:sz w:val="11"/>
                <w:szCs w:val="11"/>
                <w:color w:val="auto"/>
              </w:rPr>
              <w:t>Property and equipment, net</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1,828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3,447</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Deferred tax asset</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55</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55</w:t>
            </w: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Arial" w:cs="Arial" w:eastAsia="Arial" w:hAnsi="Arial"/>
                <w:sz w:val="11"/>
                <w:szCs w:val="11"/>
                <w:color w:val="auto"/>
              </w:rPr>
              <w:t>Contract assets, non-current</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12,560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7,041</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non-current assets</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558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1,391</w:t>
            </w:r>
          </w:p>
        </w:tc>
        <w:tc>
          <w:tcPr>
            <w:tcW w:w="0" w:type="dxa"/>
            <w:vAlign w:val="bottom"/>
          </w:tcPr>
          <w:p>
            <w:pPr>
              <w:spacing w:after="0"/>
              <w:rPr>
                <w:sz w:val="1"/>
                <w:szCs w:val="1"/>
                <w:color w:val="auto"/>
              </w:rPr>
            </w:pPr>
          </w:p>
        </w:tc>
      </w:tr>
      <w:tr>
        <w:trPr>
          <w:trHeight w:val="178"/>
        </w:trPr>
        <w:tc>
          <w:tcPr>
            <w:tcW w:w="8180" w:type="dxa"/>
            <w:vAlign w:val="bottom"/>
          </w:tcPr>
          <w:p>
            <w:pPr>
              <w:ind w:left="260"/>
              <w:spacing w:after="0"/>
              <w:rPr>
                <w:sz w:val="20"/>
                <w:szCs w:val="20"/>
                <w:color w:val="auto"/>
              </w:rPr>
            </w:pPr>
            <w:r>
              <w:rPr>
                <w:rFonts w:ascii="Arial" w:cs="Arial" w:eastAsia="Arial" w:hAnsi="Arial"/>
                <w:sz w:val="11"/>
                <w:szCs w:val="11"/>
                <w:color w:val="auto"/>
              </w:rPr>
              <w:t>Total assets</w:t>
            </w: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144,010</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37,986</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8180" w:type="dxa"/>
            <w:vAlign w:val="bottom"/>
          </w:tcPr>
          <w:p>
            <w:pPr>
              <w:ind w:left="2640"/>
              <w:spacing w:after="0"/>
              <w:rPr>
                <w:sz w:val="20"/>
                <w:szCs w:val="20"/>
                <w:color w:val="auto"/>
              </w:rPr>
            </w:pPr>
            <w:r>
              <w:rPr>
                <w:rFonts w:ascii="Arial" w:cs="Arial" w:eastAsia="Arial" w:hAnsi="Arial"/>
                <w:sz w:val="11"/>
                <w:szCs w:val="11"/>
                <w:b w:val="1"/>
                <w:bCs w:val="1"/>
                <w:color w:val="auto"/>
              </w:rPr>
              <w:t>LIABILITIES AND STOCKHOLDERS’ EQUITY (DEFICIT)</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Current liabilities: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180" w:type="dxa"/>
            <w:vAlign w:val="bottom"/>
          </w:tcPr>
          <w:p>
            <w:pPr>
              <w:ind w:left="100"/>
              <w:spacing w:after="0"/>
              <w:rPr>
                <w:sz w:val="20"/>
                <w:szCs w:val="20"/>
                <w:color w:val="auto"/>
              </w:rPr>
            </w:pPr>
            <w:r>
              <w:rPr>
                <w:rFonts w:ascii="Arial" w:cs="Arial" w:eastAsia="Arial" w:hAnsi="Arial"/>
                <w:sz w:val="11"/>
                <w:szCs w:val="11"/>
                <w:color w:val="auto"/>
              </w:rPr>
              <w:t>Accounts payable</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2,163</w:t>
            </w:r>
          </w:p>
        </w:tc>
        <w:tc>
          <w:tcPr>
            <w:tcW w:w="10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2,798</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Accrued liabilities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11,012</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8,537</w:t>
            </w:r>
          </w:p>
        </w:tc>
        <w:tc>
          <w:tcPr>
            <w:tcW w:w="0" w:type="dxa"/>
            <w:vAlign w:val="bottom"/>
          </w:tcPr>
          <w:p>
            <w:pPr>
              <w:spacing w:after="0"/>
              <w:rPr>
                <w:sz w:val="1"/>
                <w:szCs w:val="1"/>
                <w:color w:val="auto"/>
              </w:rPr>
            </w:pPr>
          </w:p>
        </w:tc>
      </w:tr>
      <w:tr>
        <w:trPr>
          <w:trHeight w:val="153"/>
        </w:trPr>
        <w:tc>
          <w:tcPr>
            <w:tcW w:w="8180" w:type="dxa"/>
            <w:vAlign w:val="bottom"/>
          </w:tcPr>
          <w:p>
            <w:pPr>
              <w:ind w:left="100"/>
              <w:spacing w:after="0"/>
              <w:rPr>
                <w:sz w:val="20"/>
                <w:szCs w:val="20"/>
                <w:color w:val="auto"/>
              </w:rPr>
            </w:pPr>
            <w:r>
              <w:rPr>
                <w:rFonts w:ascii="Arial" w:cs="Arial" w:eastAsia="Arial" w:hAnsi="Arial"/>
                <w:sz w:val="11"/>
                <w:szCs w:val="11"/>
                <w:color w:val="auto"/>
              </w:rPr>
              <w:t>Operating lease liabilities</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2,740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3,282</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Finance lease liabilities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138</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160</w:t>
            </w:r>
          </w:p>
        </w:tc>
        <w:tc>
          <w:tcPr>
            <w:tcW w:w="0" w:type="dxa"/>
            <w:vAlign w:val="bottom"/>
          </w:tcPr>
          <w:p>
            <w:pPr>
              <w:spacing w:after="0"/>
              <w:rPr>
                <w:sz w:val="1"/>
                <w:szCs w:val="1"/>
                <w:color w:val="auto"/>
              </w:rPr>
            </w:pPr>
          </w:p>
        </w:tc>
      </w:tr>
      <w:tr>
        <w:trPr>
          <w:trHeight w:val="153"/>
        </w:trPr>
        <w:tc>
          <w:tcPr>
            <w:tcW w:w="8180" w:type="dxa"/>
            <w:vAlign w:val="bottom"/>
          </w:tcPr>
          <w:p>
            <w:pPr>
              <w:ind w:left="100"/>
              <w:spacing w:after="0"/>
              <w:rPr>
                <w:sz w:val="20"/>
                <w:szCs w:val="20"/>
                <w:color w:val="auto"/>
              </w:rPr>
            </w:pPr>
            <w:r>
              <w:rPr>
                <w:rFonts w:ascii="Arial" w:cs="Arial" w:eastAsia="Arial" w:hAnsi="Arial"/>
                <w:sz w:val="11"/>
                <w:szCs w:val="11"/>
                <w:color w:val="auto"/>
              </w:rPr>
              <w:t>Income tax liability</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1,105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1,314</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Deferred revenue</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4,250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5,812</w:t>
            </w:r>
          </w:p>
        </w:tc>
        <w:tc>
          <w:tcPr>
            <w:tcW w:w="0" w:type="dxa"/>
            <w:vAlign w:val="bottom"/>
          </w:tcPr>
          <w:p>
            <w:pPr>
              <w:spacing w:after="0"/>
              <w:rPr>
                <w:sz w:val="1"/>
                <w:szCs w:val="1"/>
                <w:color w:val="auto"/>
              </w:rPr>
            </w:pPr>
          </w:p>
        </w:tc>
      </w:tr>
      <w:tr>
        <w:trPr>
          <w:trHeight w:val="153"/>
        </w:trPr>
        <w:tc>
          <w:tcPr>
            <w:tcW w:w="8180" w:type="dxa"/>
            <w:vAlign w:val="bottom"/>
          </w:tcPr>
          <w:p>
            <w:pPr>
              <w:ind w:left="100"/>
              <w:spacing w:after="0"/>
              <w:rPr>
                <w:sz w:val="20"/>
                <w:szCs w:val="20"/>
                <w:color w:val="auto"/>
              </w:rPr>
            </w:pPr>
            <w:r>
              <w:rPr>
                <w:rFonts w:ascii="Arial" w:cs="Arial" w:eastAsia="Arial" w:hAnsi="Arial"/>
                <w:sz w:val="11"/>
                <w:szCs w:val="11"/>
                <w:color w:val="auto"/>
              </w:rPr>
              <w:t>Current portion of long-term debt</w:t>
            </w:r>
          </w:p>
        </w:tc>
        <w:tc>
          <w:tcPr>
            <w:tcW w:w="24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16,668</w:t>
            </w:r>
          </w:p>
        </w:tc>
        <w:tc>
          <w:tcPr>
            <w:tcW w:w="0" w:type="dxa"/>
            <w:vAlign w:val="bottom"/>
          </w:tcPr>
          <w:p>
            <w:pPr>
              <w:spacing w:after="0"/>
              <w:rPr>
                <w:sz w:val="1"/>
                <w:szCs w:val="1"/>
                <w:color w:val="auto"/>
              </w:rPr>
            </w:pPr>
          </w:p>
        </w:tc>
      </w:tr>
      <w:tr>
        <w:trPr>
          <w:trHeight w:val="35"/>
        </w:trPr>
        <w:tc>
          <w:tcPr>
            <w:tcW w:w="8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Total current liabilities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21,408</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38,571</w:t>
            </w: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lease liabilities, net of current portion</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3,663</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5,715</w:t>
            </w: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Arial" w:cs="Arial" w:eastAsia="Arial" w:hAnsi="Arial"/>
                <w:sz w:val="11"/>
                <w:szCs w:val="11"/>
                <w:color w:val="auto"/>
              </w:rPr>
              <w:t>Finance lease liabilities, net of current portion</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128</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Deferred revenue, net of current portion</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3,573</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7,543</w:t>
            </w:r>
          </w:p>
        </w:tc>
        <w:tc>
          <w:tcPr>
            <w:tcW w:w="0" w:type="dxa"/>
            <w:vAlign w:val="bottom"/>
          </w:tcPr>
          <w:p>
            <w:pPr>
              <w:spacing w:after="0"/>
              <w:rPr>
                <w:sz w:val="1"/>
                <w:szCs w:val="1"/>
                <w:color w:val="auto"/>
              </w:rPr>
            </w:pPr>
          </w:p>
        </w:tc>
      </w:tr>
      <w:tr>
        <w:trPr>
          <w:trHeight w:val="154"/>
        </w:trPr>
        <w:tc>
          <w:tcPr>
            <w:tcW w:w="8180" w:type="dxa"/>
            <w:vAlign w:val="bottom"/>
          </w:tcPr>
          <w:p>
            <w:pPr>
              <w:ind w:left="20"/>
              <w:spacing w:after="0"/>
              <w:rPr>
                <w:sz w:val="20"/>
                <w:szCs w:val="20"/>
                <w:color w:val="auto"/>
              </w:rPr>
            </w:pPr>
            <w:r>
              <w:rPr>
                <w:rFonts w:ascii="Arial" w:cs="Arial" w:eastAsia="Arial" w:hAnsi="Arial"/>
                <w:sz w:val="11"/>
                <w:szCs w:val="11"/>
                <w:color w:val="auto"/>
              </w:rPr>
              <w:t>Long-term debt</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83,308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18,299</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non-current liabilities</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6,092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4,295</w:t>
            </w:r>
          </w:p>
        </w:tc>
        <w:tc>
          <w:tcPr>
            <w:tcW w:w="0" w:type="dxa"/>
            <w:vAlign w:val="bottom"/>
          </w:tcPr>
          <w:p>
            <w:pPr>
              <w:spacing w:after="0"/>
              <w:rPr>
                <w:sz w:val="1"/>
                <w:szCs w:val="1"/>
                <w:color w:val="auto"/>
              </w:rPr>
            </w:pPr>
          </w:p>
        </w:tc>
      </w:tr>
      <w:tr>
        <w:trPr>
          <w:trHeight w:val="147"/>
        </w:trPr>
        <w:tc>
          <w:tcPr>
            <w:tcW w:w="8180" w:type="dxa"/>
            <w:vAlign w:val="bottom"/>
          </w:tcPr>
          <w:p>
            <w:pPr>
              <w:ind w:left="260"/>
              <w:spacing w:after="0"/>
              <w:rPr>
                <w:sz w:val="20"/>
                <w:szCs w:val="20"/>
                <w:color w:val="auto"/>
              </w:rPr>
            </w:pPr>
            <w:r>
              <w:rPr>
                <w:rFonts w:ascii="Arial" w:cs="Arial" w:eastAsia="Arial" w:hAnsi="Arial"/>
                <w:sz w:val="11"/>
                <w:szCs w:val="11"/>
                <w:color w:val="auto"/>
              </w:rPr>
              <w:t>Total liabilities</w:t>
            </w: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118,078</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74,551</w:t>
            </w:r>
          </w:p>
        </w:tc>
        <w:tc>
          <w:tcPr>
            <w:tcW w:w="0" w:type="dxa"/>
            <w:vAlign w:val="bottom"/>
          </w:tcPr>
          <w:p>
            <w:pPr>
              <w:spacing w:after="0"/>
              <w:rPr>
                <w:sz w:val="1"/>
                <w:szCs w:val="1"/>
                <w:color w:val="auto"/>
              </w:rPr>
            </w:pPr>
          </w:p>
        </w:tc>
      </w:tr>
      <w:tr>
        <w:trPr>
          <w:trHeight w:val="35"/>
        </w:trPr>
        <w:tc>
          <w:tcPr>
            <w:tcW w:w="8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Commitments and contingencies (Note 6)</w:t>
            </w: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Stockholders’ equity (deficit):</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180" w:type="dxa"/>
            <w:vAlign w:val="bottom"/>
          </w:tcPr>
          <w:p>
            <w:pPr>
              <w:ind w:left="180"/>
              <w:spacing w:after="0"/>
              <w:rPr>
                <w:sz w:val="20"/>
                <w:szCs w:val="20"/>
                <w:color w:val="auto"/>
              </w:rPr>
            </w:pPr>
            <w:r>
              <w:rPr>
                <w:rFonts w:ascii="Arial" w:cs="Arial" w:eastAsia="Arial" w:hAnsi="Arial"/>
                <w:sz w:val="11"/>
                <w:szCs w:val="11"/>
                <w:color w:val="auto"/>
                <w:w w:val="91"/>
              </w:rPr>
              <w:t>Series A Preferred Stock, $0.0001 par value; 1,000,000 shares authorized; 481,673 and 0 shares issued and outstanding, aggregate liquidation preference of $15,898 and $0 as of</w:t>
            </w:r>
          </w:p>
        </w:tc>
        <w:tc>
          <w:tcPr>
            <w:tcW w:w="240" w:type="dxa"/>
            <w:vAlign w:val="bottom"/>
          </w:tcPr>
          <w:p>
            <w:pPr>
              <w:spacing w:after="0"/>
              <w:rPr>
                <w:sz w:val="13"/>
                <w:szCs w:val="13"/>
                <w:color w:val="auto"/>
              </w:rPr>
            </w:pPr>
          </w:p>
        </w:tc>
        <w:tc>
          <w:tcPr>
            <w:tcW w:w="1240" w:type="dxa"/>
            <w:vAlign w:val="bottom"/>
            <w:vMerge w:val="restart"/>
          </w:tcPr>
          <w:p>
            <w:pPr>
              <w:jc w:val="right"/>
              <w:ind w:right="6"/>
              <w:spacing w:after="0"/>
              <w:rPr>
                <w:sz w:val="20"/>
                <w:szCs w:val="20"/>
                <w:color w:val="auto"/>
              </w:rPr>
            </w:pPr>
            <w:r>
              <w:rPr>
                <w:rFonts w:ascii="Arial" w:cs="Arial" w:eastAsia="Arial" w:hAnsi="Arial"/>
                <w:sz w:val="11"/>
                <w:szCs w:val="11"/>
                <w:color w:val="auto"/>
              </w:rPr>
              <w:t>14,387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8180" w:type="dxa"/>
            <w:vAlign w:val="bottom"/>
          </w:tcPr>
          <w:p>
            <w:pPr>
              <w:ind w:left="260"/>
              <w:spacing w:after="0"/>
              <w:rPr>
                <w:sz w:val="20"/>
                <w:szCs w:val="20"/>
                <w:color w:val="auto"/>
              </w:rPr>
            </w:pPr>
            <w:r>
              <w:rPr>
                <w:rFonts w:ascii="Arial" w:cs="Arial" w:eastAsia="Arial" w:hAnsi="Arial"/>
                <w:sz w:val="11"/>
                <w:szCs w:val="11"/>
                <w:color w:val="auto"/>
              </w:rPr>
              <w:t>September 30, 2023 and December 31, 2022, respectively</w:t>
            </w:r>
          </w:p>
        </w:tc>
        <w:tc>
          <w:tcPr>
            <w:tcW w:w="2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180" w:type="dxa"/>
            <w:vAlign w:val="bottom"/>
            <w:shd w:val="clear" w:color="auto" w:fill="CCEEFF"/>
          </w:tcPr>
          <w:p>
            <w:pPr>
              <w:ind w:left="180"/>
              <w:spacing w:after="0"/>
              <w:rPr>
                <w:sz w:val="20"/>
                <w:szCs w:val="20"/>
                <w:color w:val="auto"/>
              </w:rPr>
            </w:pPr>
            <w:r>
              <w:rPr>
                <w:rFonts w:ascii="Arial" w:cs="Arial" w:eastAsia="Arial" w:hAnsi="Arial"/>
                <w:sz w:val="11"/>
                <w:szCs w:val="11"/>
                <w:color w:val="auto"/>
                <w:w w:val="89"/>
              </w:rPr>
              <w:t>Class A Common Stock, $0.0001 par value; 455,000,000 shares authorized; 208,975,388 and 160,297,664 shares issued and outstanding as of September 30, 2023 and December 31,</w:t>
            </w:r>
          </w:p>
        </w:tc>
        <w:tc>
          <w:tcPr>
            <w:tcW w:w="24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38"/>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2022, respectively</w:t>
            </w: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8180" w:type="dxa"/>
            <w:vAlign w:val="bottom"/>
          </w:tcPr>
          <w:p>
            <w:pPr>
              <w:ind w:left="180"/>
              <w:spacing w:after="0"/>
              <w:rPr>
                <w:sz w:val="20"/>
                <w:szCs w:val="20"/>
                <w:color w:val="auto"/>
              </w:rPr>
            </w:pPr>
            <w:r>
              <w:rPr>
                <w:rFonts w:ascii="Arial" w:cs="Arial" w:eastAsia="Arial" w:hAnsi="Arial"/>
                <w:sz w:val="11"/>
                <w:szCs w:val="11"/>
                <w:color w:val="auto"/>
                <w:w w:val="87"/>
              </w:rPr>
              <w:t>Class B Common Stock, $0.0001 par value; 44,000,000 shares authorized; 37,485,408 and 39,735,408 shares issued and outstanding as of September 30, 2023 and December 31, 2022,</w:t>
            </w:r>
          </w:p>
        </w:tc>
        <w:tc>
          <w:tcPr>
            <w:tcW w:w="240" w:type="dxa"/>
            <w:vAlign w:val="bottom"/>
          </w:tcPr>
          <w:p>
            <w:pPr>
              <w:spacing w:after="0"/>
              <w:rPr>
                <w:sz w:val="13"/>
                <w:szCs w:val="13"/>
                <w:color w:val="auto"/>
              </w:rPr>
            </w:pPr>
          </w:p>
        </w:tc>
        <w:tc>
          <w:tcPr>
            <w:tcW w:w="1240" w:type="dxa"/>
            <w:vAlign w:val="bottom"/>
            <w:vMerge w:val="restart"/>
          </w:tcPr>
          <w:p>
            <w:pPr>
              <w:jc w:val="right"/>
              <w:ind w:right="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restart"/>
          </w:tcPr>
          <w:p>
            <w:pPr>
              <w:jc w:val="right"/>
              <w:ind w:right="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36"/>
        </w:trPr>
        <w:tc>
          <w:tcPr>
            <w:tcW w:w="8180" w:type="dxa"/>
            <w:vAlign w:val="bottom"/>
          </w:tcPr>
          <w:p>
            <w:pPr>
              <w:ind w:left="260"/>
              <w:spacing w:after="0"/>
              <w:rPr>
                <w:sz w:val="20"/>
                <w:szCs w:val="20"/>
                <w:color w:val="auto"/>
              </w:rPr>
            </w:pPr>
            <w:r>
              <w:rPr>
                <w:rFonts w:ascii="Arial" w:cs="Arial" w:eastAsia="Arial" w:hAnsi="Arial"/>
                <w:sz w:val="11"/>
                <w:szCs w:val="11"/>
                <w:color w:val="auto"/>
              </w:rPr>
              <w:t>respectively</w:t>
            </w:r>
          </w:p>
        </w:tc>
        <w:tc>
          <w:tcPr>
            <w:tcW w:w="2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Additional paid-in capital</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585,699</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466,857</w:t>
            </w:r>
          </w:p>
        </w:tc>
        <w:tc>
          <w:tcPr>
            <w:tcW w:w="0" w:type="dxa"/>
            <w:vAlign w:val="bottom"/>
          </w:tcPr>
          <w:p>
            <w:pPr>
              <w:spacing w:after="0"/>
              <w:rPr>
                <w:sz w:val="1"/>
                <w:szCs w:val="1"/>
                <w:color w:val="auto"/>
              </w:rPr>
            </w:pPr>
          </w:p>
        </w:tc>
      </w:tr>
      <w:tr>
        <w:trPr>
          <w:trHeight w:val="154"/>
        </w:trPr>
        <w:tc>
          <w:tcPr>
            <w:tcW w:w="8180" w:type="dxa"/>
            <w:vAlign w:val="bottom"/>
          </w:tcPr>
          <w:p>
            <w:pPr>
              <w:ind w:left="180"/>
              <w:spacing w:after="0"/>
              <w:rPr>
                <w:sz w:val="20"/>
                <w:szCs w:val="20"/>
                <w:color w:val="auto"/>
              </w:rPr>
            </w:pPr>
            <w:r>
              <w:rPr>
                <w:rFonts w:ascii="Arial" w:cs="Arial" w:eastAsia="Arial" w:hAnsi="Arial"/>
                <w:sz w:val="11"/>
                <w:szCs w:val="11"/>
                <w:color w:val="auto"/>
              </w:rPr>
              <w:t>Accumulated deficit</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(574,376)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(503,442)</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Accumulated other comprehensive income</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8180" w:type="dxa"/>
            <w:vAlign w:val="bottom"/>
          </w:tcPr>
          <w:p>
            <w:pPr>
              <w:ind w:left="260"/>
              <w:spacing w:after="0"/>
              <w:rPr>
                <w:sz w:val="20"/>
                <w:szCs w:val="20"/>
                <w:color w:val="auto"/>
              </w:rPr>
            </w:pPr>
            <w:r>
              <w:rPr>
                <w:rFonts w:ascii="Arial" w:cs="Arial" w:eastAsia="Arial" w:hAnsi="Arial"/>
                <w:sz w:val="11"/>
                <w:szCs w:val="11"/>
                <w:color w:val="auto"/>
              </w:rPr>
              <w:t>Total stockholders’ equity (deficit)</w:t>
            </w: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25,932</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(36,565)</w:t>
            </w:r>
          </w:p>
        </w:tc>
        <w:tc>
          <w:tcPr>
            <w:tcW w:w="0" w:type="dxa"/>
            <w:vAlign w:val="bottom"/>
          </w:tcPr>
          <w:p>
            <w:pPr>
              <w:spacing w:after="0"/>
              <w:rPr>
                <w:sz w:val="1"/>
                <w:szCs w:val="1"/>
                <w:color w:val="auto"/>
              </w:rPr>
            </w:pPr>
          </w:p>
        </w:tc>
      </w:tr>
      <w:tr>
        <w:trPr>
          <w:trHeight w:val="35"/>
        </w:trPr>
        <w:tc>
          <w:tcPr>
            <w:tcW w:w="8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Total liabilities and stockholders’ equity (deficit)</w:t>
            </w: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144,010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37,986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Arial" w:cs="Arial" w:eastAsia="Arial" w:hAnsi="Arial"/>
                <w:sz w:val="18"/>
                <w:szCs w:val="18"/>
                <w:b w:val="1"/>
                <w:bCs w:val="1"/>
                <w:color w:val="0000FF"/>
              </w:rPr>
              <w:t>Table of Contents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12"/>
        </w:trPr>
        <w:tc>
          <w:tcPr>
            <w:tcW w:w="1360" w:type="dxa"/>
            <w:vAlign w:val="bottom"/>
            <w:tcBorders>
              <w:top w:val="single" w:sz="8" w:color="0000FF"/>
            </w:tcBorders>
          </w:tcPr>
          <w:p>
            <w:pPr>
              <w:spacing w:after="0"/>
              <w:rPr>
                <w:sz w:val="24"/>
                <w:szCs w:val="24"/>
                <w:color w:val="auto"/>
              </w:rPr>
            </w:pPr>
          </w:p>
        </w:tc>
        <w:tc>
          <w:tcPr>
            <w:tcW w:w="3260" w:type="dxa"/>
            <w:vAlign w:val="bottom"/>
          </w:tcPr>
          <w:p>
            <w:pPr>
              <w:spacing w:after="0"/>
              <w:rPr>
                <w:sz w:val="24"/>
                <w:szCs w:val="24"/>
                <w:color w:val="auto"/>
              </w:rPr>
            </w:pPr>
          </w:p>
        </w:tc>
        <w:tc>
          <w:tcPr>
            <w:tcW w:w="2500" w:type="dxa"/>
            <w:vAlign w:val="bottom"/>
            <w:gridSpan w:val="5"/>
          </w:tcPr>
          <w:p>
            <w:pPr>
              <w:jc w:val="center"/>
              <w:ind w:right="410"/>
              <w:spacing w:after="0"/>
              <w:rPr>
                <w:sz w:val="20"/>
                <w:szCs w:val="20"/>
                <w:color w:val="auto"/>
              </w:rPr>
            </w:pPr>
            <w:r>
              <w:rPr>
                <w:rFonts w:ascii="Arial" w:cs="Arial" w:eastAsia="Arial" w:hAnsi="Arial"/>
                <w:sz w:val="18"/>
                <w:szCs w:val="18"/>
                <w:b w:val="1"/>
                <w:bCs w:val="1"/>
                <w:color w:val="auto"/>
                <w:w w:val="99"/>
              </w:rPr>
              <w:t>SOUNDHOUND AI, INC.</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0"/>
        </w:trPr>
        <w:tc>
          <w:tcPr>
            <w:tcW w:w="1360" w:type="dxa"/>
            <w:vAlign w:val="bottom"/>
          </w:tcPr>
          <w:p>
            <w:pPr>
              <w:spacing w:after="0"/>
              <w:rPr>
                <w:sz w:val="19"/>
                <w:szCs w:val="19"/>
                <w:color w:val="auto"/>
              </w:rPr>
            </w:pPr>
          </w:p>
        </w:tc>
        <w:tc>
          <w:tcPr>
            <w:tcW w:w="8400" w:type="dxa"/>
            <w:vAlign w:val="bottom"/>
            <w:gridSpan w:val="11"/>
          </w:tcPr>
          <w:p>
            <w:pPr>
              <w:jc w:val="center"/>
              <w:ind w:left="50"/>
              <w:spacing w:after="0"/>
              <w:rPr>
                <w:sz w:val="20"/>
                <w:szCs w:val="20"/>
                <w:color w:val="auto"/>
              </w:rPr>
            </w:pPr>
            <w:r>
              <w:rPr>
                <w:rFonts w:ascii="Arial" w:cs="Arial" w:eastAsia="Arial" w:hAnsi="Arial"/>
                <w:sz w:val="18"/>
                <w:szCs w:val="18"/>
                <w:b w:val="1"/>
                <w:bCs w:val="1"/>
                <w:color w:val="auto"/>
                <w:w w:val="98"/>
              </w:rPr>
              <w:t>CONDENSED CONSOLIDATED STATEMENTS OF OPERATIONS AND COMPREHENSIVE LOSS</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6820" w:type="dxa"/>
            <w:vAlign w:val="bottom"/>
            <w:gridSpan w:val="8"/>
          </w:tcPr>
          <w:p>
            <w:pPr>
              <w:jc w:val="center"/>
              <w:ind w:left="1630"/>
              <w:spacing w:after="0"/>
              <w:rPr>
                <w:sz w:val="20"/>
                <w:szCs w:val="20"/>
                <w:color w:val="auto"/>
              </w:rPr>
            </w:pPr>
            <w:r>
              <w:rPr>
                <w:rFonts w:ascii="Arial" w:cs="Arial" w:eastAsia="Arial" w:hAnsi="Arial"/>
                <w:sz w:val="18"/>
                <w:szCs w:val="18"/>
                <w:b w:val="1"/>
                <w:bCs w:val="1"/>
                <w:i w:val="1"/>
                <w:iCs w:val="1"/>
                <w:color w:val="auto"/>
                <w:w w:val="86"/>
              </w:rPr>
              <w:t>(In thousands, except share and per share data)</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i w:val="1"/>
                <w:iCs w:val="1"/>
                <w:color w:val="auto"/>
                <w:w w:val="89"/>
              </w:rPr>
              <w:t>(Unaudited)</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68"/>
        </w:trPr>
        <w:tc>
          <w:tcPr>
            <w:tcW w:w="13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5"/>
          </w:tcPr>
          <w:p>
            <w:pPr>
              <w:ind w:left="6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27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3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r>
      <w:tr>
        <w:trPr>
          <w:trHeight w:val="27"/>
        </w:trPr>
        <w:tc>
          <w:tcPr>
            <w:tcW w:w="13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ind w:left="44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ind w:left="4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ind w:left="22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ind w:left="40"/>
              <w:spacing w:after="0"/>
              <w:rPr>
                <w:sz w:val="20"/>
                <w:szCs w:val="20"/>
                <w:color w:val="auto"/>
              </w:rPr>
            </w:pPr>
            <w:r>
              <w:rPr>
                <w:rFonts w:ascii="Arial" w:cs="Arial" w:eastAsia="Arial" w:hAnsi="Arial"/>
                <w:sz w:val="18"/>
                <w:szCs w:val="18"/>
                <w:b w:val="1"/>
                <w:bCs w:val="1"/>
                <w:color w:val="auto"/>
              </w:rPr>
              <w:t>2022</w:t>
            </w:r>
          </w:p>
        </w:tc>
      </w:tr>
      <w:tr>
        <w:trPr>
          <w:trHeight w:val="27"/>
        </w:trPr>
        <w:tc>
          <w:tcPr>
            <w:tcW w:w="462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28,726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21,628</w:t>
            </w:r>
          </w:p>
        </w:tc>
      </w:tr>
      <w:tr>
        <w:trPr>
          <w:trHeight w:val="22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7"/>
        </w:trPr>
        <w:tc>
          <w:tcPr>
            <w:tcW w:w="46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6,844</w:t>
            </w:r>
          </w:p>
        </w:tc>
      </w:tr>
      <w:tr>
        <w:trPr>
          <w:trHeight w:val="243"/>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4,471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13,623</w:t>
            </w:r>
          </w:p>
        </w:tc>
      </w:tr>
      <w:tr>
        <w:trPr>
          <w:trHeight w:val="27"/>
        </w:trPr>
        <w:tc>
          <w:tcPr>
            <w:tcW w:w="46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54,864</w:t>
            </w:r>
          </w:p>
        </w:tc>
      </w:tr>
      <w:tr>
        <w:trPr>
          <w:trHeight w:val="243"/>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23,016</w:t>
            </w:r>
          </w:p>
        </w:tc>
      </w:tr>
      <w:tr>
        <w:trPr>
          <w:trHeight w:val="27"/>
        </w:trPr>
        <w:tc>
          <w:tcPr>
            <w:tcW w:w="46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w:t>
            </w:r>
          </w:p>
        </w:tc>
        <w:tc>
          <w:tcPr>
            <w:tcW w:w="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4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27,798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38,258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84,941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98,347</w:t>
            </w:r>
          </w:p>
        </w:tc>
      </w:tr>
      <w:tr>
        <w:trPr>
          <w:trHeight w:val="27"/>
        </w:trPr>
        <w:tc>
          <w:tcPr>
            <w:tcW w:w="462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(56,215)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(76,719)</w:t>
            </w:r>
          </w:p>
        </w:tc>
      </w:tr>
      <w:tr>
        <w:trPr>
          <w:trHeight w:val="250"/>
        </w:trPr>
        <w:tc>
          <w:tcPr>
            <w:tcW w:w="13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50"/>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(5,715)</w:t>
            </w:r>
          </w:p>
        </w:tc>
      </w:tr>
      <w:tr>
        <w:trPr>
          <w:trHeight w:val="27"/>
        </w:trPr>
        <w:tc>
          <w:tcPr>
            <w:tcW w:w="46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r>
      <w:tr>
        <w:trPr>
          <w:trHeight w:val="237"/>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Total other expense, net</w:t>
            </w:r>
          </w:p>
        </w:tc>
        <w:tc>
          <w:tcPr>
            <w:tcW w:w="4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(12,412)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(7,508)</w:t>
            </w:r>
          </w:p>
        </w:tc>
      </w:tr>
      <w:tr>
        <w:trPr>
          <w:trHeight w:val="27"/>
        </w:trPr>
        <w:tc>
          <w:tcPr>
            <w:tcW w:w="462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(68,627)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(84,227)</w:t>
            </w:r>
          </w:p>
        </w:tc>
      </w:tr>
      <w:tr>
        <w:trPr>
          <w:trHeight w:val="24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1,605</w:t>
            </w:r>
          </w:p>
        </w:tc>
      </w:tr>
      <w:tr>
        <w:trPr>
          <w:trHeight w:val="27"/>
        </w:trPr>
        <w:tc>
          <w:tcPr>
            <w:tcW w:w="462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(70,934)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(85,832)</w:t>
            </w:r>
          </w:p>
        </w:tc>
      </w:tr>
      <w:tr>
        <w:trPr>
          <w:trHeight w:val="229"/>
        </w:trPr>
        <w:tc>
          <w:tcPr>
            <w:tcW w:w="4620" w:type="dxa"/>
            <w:vAlign w:val="bottom"/>
            <w:gridSpan w:val="2"/>
          </w:tcPr>
          <w:p>
            <w:pPr>
              <w:ind w:left="180"/>
              <w:spacing w:after="0"/>
              <w:rPr>
                <w:sz w:val="20"/>
                <w:szCs w:val="20"/>
                <w:color w:val="auto"/>
              </w:rPr>
            </w:pPr>
            <w:r>
              <w:rPr>
                <w:rFonts w:ascii="Arial" w:cs="Arial" w:eastAsia="Arial" w:hAnsi="Arial"/>
                <w:sz w:val="18"/>
                <w:szCs w:val="18"/>
                <w:color w:val="auto"/>
                <w:w w:val="90"/>
              </w:rPr>
              <w:t>Less: Cumulative dividends attributable to Series A Preferred</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Stock</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4"/>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Net loss attributable to SoundHound common shareholders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(85,832)</w:t>
            </w:r>
          </w:p>
        </w:tc>
      </w:tr>
      <w:tr>
        <w:trPr>
          <w:trHeight w:val="20"/>
        </w:trPr>
        <w:tc>
          <w:tcPr>
            <w:tcW w:w="462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3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Unrealized gains on investments</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(85,832)</w:t>
            </w:r>
          </w:p>
        </w:tc>
      </w:tr>
      <w:tr>
        <w:trPr>
          <w:trHeight w:val="270"/>
        </w:trPr>
        <w:tc>
          <w:tcPr>
            <w:tcW w:w="4620" w:type="dxa"/>
            <w:vAlign w:val="bottom"/>
            <w:gridSpan w:val="2"/>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per share:</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Basic and diluted</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3"/>
                <w:szCs w:val="23"/>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3"/>
                <w:szCs w:val="23"/>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136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4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6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5"/>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9"/>
              </w:rPr>
              <w:t>242,022,268</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9"/>
              </w:rPr>
              <w:t>197,006,980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9"/>
              </w:rPr>
              <w:t>222,760,880</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9"/>
              </w:rPr>
              <w:t>143,338,517</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Three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640" w:type="dxa"/>
            <w:vAlign w:val="bottom"/>
            <w:gridSpan w:val="5"/>
            <w:vMerge w:val="restart"/>
          </w:tcPr>
          <w:p>
            <w:pPr>
              <w:ind w:left="120"/>
              <w:spacing w:after="0"/>
              <w:rPr>
                <w:sz w:val="20"/>
                <w:szCs w:val="20"/>
                <w:color w:val="auto"/>
              </w:rPr>
            </w:pPr>
            <w:r>
              <w:rPr>
                <w:rFonts w:ascii="Arial" w:cs="Arial" w:eastAsia="Arial" w:hAnsi="Arial"/>
                <w:sz w:val="13"/>
                <w:szCs w:val="13"/>
                <w:b w:val="1"/>
                <w:bCs w:val="1"/>
                <w:color w:val="auto"/>
                <w:w w:val="98"/>
              </w:rPr>
              <w:t>Series A Preferred Stock</w:t>
            </w:r>
          </w:p>
        </w:tc>
        <w:tc>
          <w:tcPr>
            <w:tcW w:w="1660" w:type="dxa"/>
            <w:vAlign w:val="bottom"/>
            <w:gridSpan w:val="5"/>
            <w:vMerge w:val="restart"/>
          </w:tcPr>
          <w:p>
            <w:pPr>
              <w:jc w:val="right"/>
              <w:ind w:right="240"/>
              <w:spacing w:after="0"/>
              <w:rPr>
                <w:sz w:val="20"/>
                <w:szCs w:val="20"/>
                <w:color w:val="auto"/>
              </w:rPr>
            </w:pPr>
            <w:r>
              <w:rPr>
                <w:rFonts w:ascii="Arial" w:cs="Arial" w:eastAsia="Arial" w:hAnsi="Arial"/>
                <w:sz w:val="13"/>
                <w:szCs w:val="13"/>
                <w:b w:val="1"/>
                <w:bCs w:val="1"/>
                <w:color w:val="auto"/>
                <w:w w:val="95"/>
              </w:rPr>
              <w:t>Class A Common Stock</w:t>
            </w:r>
          </w:p>
        </w:tc>
        <w:tc>
          <w:tcPr>
            <w:tcW w:w="1640" w:type="dxa"/>
            <w:vAlign w:val="bottom"/>
            <w:gridSpan w:val="5"/>
            <w:vMerge w:val="restart"/>
          </w:tcPr>
          <w:p>
            <w:pPr>
              <w:jc w:val="right"/>
              <w:ind w:right="220"/>
              <w:spacing w:after="0"/>
              <w:rPr>
                <w:sz w:val="20"/>
                <w:szCs w:val="20"/>
                <w:color w:val="auto"/>
              </w:rPr>
            </w:pPr>
            <w:r>
              <w:rPr>
                <w:rFonts w:ascii="Arial" w:cs="Arial" w:eastAsia="Arial" w:hAnsi="Arial"/>
                <w:sz w:val="13"/>
                <w:szCs w:val="13"/>
                <w:b w:val="1"/>
                <w:bCs w:val="1"/>
                <w:color w:val="auto"/>
                <w:w w:val="95"/>
              </w:rPr>
              <w:t>Class B Common Stock</w:t>
            </w:r>
          </w:p>
        </w:tc>
        <w:tc>
          <w:tcPr>
            <w:tcW w:w="8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76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1660" w:type="dxa"/>
            <w:vAlign w:val="bottom"/>
            <w:gridSpan w:val="5"/>
            <w:vMerge w:val="continue"/>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center"/>
              <w:ind w:right="200"/>
              <w:spacing w:after="0" w:line="120" w:lineRule="exact"/>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9"/>
                <w:szCs w:val="9"/>
                <w:color w:val="auto"/>
              </w:rPr>
            </w:pPr>
          </w:p>
        </w:tc>
        <w:tc>
          <w:tcPr>
            <w:tcW w:w="900" w:type="dxa"/>
            <w:vAlign w:val="bottom"/>
            <w:gridSpan w:val="2"/>
            <w:vMerge w:val="restart"/>
          </w:tcPr>
          <w:p>
            <w:pPr>
              <w:spacing w:after="0" w:line="120" w:lineRule="exact"/>
              <w:rPr>
                <w:sz w:val="20"/>
                <w:szCs w:val="20"/>
                <w:color w:val="auto"/>
              </w:rPr>
            </w:pPr>
            <w:r>
              <w:rPr>
                <w:rFonts w:ascii="Arial" w:cs="Arial" w:eastAsia="Arial" w:hAnsi="Arial"/>
                <w:sz w:val="13"/>
                <w:szCs w:val="13"/>
                <w:b w:val="1"/>
                <w:bCs w:val="1"/>
                <w:color w:val="auto"/>
              </w:rPr>
              <w:t>Accumulated</w:t>
            </w:r>
          </w:p>
        </w:tc>
        <w:tc>
          <w:tcPr>
            <w:tcW w:w="980" w:type="dxa"/>
            <w:vAlign w:val="bottom"/>
            <w:gridSpan w:val="3"/>
            <w:vMerge w:val="restart"/>
          </w:tcPr>
          <w:p>
            <w:pPr>
              <w:jc w:val="center"/>
              <w:ind w:right="80"/>
              <w:spacing w:after="0" w:line="120" w:lineRule="exact"/>
              <w:rPr>
                <w:sz w:val="20"/>
                <w:szCs w:val="20"/>
                <w:color w:val="auto"/>
              </w:rPr>
            </w:pPr>
            <w:r>
              <w:rPr>
                <w:rFonts w:ascii="Arial" w:cs="Arial" w:eastAsia="Arial" w:hAnsi="Arial"/>
                <w:sz w:val="13"/>
                <w:szCs w:val="13"/>
                <w:b w:val="1"/>
                <w:bCs w:val="1"/>
                <w:color w:val="auto"/>
                <w:w w:val="84"/>
              </w:rPr>
              <w:t>Comprehensive</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7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760" w:type="dxa"/>
            <w:vAlign w:val="bottom"/>
          </w:tcPr>
          <w:p>
            <w:pPr>
              <w:spacing w:after="0"/>
              <w:rPr>
                <w:sz w:val="14"/>
                <w:szCs w:val="14"/>
                <w:color w:val="auto"/>
              </w:rPr>
            </w:pPr>
          </w:p>
        </w:tc>
        <w:tc>
          <w:tcPr>
            <w:tcW w:w="820" w:type="dxa"/>
            <w:vAlign w:val="bottom"/>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840" w:type="dxa"/>
            <w:vAlign w:val="bottom"/>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3"/>
              </w:rPr>
              <w:t>Amount</w:t>
            </w:r>
          </w:p>
        </w:tc>
        <w:tc>
          <w:tcPr>
            <w:tcW w:w="82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4"/>
                <w:szCs w:val="14"/>
                <w:color w:val="auto"/>
              </w:rPr>
            </w:pPr>
          </w:p>
        </w:tc>
        <w:tc>
          <w:tcPr>
            <w:tcW w:w="900" w:type="dxa"/>
            <w:vAlign w:val="bottom"/>
            <w:gridSpan w:val="2"/>
          </w:tcPr>
          <w:p>
            <w:pPr>
              <w:ind w:left="20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Income</w:t>
            </w:r>
          </w:p>
        </w:tc>
        <w:tc>
          <w:tcPr>
            <w:tcW w:w="160" w:type="dxa"/>
            <w:vAlign w:val="bottom"/>
          </w:tcPr>
          <w:p>
            <w:pPr>
              <w:spacing w:after="0"/>
              <w:rPr>
                <w:sz w:val="14"/>
                <w:szCs w:val="14"/>
                <w:color w:val="auto"/>
              </w:rPr>
            </w:pPr>
          </w:p>
        </w:tc>
        <w:tc>
          <w:tcPr>
            <w:tcW w:w="58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9"/>
        </w:trPr>
        <w:tc>
          <w:tcPr>
            <w:tcW w:w="27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as of June 30, 2023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835,011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24,942</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rPr>
              <w:t>194,336,749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38,035,408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567,794</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(554,179)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38,610</w:t>
            </w:r>
          </w:p>
        </w:tc>
        <w:tc>
          <w:tcPr>
            <w:tcW w:w="0" w:type="dxa"/>
            <w:vAlign w:val="bottom"/>
          </w:tcPr>
          <w:p>
            <w:pPr>
              <w:spacing w:after="0"/>
              <w:rPr>
                <w:sz w:val="1"/>
                <w:szCs w:val="1"/>
                <w:color w:val="auto"/>
              </w:rPr>
            </w:pPr>
          </w:p>
        </w:tc>
      </w:tr>
      <w:tr>
        <w:trPr>
          <w:trHeight w:val="161"/>
        </w:trPr>
        <w:tc>
          <w:tcPr>
            <w:tcW w:w="2760" w:type="dxa"/>
            <w:vAlign w:val="bottom"/>
          </w:tcPr>
          <w:p>
            <w:pPr>
              <w:ind w:left="20"/>
              <w:spacing w:after="0"/>
              <w:rPr>
                <w:sz w:val="20"/>
                <w:szCs w:val="20"/>
                <w:color w:val="auto"/>
              </w:rPr>
            </w:pPr>
            <w:r>
              <w:rPr>
                <w:rFonts w:ascii="Arial" w:cs="Arial" w:eastAsia="Arial" w:hAnsi="Arial"/>
                <w:sz w:val="13"/>
                <w:szCs w:val="13"/>
                <w:color w:val="auto"/>
              </w:rPr>
              <w:t>Issuance of common stock for equity incentive</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60" w:type="dxa"/>
            <w:vAlign w:val="bottom"/>
          </w:tcPr>
          <w:p>
            <w:pPr>
              <w:ind w:left="180"/>
              <w:spacing w:after="0"/>
              <w:rPr>
                <w:sz w:val="20"/>
                <w:szCs w:val="20"/>
                <w:color w:val="auto"/>
              </w:rPr>
            </w:pPr>
            <w:r>
              <w:rPr>
                <w:rFonts w:ascii="Arial" w:cs="Arial" w:eastAsia="Arial" w:hAnsi="Arial"/>
                <w:sz w:val="13"/>
                <w:szCs w:val="13"/>
                <w:color w:val="auto"/>
              </w:rPr>
              <w:t>awards</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2,713,549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659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659</w:t>
            </w:r>
          </w:p>
        </w:tc>
        <w:tc>
          <w:tcPr>
            <w:tcW w:w="0" w:type="dxa"/>
            <w:vAlign w:val="bottom"/>
          </w:tcPr>
          <w:p>
            <w:pPr>
              <w:spacing w:after="0"/>
              <w:rPr>
                <w:sz w:val="1"/>
                <w:szCs w:val="1"/>
                <w:color w:val="auto"/>
              </w:rPr>
            </w:pPr>
          </w:p>
        </w:tc>
      </w:tr>
      <w:tr>
        <w:trPr>
          <w:trHeight w:val="29"/>
        </w:trPr>
        <w:tc>
          <w:tcPr>
            <w:tcW w:w="2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Class A common shares upon</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conversion of Class B common shares</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550,000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(550,000)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760" w:type="dxa"/>
            <w:vAlign w:val="bottom"/>
          </w:tcPr>
          <w:p>
            <w:pPr>
              <w:ind w:left="20"/>
              <w:spacing w:after="0"/>
              <w:rPr>
                <w:sz w:val="20"/>
                <w:szCs w:val="20"/>
                <w:color w:val="auto"/>
              </w:rPr>
            </w:pPr>
            <w:r>
              <w:rPr>
                <w:rFonts w:ascii="Arial" w:cs="Arial" w:eastAsia="Arial" w:hAnsi="Arial"/>
                <w:sz w:val="13"/>
                <w:szCs w:val="13"/>
                <w:color w:val="auto"/>
              </w:rPr>
              <w:t>Issuance of Class A common shares upon</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60" w:type="dxa"/>
            <w:vAlign w:val="bottom"/>
          </w:tcPr>
          <w:p>
            <w:pPr>
              <w:ind w:left="20"/>
              <w:spacing w:after="0"/>
              <w:rPr>
                <w:sz w:val="20"/>
                <w:szCs w:val="20"/>
                <w:color w:val="auto"/>
              </w:rPr>
            </w:pPr>
            <w:r>
              <w:rPr>
                <w:rFonts w:ascii="Arial" w:cs="Arial" w:eastAsia="Arial" w:hAnsi="Arial"/>
                <w:sz w:val="13"/>
                <w:szCs w:val="13"/>
                <w:color w:val="auto"/>
              </w:rPr>
              <w:t>conversion of Series A Preferred Stock</w:t>
            </w:r>
          </w:p>
        </w:tc>
        <w:tc>
          <w:tcPr>
            <w:tcW w:w="740" w:type="dxa"/>
            <w:vAlign w:val="bottom"/>
          </w:tcPr>
          <w:p>
            <w:pPr>
              <w:jc w:val="right"/>
              <w:spacing w:after="0"/>
              <w:rPr>
                <w:sz w:val="20"/>
                <w:szCs w:val="20"/>
                <w:color w:val="auto"/>
              </w:rPr>
            </w:pPr>
            <w:r>
              <w:rPr>
                <w:rFonts w:ascii="Arial" w:cs="Arial" w:eastAsia="Arial" w:hAnsi="Arial"/>
                <w:sz w:val="13"/>
                <w:szCs w:val="13"/>
                <w:color w:val="auto"/>
              </w:rPr>
              <w:t>(353,338)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(10,555)</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11,375,090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10,554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2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6,692</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6,692</w:t>
            </w:r>
          </w:p>
        </w:tc>
        <w:tc>
          <w:tcPr>
            <w:tcW w:w="0" w:type="dxa"/>
            <w:vAlign w:val="bottom"/>
          </w:tcPr>
          <w:p>
            <w:pPr>
              <w:spacing w:after="0"/>
              <w:rPr>
                <w:sz w:val="1"/>
                <w:szCs w:val="1"/>
                <w:color w:val="auto"/>
              </w:rPr>
            </w:pPr>
          </w:p>
        </w:tc>
      </w:tr>
      <w:tr>
        <w:trPr>
          <w:trHeight w:val="173"/>
        </w:trPr>
        <w:tc>
          <w:tcPr>
            <w:tcW w:w="2760" w:type="dxa"/>
            <w:vAlign w:val="bottom"/>
          </w:tcPr>
          <w:p>
            <w:pPr>
              <w:ind w:left="20"/>
              <w:spacing w:after="0"/>
              <w:rPr>
                <w:sz w:val="20"/>
                <w:szCs w:val="20"/>
                <w:color w:val="auto"/>
              </w:rPr>
            </w:pPr>
            <w:r>
              <w:rPr>
                <w:rFonts w:ascii="Arial" w:cs="Arial" w:eastAsia="Arial" w:hAnsi="Arial"/>
                <w:sz w:val="13"/>
                <w:szCs w:val="13"/>
                <w:color w:val="auto"/>
              </w:rPr>
              <w:t>Net loss</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(20,197)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(20,197)</w:t>
            </w:r>
          </w:p>
        </w:tc>
        <w:tc>
          <w:tcPr>
            <w:tcW w:w="0" w:type="dxa"/>
            <w:vAlign w:val="bottom"/>
          </w:tcPr>
          <w:p>
            <w:pPr>
              <w:spacing w:after="0"/>
              <w:rPr>
                <w:sz w:val="1"/>
                <w:szCs w:val="1"/>
                <w:color w:val="auto"/>
              </w:rPr>
            </w:pPr>
          </w:p>
        </w:tc>
      </w:tr>
      <w:tr>
        <w:trPr>
          <w:trHeight w:val="29"/>
        </w:trPr>
        <w:tc>
          <w:tcPr>
            <w:tcW w:w="2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67"/>
        </w:trPr>
        <w:tc>
          <w:tcPr>
            <w:tcW w:w="2760" w:type="dxa"/>
            <w:vAlign w:val="bottom"/>
          </w:tcPr>
          <w:p>
            <w:pPr>
              <w:ind w:left="20"/>
              <w:spacing w:after="0"/>
              <w:rPr>
                <w:sz w:val="20"/>
                <w:szCs w:val="20"/>
                <w:color w:val="auto"/>
              </w:rPr>
            </w:pPr>
            <w:r>
              <w:rPr>
                <w:rFonts w:ascii="Arial" w:cs="Arial" w:eastAsia="Arial" w:hAnsi="Arial"/>
                <w:sz w:val="13"/>
                <w:szCs w:val="13"/>
                <w:b w:val="1"/>
                <w:bCs w:val="1"/>
                <w:color w:val="auto"/>
              </w:rPr>
              <w:t>Balances as of September 30, 2023</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481,673</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14,387</w:t>
            </w:r>
          </w:p>
        </w:tc>
        <w:tc>
          <w:tcPr>
            <w:tcW w:w="8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9"/>
              </w:rPr>
              <w:t>208,975,388</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37,485,408</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585,699</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(574,376)</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197</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25,932</w:t>
            </w:r>
          </w:p>
        </w:tc>
        <w:tc>
          <w:tcPr>
            <w:tcW w:w="0" w:type="dxa"/>
            <w:vAlign w:val="bottom"/>
          </w:tcPr>
          <w:p>
            <w:pPr>
              <w:spacing w:after="0"/>
              <w:rPr>
                <w:sz w:val="1"/>
                <w:szCs w:val="1"/>
                <w:color w:val="auto"/>
              </w:rPr>
            </w:pPr>
          </w:p>
        </w:tc>
      </w:tr>
      <w:tr>
        <w:trPr>
          <w:trHeight w:val="29"/>
        </w:trPr>
        <w:tc>
          <w:tcPr>
            <w:tcW w:w="27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Three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2"/>
                <w:szCs w:val="12"/>
                <w:color w:val="auto"/>
              </w:rPr>
            </w:pPr>
          </w:p>
        </w:tc>
        <w:tc>
          <w:tcPr>
            <w:tcW w:w="1540" w:type="dxa"/>
            <w:vAlign w:val="bottom"/>
            <w:gridSpan w:val="6"/>
          </w:tcPr>
          <w:p>
            <w:pPr>
              <w:ind w:left="160"/>
              <w:spacing w:after="0"/>
              <w:rPr>
                <w:sz w:val="20"/>
                <w:szCs w:val="20"/>
                <w:color w:val="auto"/>
              </w:rPr>
            </w:pPr>
            <w:r>
              <w:rPr>
                <w:rFonts w:ascii="Arial" w:cs="Arial" w:eastAsia="Arial" w:hAnsi="Arial"/>
                <w:sz w:val="13"/>
                <w:szCs w:val="13"/>
                <w:b w:val="1"/>
                <w:bCs w:val="1"/>
                <w:color w:val="auto"/>
              </w:rPr>
              <w:t>Legacy SoundHound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540" w:type="dxa"/>
            <w:vAlign w:val="bottom"/>
            <w:gridSpan w:val="6"/>
          </w:tcPr>
          <w:p>
            <w:pPr>
              <w:jc w:val="right"/>
              <w:ind w:right="160"/>
              <w:spacing w:after="0"/>
              <w:rPr>
                <w:sz w:val="20"/>
                <w:szCs w:val="20"/>
                <w:color w:val="auto"/>
              </w:rPr>
            </w:pPr>
            <w:r>
              <w:rPr>
                <w:rFonts w:ascii="Arial" w:cs="Arial" w:eastAsia="Arial" w:hAnsi="Arial"/>
                <w:sz w:val="13"/>
                <w:szCs w:val="13"/>
                <w:b w:val="1"/>
                <w:bCs w:val="1"/>
                <w:color w:val="auto"/>
                <w:w w:val="89"/>
              </w:rPr>
              <w:t>Redeemable Convertible</w:t>
            </w:r>
          </w:p>
        </w:tc>
        <w:tc>
          <w:tcPr>
            <w:tcW w:w="1480" w:type="dxa"/>
            <w:vAlign w:val="bottom"/>
            <w:gridSpan w:val="5"/>
          </w:tcPr>
          <w:p>
            <w:pPr>
              <w:ind w:left="120"/>
              <w:spacing w:after="0"/>
              <w:rPr>
                <w:sz w:val="20"/>
                <w:szCs w:val="20"/>
                <w:color w:val="auto"/>
              </w:rPr>
            </w:pPr>
            <w:r>
              <w:rPr>
                <w:rFonts w:ascii="Arial" w:cs="Arial" w:eastAsia="Arial" w:hAnsi="Arial"/>
                <w:sz w:val="13"/>
                <w:szCs w:val="13"/>
                <w:b w:val="1"/>
                <w:bCs w:val="1"/>
                <w:color w:val="auto"/>
              </w:rPr>
              <w:t>Legacy SoundHound</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900" w:type="dxa"/>
            <w:vAlign w:val="bottom"/>
          </w:tcPr>
          <w:p>
            <w:pPr>
              <w:spacing w:after="0"/>
              <w:rPr>
                <w:sz w:val="5"/>
                <w:szCs w:val="5"/>
                <w:color w:val="auto"/>
              </w:rPr>
            </w:pPr>
          </w:p>
        </w:tc>
        <w:tc>
          <w:tcPr>
            <w:tcW w:w="1540" w:type="dxa"/>
            <w:vAlign w:val="bottom"/>
            <w:gridSpan w:val="6"/>
            <w:vMerge w:val="restart"/>
          </w:tcPr>
          <w:p>
            <w:pPr>
              <w:ind w:left="300"/>
              <w:spacing w:after="0"/>
              <w:rPr>
                <w:sz w:val="20"/>
                <w:szCs w:val="20"/>
                <w:color w:val="auto"/>
              </w:rPr>
            </w:pPr>
            <w:r>
              <w:rPr>
                <w:rFonts w:ascii="Arial" w:cs="Arial" w:eastAsia="Arial" w:hAnsi="Arial"/>
                <w:sz w:val="13"/>
                <w:szCs w:val="13"/>
                <w:b w:val="1"/>
                <w:bCs w:val="1"/>
                <w:color w:val="auto"/>
              </w:rPr>
              <w:t>Preferred Stock</w:t>
            </w:r>
          </w:p>
        </w:tc>
        <w:tc>
          <w:tcPr>
            <w:tcW w:w="1480" w:type="dxa"/>
            <w:vAlign w:val="bottom"/>
            <w:gridSpan w:val="5"/>
            <w:vMerge w:val="restart"/>
          </w:tcPr>
          <w:p>
            <w:pPr>
              <w:ind w:left="300"/>
              <w:spacing w:after="0"/>
              <w:rPr>
                <w:sz w:val="20"/>
                <w:szCs w:val="20"/>
                <w:color w:val="auto"/>
              </w:rPr>
            </w:pPr>
            <w:r>
              <w:rPr>
                <w:rFonts w:ascii="Arial" w:cs="Arial" w:eastAsia="Arial" w:hAnsi="Arial"/>
                <w:sz w:val="13"/>
                <w:szCs w:val="13"/>
                <w:b w:val="1"/>
                <w:bCs w:val="1"/>
                <w:color w:val="auto"/>
              </w:rPr>
              <w:t>Common Stock</w:t>
            </w:r>
          </w:p>
        </w:tc>
        <w:tc>
          <w:tcPr>
            <w:tcW w:w="1520" w:type="dxa"/>
            <w:vAlign w:val="bottom"/>
            <w:gridSpan w:val="5"/>
            <w:vMerge w:val="restart"/>
          </w:tcPr>
          <w:p>
            <w:pPr>
              <w:ind w:left="80"/>
              <w:spacing w:after="0"/>
              <w:rPr>
                <w:sz w:val="20"/>
                <w:szCs w:val="20"/>
                <w:color w:val="auto"/>
              </w:rPr>
            </w:pPr>
            <w:r>
              <w:rPr>
                <w:rFonts w:ascii="Arial" w:cs="Arial" w:eastAsia="Arial" w:hAnsi="Arial"/>
                <w:sz w:val="13"/>
                <w:szCs w:val="13"/>
                <w:b w:val="1"/>
                <w:bCs w:val="1"/>
                <w:color w:val="auto"/>
                <w:w w:val="96"/>
              </w:rPr>
              <w:t>Class A Common Stock</w:t>
            </w:r>
          </w:p>
        </w:tc>
        <w:tc>
          <w:tcPr>
            <w:tcW w:w="1500" w:type="dxa"/>
            <w:vAlign w:val="bottom"/>
            <w:gridSpan w:val="5"/>
            <w:vMerge w:val="restart"/>
          </w:tcPr>
          <w:p>
            <w:pPr>
              <w:ind w:left="80"/>
              <w:spacing w:after="0"/>
              <w:rPr>
                <w:sz w:val="20"/>
                <w:szCs w:val="20"/>
                <w:color w:val="auto"/>
              </w:rPr>
            </w:pPr>
            <w:r>
              <w:rPr>
                <w:rFonts w:ascii="Arial" w:cs="Arial" w:eastAsia="Arial" w:hAnsi="Arial"/>
                <w:sz w:val="13"/>
                <w:szCs w:val="13"/>
                <w:b w:val="1"/>
                <w:bCs w:val="1"/>
                <w:color w:val="auto"/>
                <w:w w:val="95"/>
              </w:rPr>
              <w:t>Class B Common Stock</w:t>
            </w:r>
          </w:p>
        </w:tc>
        <w:tc>
          <w:tcPr>
            <w:tcW w:w="7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900" w:type="dxa"/>
            <w:vAlign w:val="bottom"/>
          </w:tcPr>
          <w:p>
            <w:pPr>
              <w:spacing w:after="0"/>
              <w:rPr>
                <w:sz w:val="9"/>
                <w:szCs w:val="9"/>
                <w:color w:val="auto"/>
              </w:rPr>
            </w:pPr>
          </w:p>
        </w:tc>
        <w:tc>
          <w:tcPr>
            <w:tcW w:w="1540" w:type="dxa"/>
            <w:vAlign w:val="bottom"/>
            <w:gridSpan w:val="6"/>
            <w:vMerge w:val="continue"/>
          </w:tcPr>
          <w:p>
            <w:pPr>
              <w:spacing w:after="0"/>
              <w:rPr>
                <w:sz w:val="9"/>
                <w:szCs w:val="9"/>
                <w:color w:val="auto"/>
              </w:rPr>
            </w:pPr>
          </w:p>
        </w:tc>
        <w:tc>
          <w:tcPr>
            <w:tcW w:w="1480" w:type="dxa"/>
            <w:vAlign w:val="bottom"/>
            <w:gridSpan w:val="5"/>
            <w:vMerge w:val="continue"/>
          </w:tcPr>
          <w:p>
            <w:pPr>
              <w:spacing w:after="0"/>
              <w:rPr>
                <w:sz w:val="9"/>
                <w:szCs w:val="9"/>
                <w:color w:val="auto"/>
              </w:rPr>
            </w:pPr>
          </w:p>
        </w:tc>
        <w:tc>
          <w:tcPr>
            <w:tcW w:w="1520" w:type="dxa"/>
            <w:vAlign w:val="bottom"/>
            <w:gridSpan w:val="5"/>
            <w:vMerge w:val="continue"/>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vMerge w:val="restart"/>
          </w:tcPr>
          <w:p>
            <w:pPr>
              <w:jc w:val="center"/>
              <w:ind w:right="180"/>
              <w:spacing w:after="0" w:line="120" w:lineRule="exact"/>
              <w:rPr>
                <w:sz w:val="20"/>
                <w:szCs w:val="20"/>
                <w:color w:val="auto"/>
              </w:rPr>
            </w:pPr>
            <w:r>
              <w:rPr>
                <w:rFonts w:ascii="Arial" w:cs="Arial" w:eastAsia="Arial" w:hAnsi="Arial"/>
                <w:sz w:val="13"/>
                <w:szCs w:val="13"/>
                <w:b w:val="1"/>
                <w:bCs w:val="1"/>
                <w:color w:val="auto"/>
                <w:w w:val="92"/>
              </w:rPr>
              <w:t>Paid-in</w:t>
            </w:r>
          </w:p>
        </w:tc>
        <w:tc>
          <w:tcPr>
            <w:tcW w:w="840" w:type="dxa"/>
            <w:vAlign w:val="bottom"/>
            <w:gridSpan w:val="3"/>
            <w:vMerge w:val="restart"/>
          </w:tcPr>
          <w:p>
            <w:pPr>
              <w:ind w:left="20"/>
              <w:spacing w:after="0" w:line="120" w:lineRule="exact"/>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900" w:type="dxa"/>
            <w:vAlign w:val="bottom"/>
          </w:tcPr>
          <w:p>
            <w:pPr>
              <w:spacing w:after="0"/>
              <w:rPr>
                <w:sz w:val="14"/>
                <w:szCs w:val="14"/>
                <w:color w:val="auto"/>
              </w:rPr>
            </w:pPr>
          </w:p>
        </w:tc>
        <w:tc>
          <w:tcPr>
            <w:tcW w:w="540" w:type="dxa"/>
            <w:vAlign w:val="bottom"/>
          </w:tcPr>
          <w:p>
            <w:pPr>
              <w:ind w:left="160"/>
              <w:spacing w:after="0"/>
              <w:rPr>
                <w:sz w:val="20"/>
                <w:szCs w:val="20"/>
                <w:color w:val="auto"/>
              </w:rPr>
            </w:pPr>
            <w:r>
              <w:rPr>
                <w:rFonts w:ascii="Arial" w:cs="Arial" w:eastAsia="Arial" w:hAnsi="Arial"/>
                <w:sz w:val="13"/>
                <w:szCs w:val="13"/>
                <w:b w:val="1"/>
                <w:bCs w:val="1"/>
                <w:color w:val="auto"/>
                <w:w w:val="82"/>
              </w:rPr>
              <w:t>Shares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72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76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Capital</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4"/>
                <w:szCs w:val="14"/>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0"/>
        </w:trPr>
        <w:tc>
          <w:tcPr>
            <w:tcW w:w="29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Balances as of June 30, 2022</w:t>
            </w:r>
          </w:p>
        </w:tc>
        <w:tc>
          <w:tcPr>
            <w:tcW w:w="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8"/>
              </w:rPr>
              <w:t>156,266,549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8"/>
              </w:rPr>
              <w:t>40,396,600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447,136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(442,500)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4,656</w:t>
            </w:r>
          </w:p>
        </w:tc>
        <w:tc>
          <w:tcPr>
            <w:tcW w:w="0" w:type="dxa"/>
            <w:vAlign w:val="bottom"/>
          </w:tcPr>
          <w:p>
            <w:pPr>
              <w:spacing w:after="0"/>
              <w:rPr>
                <w:sz w:val="1"/>
                <w:szCs w:val="1"/>
                <w:color w:val="auto"/>
              </w:rPr>
            </w:pPr>
          </w:p>
        </w:tc>
      </w:tr>
      <w:tr>
        <w:trPr>
          <w:trHeight w:val="173"/>
        </w:trPr>
        <w:tc>
          <w:tcPr>
            <w:tcW w:w="3440" w:type="dxa"/>
            <w:vAlign w:val="bottom"/>
            <w:gridSpan w:val="2"/>
          </w:tcPr>
          <w:p>
            <w:pPr>
              <w:ind w:left="20"/>
              <w:spacing w:after="0"/>
              <w:rPr>
                <w:sz w:val="20"/>
                <w:szCs w:val="20"/>
                <w:color w:val="auto"/>
              </w:rPr>
            </w:pPr>
            <w:r>
              <w:rPr>
                <w:rFonts w:ascii="Arial" w:cs="Arial" w:eastAsia="Arial" w:hAnsi="Arial"/>
                <w:sz w:val="13"/>
                <w:szCs w:val="13"/>
                <w:color w:val="auto"/>
              </w:rPr>
              <w:t>Issuance of common stock for equity incentive awards</w:t>
            </w:r>
          </w:p>
        </w:tc>
        <w:tc>
          <w:tcPr>
            <w:tcW w:w="220" w:type="dxa"/>
            <w:vAlign w:val="bottom"/>
            <w:gridSpan w:val="2"/>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1,029,516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716</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9,173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9,173</w:t>
            </w:r>
          </w:p>
        </w:tc>
        <w:tc>
          <w:tcPr>
            <w:tcW w:w="0" w:type="dxa"/>
            <w:vAlign w:val="bottom"/>
          </w:tcPr>
          <w:p>
            <w:pPr>
              <w:spacing w:after="0"/>
              <w:rPr>
                <w:sz w:val="1"/>
                <w:szCs w:val="1"/>
                <w:color w:val="auto"/>
              </w:rPr>
            </w:pPr>
          </w:p>
        </w:tc>
      </w:tr>
      <w:tr>
        <w:trPr>
          <w:trHeight w:val="173"/>
        </w:trPr>
        <w:tc>
          <w:tcPr>
            <w:tcW w:w="3440" w:type="dxa"/>
            <w:vAlign w:val="bottom"/>
            <w:gridSpan w:val="2"/>
          </w:tcPr>
          <w:p>
            <w:pPr>
              <w:ind w:left="20"/>
              <w:spacing w:after="0"/>
              <w:rPr>
                <w:sz w:val="20"/>
                <w:szCs w:val="20"/>
                <w:color w:val="auto"/>
              </w:rPr>
            </w:pPr>
            <w:r>
              <w:rPr>
                <w:rFonts w:ascii="Arial" w:cs="Arial" w:eastAsia="Arial" w:hAnsi="Arial"/>
                <w:sz w:val="13"/>
                <w:szCs w:val="13"/>
                <w:color w:val="auto"/>
              </w:rPr>
              <w:t>Net loss</w:t>
            </w:r>
          </w:p>
        </w:tc>
        <w:tc>
          <w:tcPr>
            <w:tcW w:w="220" w:type="dxa"/>
            <w:vAlign w:val="bottom"/>
            <w:gridSpan w:val="2"/>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(30,061)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(30,061)</w:t>
            </w:r>
          </w:p>
        </w:tc>
        <w:tc>
          <w:tcPr>
            <w:tcW w:w="0" w:type="dxa"/>
            <w:vAlign w:val="bottom"/>
          </w:tcPr>
          <w:p>
            <w:pPr>
              <w:spacing w:after="0"/>
              <w:rPr>
                <w:sz w:val="1"/>
                <w:szCs w:val="1"/>
                <w:color w:val="auto"/>
              </w:rPr>
            </w:pPr>
          </w:p>
        </w:tc>
      </w:tr>
      <w:tr>
        <w:trPr>
          <w:trHeight w:val="30"/>
        </w:trPr>
        <w:tc>
          <w:tcPr>
            <w:tcW w:w="29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Balances as of September 30, 2022</w:t>
            </w:r>
          </w:p>
        </w:tc>
        <w:tc>
          <w:tcPr>
            <w:tcW w:w="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157,296,065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40,396,600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457,025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(472,561)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(15,516)</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AND STOCKHOLDERS’ EQUITY (DEFICIT)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640" w:type="dxa"/>
            <w:vAlign w:val="bottom"/>
            <w:gridSpan w:val="5"/>
            <w:vMerge w:val="restart"/>
          </w:tcPr>
          <w:p>
            <w:pPr>
              <w:ind w:left="100"/>
              <w:spacing w:after="0"/>
              <w:rPr>
                <w:sz w:val="20"/>
                <w:szCs w:val="20"/>
                <w:color w:val="auto"/>
              </w:rPr>
            </w:pPr>
            <w:r>
              <w:rPr>
                <w:rFonts w:ascii="Arial" w:cs="Arial" w:eastAsia="Arial" w:hAnsi="Arial"/>
                <w:sz w:val="13"/>
                <w:szCs w:val="13"/>
                <w:b w:val="1"/>
                <w:bCs w:val="1"/>
                <w:color w:val="auto"/>
                <w:w w:val="99"/>
              </w:rPr>
              <w:t>Series A Preferred Stock</w:t>
            </w:r>
          </w:p>
        </w:tc>
        <w:tc>
          <w:tcPr>
            <w:tcW w:w="1660" w:type="dxa"/>
            <w:vAlign w:val="bottom"/>
            <w:gridSpan w:val="5"/>
            <w:vMerge w:val="restart"/>
          </w:tcPr>
          <w:p>
            <w:pPr>
              <w:jc w:val="right"/>
              <w:ind w:right="240"/>
              <w:spacing w:after="0"/>
              <w:rPr>
                <w:sz w:val="20"/>
                <w:szCs w:val="20"/>
                <w:color w:val="auto"/>
              </w:rPr>
            </w:pPr>
            <w:r>
              <w:rPr>
                <w:rFonts w:ascii="Arial" w:cs="Arial" w:eastAsia="Arial" w:hAnsi="Arial"/>
                <w:sz w:val="13"/>
                <w:szCs w:val="13"/>
                <w:b w:val="1"/>
                <w:bCs w:val="1"/>
                <w:color w:val="auto"/>
                <w:w w:val="95"/>
              </w:rPr>
              <w:t>Class A Common Stock</w:t>
            </w:r>
          </w:p>
        </w:tc>
        <w:tc>
          <w:tcPr>
            <w:tcW w:w="1660" w:type="dxa"/>
            <w:vAlign w:val="bottom"/>
            <w:gridSpan w:val="5"/>
            <w:vMerge w:val="restart"/>
          </w:tcPr>
          <w:p>
            <w:pPr>
              <w:ind w:left="140"/>
              <w:spacing w:after="0"/>
              <w:rPr>
                <w:sz w:val="20"/>
                <w:szCs w:val="20"/>
                <w:color w:val="auto"/>
              </w:rPr>
            </w:pPr>
            <w:r>
              <w:rPr>
                <w:rFonts w:ascii="Arial" w:cs="Arial" w:eastAsia="Arial" w:hAnsi="Arial"/>
                <w:sz w:val="13"/>
                <w:szCs w:val="13"/>
                <w:b w:val="1"/>
                <w:bCs w:val="1"/>
                <w:color w:val="auto"/>
              </w:rPr>
              <w:t>Class B Common Stock</w:t>
            </w:r>
          </w:p>
        </w:tc>
        <w:tc>
          <w:tcPr>
            <w:tcW w:w="8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900" w:type="dxa"/>
            <w:vAlign w:val="bottom"/>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vMerge w:val="restart"/>
          </w:tcPr>
          <w:p>
            <w:pPr>
              <w:jc w:val="center"/>
              <w:ind w:right="240"/>
              <w:spacing w:after="0" w:line="120" w:lineRule="exact"/>
              <w:rPr>
                <w:sz w:val="20"/>
                <w:szCs w:val="20"/>
                <w:color w:val="auto"/>
              </w:rPr>
            </w:pPr>
            <w:r>
              <w:rPr>
                <w:rFonts w:ascii="Arial" w:cs="Arial" w:eastAsia="Arial" w:hAnsi="Arial"/>
                <w:sz w:val="13"/>
                <w:szCs w:val="13"/>
                <w:b w:val="1"/>
                <w:bCs w:val="1"/>
                <w:color w:val="auto"/>
                <w:w w:val="87"/>
              </w:rPr>
              <w:t>Paid-in</w:t>
            </w:r>
          </w:p>
        </w:tc>
        <w:tc>
          <w:tcPr>
            <w:tcW w:w="840" w:type="dxa"/>
            <w:vAlign w:val="bottom"/>
            <w:gridSpan w:val="3"/>
            <w:vMerge w:val="restart"/>
          </w:tcPr>
          <w:p>
            <w:pPr>
              <w:ind w:left="20"/>
              <w:spacing w:after="0" w:line="120" w:lineRule="exact"/>
              <w:rPr>
                <w:sz w:val="20"/>
                <w:szCs w:val="20"/>
                <w:color w:val="auto"/>
              </w:rPr>
            </w:pPr>
            <w:r>
              <w:rPr>
                <w:rFonts w:ascii="Arial" w:cs="Arial" w:eastAsia="Arial" w:hAnsi="Arial"/>
                <w:sz w:val="13"/>
                <w:szCs w:val="13"/>
                <w:b w:val="1"/>
                <w:bCs w:val="1"/>
                <w:color w:val="auto"/>
                <w:w w:val="97"/>
              </w:rPr>
              <w:t>Accumulated</w:t>
            </w:r>
          </w:p>
        </w:tc>
        <w:tc>
          <w:tcPr>
            <w:tcW w:w="980" w:type="dxa"/>
            <w:vAlign w:val="bottom"/>
            <w:gridSpan w:val="3"/>
            <w:vMerge w:val="restart"/>
          </w:tcPr>
          <w:p>
            <w:pPr>
              <w:jc w:val="center"/>
              <w:ind w:right="80"/>
              <w:spacing w:after="0" w:line="120" w:lineRule="exact"/>
              <w:rPr>
                <w:sz w:val="20"/>
                <w:szCs w:val="20"/>
                <w:color w:val="auto"/>
              </w:rPr>
            </w:pPr>
            <w:r>
              <w:rPr>
                <w:rFonts w:ascii="Arial" w:cs="Arial" w:eastAsia="Arial" w:hAnsi="Arial"/>
                <w:sz w:val="13"/>
                <w:szCs w:val="13"/>
                <w:b w:val="1"/>
                <w:bCs w:val="1"/>
                <w:color w:val="auto"/>
                <w:w w:val="84"/>
              </w:rPr>
              <w:t>Comprehensive</w:t>
            </w: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9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82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82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3"/>
              </w:rPr>
              <w:t>Amount</w:t>
            </w:r>
          </w:p>
        </w:tc>
        <w:tc>
          <w:tcPr>
            <w:tcW w:w="82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Capital</w:t>
            </w:r>
          </w:p>
        </w:tc>
        <w:tc>
          <w:tcPr>
            <w:tcW w:w="1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Income</w:t>
            </w:r>
          </w:p>
        </w:tc>
        <w:tc>
          <w:tcPr>
            <w:tcW w:w="160" w:type="dxa"/>
            <w:vAlign w:val="bottom"/>
          </w:tcPr>
          <w:p>
            <w:pPr>
              <w:spacing w:after="0"/>
              <w:rPr>
                <w:sz w:val="15"/>
                <w:szCs w:val="15"/>
                <w:color w:val="auto"/>
              </w:rPr>
            </w:pPr>
          </w:p>
        </w:tc>
        <w:tc>
          <w:tcPr>
            <w:tcW w:w="58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9"/>
        </w:trPr>
        <w:tc>
          <w:tcPr>
            <w:tcW w:w="29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as of December 31, 2022</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160,297,664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39,735,408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466,857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(503,442)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(36,565)</w:t>
            </w:r>
          </w:p>
        </w:tc>
        <w:tc>
          <w:tcPr>
            <w:tcW w:w="0" w:type="dxa"/>
            <w:vAlign w:val="bottom"/>
          </w:tcPr>
          <w:p>
            <w:pPr>
              <w:spacing w:after="0"/>
              <w:rPr>
                <w:sz w:val="1"/>
                <w:szCs w:val="1"/>
                <w:color w:val="auto"/>
              </w:rPr>
            </w:pPr>
          </w:p>
        </w:tc>
      </w:tr>
      <w:tr>
        <w:trPr>
          <w:trHeight w:val="173"/>
        </w:trPr>
        <w:tc>
          <w:tcPr>
            <w:tcW w:w="2900" w:type="dxa"/>
            <w:vAlign w:val="bottom"/>
          </w:tcPr>
          <w:p>
            <w:pPr>
              <w:ind w:left="20"/>
              <w:spacing w:after="0"/>
              <w:rPr>
                <w:sz w:val="20"/>
                <w:szCs w:val="20"/>
                <w:color w:val="auto"/>
              </w:rPr>
            </w:pPr>
            <w:r>
              <w:rPr>
                <w:rFonts w:ascii="Arial" w:cs="Arial" w:eastAsia="Arial" w:hAnsi="Arial"/>
                <w:sz w:val="13"/>
                <w:szCs w:val="13"/>
                <w:color w:val="auto"/>
                <w:w w:val="91"/>
              </w:rPr>
              <w:t>Issuance of common stock for equity incentive awards</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9,802,634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8,836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8,837</w:t>
            </w:r>
          </w:p>
        </w:tc>
        <w:tc>
          <w:tcPr>
            <w:tcW w:w="0" w:type="dxa"/>
            <w:vAlign w:val="bottom"/>
          </w:tcPr>
          <w:p>
            <w:pPr>
              <w:spacing w:after="0"/>
              <w:rPr>
                <w:sz w:val="1"/>
                <w:szCs w:val="1"/>
                <w:color w:val="auto"/>
              </w:rPr>
            </w:pPr>
          </w:p>
        </w:tc>
      </w:tr>
      <w:tr>
        <w:trPr>
          <w:trHeight w:val="29"/>
        </w:trPr>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4"/>
              </w:rPr>
              <w:t>Issuance of common stock under the ELOC program</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25,000,000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73,762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73,765</w:t>
            </w:r>
          </w:p>
        </w:tc>
        <w:tc>
          <w:tcPr>
            <w:tcW w:w="0" w:type="dxa"/>
            <w:vAlign w:val="bottom"/>
          </w:tcPr>
          <w:p>
            <w:pPr>
              <w:spacing w:after="0"/>
              <w:rPr>
                <w:sz w:val="1"/>
                <w:szCs w:val="1"/>
                <w:color w:val="auto"/>
              </w:rPr>
            </w:pPr>
          </w:p>
        </w:tc>
      </w:tr>
      <w:tr>
        <w:trPr>
          <w:trHeight w:val="173"/>
        </w:trPr>
        <w:tc>
          <w:tcPr>
            <w:tcW w:w="2900" w:type="dxa"/>
            <w:vAlign w:val="bottom"/>
          </w:tcPr>
          <w:p>
            <w:pPr>
              <w:ind w:left="20"/>
              <w:spacing w:after="0"/>
              <w:rPr>
                <w:sz w:val="20"/>
                <w:szCs w:val="20"/>
                <w:color w:val="auto"/>
              </w:rPr>
            </w:pPr>
            <w:r>
              <w:rPr>
                <w:rFonts w:ascii="Arial" w:cs="Arial" w:eastAsia="Arial" w:hAnsi="Arial"/>
                <w:sz w:val="13"/>
                <w:szCs w:val="13"/>
                <w:color w:val="auto"/>
              </w:rPr>
              <w:t>ELOC program fee settled in common stock</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250,000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915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915</w:t>
            </w:r>
          </w:p>
        </w:tc>
        <w:tc>
          <w:tcPr>
            <w:tcW w:w="0" w:type="dxa"/>
            <w:vAlign w:val="bottom"/>
          </w:tcPr>
          <w:p>
            <w:pPr>
              <w:spacing w:after="0"/>
              <w:rPr>
                <w:sz w:val="1"/>
                <w:szCs w:val="1"/>
                <w:color w:val="auto"/>
              </w:rPr>
            </w:pPr>
          </w:p>
        </w:tc>
      </w:tr>
      <w:tr>
        <w:trPr>
          <w:trHeight w:val="29"/>
        </w:trPr>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Issuance of Series A Preferred Stock</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835,011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24,942</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24,942</w:t>
            </w:r>
          </w:p>
        </w:tc>
        <w:tc>
          <w:tcPr>
            <w:tcW w:w="0" w:type="dxa"/>
            <w:vAlign w:val="bottom"/>
          </w:tcPr>
          <w:p>
            <w:pPr>
              <w:spacing w:after="0"/>
              <w:rPr>
                <w:sz w:val="1"/>
                <w:szCs w:val="1"/>
                <w:color w:val="auto"/>
              </w:rPr>
            </w:pPr>
          </w:p>
        </w:tc>
      </w:tr>
      <w:tr>
        <w:trPr>
          <w:trHeight w:val="161"/>
        </w:trPr>
        <w:tc>
          <w:tcPr>
            <w:tcW w:w="2900" w:type="dxa"/>
            <w:vAlign w:val="bottom"/>
          </w:tcPr>
          <w:p>
            <w:pPr>
              <w:ind w:left="20"/>
              <w:spacing w:after="0"/>
              <w:rPr>
                <w:sz w:val="20"/>
                <w:szCs w:val="20"/>
                <w:color w:val="auto"/>
              </w:rPr>
            </w:pPr>
            <w:r>
              <w:rPr>
                <w:rFonts w:ascii="Arial" w:cs="Arial" w:eastAsia="Arial" w:hAnsi="Arial"/>
                <w:sz w:val="13"/>
                <w:szCs w:val="13"/>
                <w:color w:val="auto"/>
                <w:w w:val="92"/>
              </w:rPr>
              <w:t>Issuance of Class A common shares upon conversion</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900" w:type="dxa"/>
            <w:vAlign w:val="bottom"/>
          </w:tcPr>
          <w:p>
            <w:pPr>
              <w:ind w:left="180"/>
              <w:spacing w:after="0"/>
              <w:rPr>
                <w:sz w:val="20"/>
                <w:szCs w:val="20"/>
                <w:color w:val="auto"/>
              </w:rPr>
            </w:pPr>
            <w:r>
              <w:rPr>
                <w:rFonts w:ascii="Arial" w:cs="Arial" w:eastAsia="Arial" w:hAnsi="Arial"/>
                <w:sz w:val="13"/>
                <w:szCs w:val="13"/>
                <w:color w:val="auto"/>
              </w:rPr>
              <w:t>of Class B common shares</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2,250,000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(2,250,000)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9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Issuance of Class A common shares upon conversion</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of Series A Preferred Stock</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(353,338)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(10,555)</w:t>
            </w: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11,375,090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10,554</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900" w:type="dxa"/>
            <w:vAlign w:val="bottom"/>
          </w:tcPr>
          <w:p>
            <w:pPr>
              <w:ind w:left="20"/>
              <w:spacing w:after="0"/>
              <w:rPr>
                <w:sz w:val="20"/>
                <w:szCs w:val="20"/>
                <w:color w:val="auto"/>
              </w:rPr>
            </w:pPr>
            <w:r>
              <w:rPr>
                <w:rFonts w:ascii="Arial" w:cs="Arial" w:eastAsia="Arial" w:hAnsi="Arial"/>
                <w:sz w:val="13"/>
                <w:szCs w:val="13"/>
                <w:color w:val="auto"/>
              </w:rPr>
              <w:t>Issuance of common stock warrants</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4,136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4,136</w:t>
            </w:r>
          </w:p>
        </w:tc>
        <w:tc>
          <w:tcPr>
            <w:tcW w:w="0" w:type="dxa"/>
            <w:vAlign w:val="bottom"/>
          </w:tcPr>
          <w:p>
            <w:pPr>
              <w:spacing w:after="0"/>
              <w:rPr>
                <w:sz w:val="1"/>
                <w:szCs w:val="1"/>
                <w:color w:val="auto"/>
              </w:rPr>
            </w:pPr>
          </w:p>
        </w:tc>
      </w:tr>
      <w:tr>
        <w:trPr>
          <w:trHeight w:val="29"/>
        </w:trPr>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20,639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20,639</w:t>
            </w:r>
          </w:p>
        </w:tc>
        <w:tc>
          <w:tcPr>
            <w:tcW w:w="0" w:type="dxa"/>
            <w:vAlign w:val="bottom"/>
          </w:tcPr>
          <w:p>
            <w:pPr>
              <w:spacing w:after="0"/>
              <w:rPr>
                <w:sz w:val="1"/>
                <w:szCs w:val="1"/>
                <w:color w:val="auto"/>
              </w:rPr>
            </w:pPr>
          </w:p>
        </w:tc>
      </w:tr>
      <w:tr>
        <w:trPr>
          <w:trHeight w:val="173"/>
        </w:trPr>
        <w:tc>
          <w:tcPr>
            <w:tcW w:w="2900" w:type="dxa"/>
            <w:vAlign w:val="bottom"/>
          </w:tcPr>
          <w:p>
            <w:pPr>
              <w:ind w:left="20"/>
              <w:spacing w:after="0"/>
              <w:rPr>
                <w:sz w:val="20"/>
                <w:szCs w:val="20"/>
                <w:color w:val="auto"/>
              </w:rPr>
            </w:pPr>
            <w:r>
              <w:rPr>
                <w:rFonts w:ascii="Arial" w:cs="Arial" w:eastAsia="Arial" w:hAnsi="Arial"/>
                <w:sz w:val="13"/>
                <w:szCs w:val="13"/>
                <w:color w:val="auto"/>
              </w:rPr>
              <w:t>Net loss</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(70,934)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(70,934)</w:t>
            </w:r>
          </w:p>
        </w:tc>
        <w:tc>
          <w:tcPr>
            <w:tcW w:w="0" w:type="dxa"/>
            <w:vAlign w:val="bottom"/>
          </w:tcPr>
          <w:p>
            <w:pPr>
              <w:spacing w:after="0"/>
              <w:rPr>
                <w:sz w:val="1"/>
                <w:szCs w:val="1"/>
                <w:color w:val="auto"/>
              </w:rPr>
            </w:pPr>
          </w:p>
        </w:tc>
      </w:tr>
      <w:tr>
        <w:trPr>
          <w:trHeight w:val="29"/>
        </w:trPr>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195"/>
        </w:trPr>
        <w:tc>
          <w:tcPr>
            <w:tcW w:w="2900" w:type="dxa"/>
            <w:vAlign w:val="bottom"/>
          </w:tcPr>
          <w:p>
            <w:pPr>
              <w:ind w:left="20"/>
              <w:spacing w:after="0"/>
              <w:rPr>
                <w:sz w:val="20"/>
                <w:szCs w:val="20"/>
                <w:color w:val="auto"/>
              </w:rPr>
            </w:pPr>
            <w:r>
              <w:rPr>
                <w:rFonts w:ascii="Arial" w:cs="Arial" w:eastAsia="Arial" w:hAnsi="Arial"/>
                <w:sz w:val="13"/>
                <w:szCs w:val="13"/>
                <w:b w:val="1"/>
                <w:bCs w:val="1"/>
                <w:color w:val="auto"/>
              </w:rPr>
              <w:t>Balances as of September 30, 2023</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481,673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14,387</w:t>
            </w:r>
          </w:p>
        </w:tc>
        <w:tc>
          <w:tcPr>
            <w:tcW w:w="10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208,975,388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37,485,408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585,699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(574,376)</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197</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25,932</w:t>
            </w: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AND STOCKHOLDERS’ EQUITY (DEFICIT)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162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7"/>
              </w:rPr>
              <w:t>Legacy SoundHound</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62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8"/>
              </w:rPr>
              <w:t>Redeemable Convertible</w:t>
            </w:r>
          </w:p>
        </w:tc>
        <w:tc>
          <w:tcPr>
            <w:tcW w:w="1500" w:type="dxa"/>
            <w:vAlign w:val="bottom"/>
            <w:gridSpan w:val="5"/>
          </w:tcPr>
          <w:p>
            <w:pPr>
              <w:ind w:left="140"/>
              <w:spacing w:after="0"/>
              <w:rPr>
                <w:sz w:val="20"/>
                <w:szCs w:val="20"/>
                <w:color w:val="auto"/>
              </w:rPr>
            </w:pPr>
            <w:r>
              <w:rPr>
                <w:rFonts w:ascii="Arial" w:cs="Arial" w:eastAsia="Arial" w:hAnsi="Arial"/>
                <w:sz w:val="13"/>
                <w:szCs w:val="13"/>
                <w:b w:val="1"/>
                <w:bCs w:val="1"/>
                <w:color w:val="auto"/>
              </w:rPr>
              <w:t>Legacy SoundHound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620" w:type="dxa"/>
            <w:vAlign w:val="bottom"/>
            <w:gridSpan w:val="5"/>
            <w:vMerge w:val="restart"/>
          </w:tcPr>
          <w:p>
            <w:pPr>
              <w:jc w:val="center"/>
              <w:ind w:right="80"/>
              <w:spacing w:after="0"/>
              <w:rPr>
                <w:sz w:val="20"/>
                <w:szCs w:val="20"/>
                <w:color w:val="auto"/>
              </w:rPr>
            </w:pPr>
            <w:r>
              <w:rPr>
                <w:rFonts w:ascii="Arial" w:cs="Arial" w:eastAsia="Arial" w:hAnsi="Arial"/>
                <w:sz w:val="13"/>
                <w:szCs w:val="13"/>
                <w:b w:val="1"/>
                <w:bCs w:val="1"/>
                <w:color w:val="auto"/>
                <w:w w:val="88"/>
              </w:rPr>
              <w:t>Preferred Stock</w:t>
            </w:r>
          </w:p>
        </w:tc>
        <w:tc>
          <w:tcPr>
            <w:tcW w:w="1500" w:type="dxa"/>
            <w:vAlign w:val="bottom"/>
            <w:gridSpan w:val="5"/>
            <w:vMerge w:val="restart"/>
          </w:tcPr>
          <w:p>
            <w:pPr>
              <w:ind w:left="300"/>
              <w:spacing w:after="0"/>
              <w:rPr>
                <w:sz w:val="20"/>
                <w:szCs w:val="20"/>
                <w:color w:val="auto"/>
              </w:rPr>
            </w:pPr>
            <w:r>
              <w:rPr>
                <w:rFonts w:ascii="Arial" w:cs="Arial" w:eastAsia="Arial" w:hAnsi="Arial"/>
                <w:sz w:val="13"/>
                <w:szCs w:val="13"/>
                <w:b w:val="1"/>
                <w:bCs w:val="1"/>
                <w:color w:val="auto"/>
              </w:rPr>
              <w:t>Common Stock</w:t>
            </w:r>
          </w:p>
        </w:tc>
        <w:tc>
          <w:tcPr>
            <w:tcW w:w="1520" w:type="dxa"/>
            <w:vAlign w:val="bottom"/>
            <w:gridSpan w:val="5"/>
            <w:vMerge w:val="restart"/>
          </w:tcPr>
          <w:p>
            <w:pPr>
              <w:ind w:left="80"/>
              <w:spacing w:after="0"/>
              <w:rPr>
                <w:sz w:val="20"/>
                <w:szCs w:val="20"/>
                <w:color w:val="auto"/>
              </w:rPr>
            </w:pPr>
            <w:r>
              <w:rPr>
                <w:rFonts w:ascii="Arial" w:cs="Arial" w:eastAsia="Arial" w:hAnsi="Arial"/>
                <w:sz w:val="13"/>
                <w:szCs w:val="13"/>
                <w:b w:val="1"/>
                <w:bCs w:val="1"/>
                <w:color w:val="auto"/>
                <w:w w:val="96"/>
              </w:rPr>
              <w:t>Class A Common Stock</w:t>
            </w:r>
          </w:p>
        </w:tc>
        <w:tc>
          <w:tcPr>
            <w:tcW w:w="1520" w:type="dxa"/>
            <w:vAlign w:val="bottom"/>
            <w:gridSpan w:val="5"/>
            <w:vMerge w:val="restart"/>
          </w:tcPr>
          <w:p>
            <w:pPr>
              <w:ind w:left="100"/>
              <w:spacing w:after="0"/>
              <w:rPr>
                <w:sz w:val="20"/>
                <w:szCs w:val="20"/>
                <w:color w:val="auto"/>
              </w:rPr>
            </w:pPr>
            <w:r>
              <w:rPr>
                <w:rFonts w:ascii="Arial" w:cs="Arial" w:eastAsia="Arial" w:hAnsi="Arial"/>
                <w:sz w:val="13"/>
                <w:szCs w:val="13"/>
                <w:b w:val="1"/>
                <w:bCs w:val="1"/>
                <w:color w:val="auto"/>
                <w:w w:val="95"/>
              </w:rPr>
              <w:t>Class B Common Stock</w:t>
            </w:r>
          </w:p>
        </w:tc>
        <w:tc>
          <w:tcPr>
            <w:tcW w:w="7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780" w:type="dxa"/>
            <w:vAlign w:val="bottom"/>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1520" w:type="dxa"/>
            <w:vAlign w:val="bottom"/>
            <w:gridSpan w:val="5"/>
            <w:vMerge w:val="continue"/>
          </w:tcPr>
          <w:p>
            <w:pPr>
              <w:spacing w:after="0"/>
              <w:rPr>
                <w:sz w:val="9"/>
                <w:szCs w:val="9"/>
                <w:color w:val="auto"/>
              </w:rPr>
            </w:pPr>
          </w:p>
        </w:tc>
        <w:tc>
          <w:tcPr>
            <w:tcW w:w="152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vMerge w:val="restart"/>
          </w:tcPr>
          <w:p>
            <w:pPr>
              <w:ind w:left="40"/>
              <w:spacing w:after="0" w:line="120" w:lineRule="exact"/>
              <w:rPr>
                <w:sz w:val="20"/>
                <w:szCs w:val="20"/>
                <w:color w:val="auto"/>
              </w:rPr>
            </w:pPr>
            <w:r>
              <w:rPr>
                <w:rFonts w:ascii="Arial" w:cs="Arial" w:eastAsia="Arial" w:hAnsi="Arial"/>
                <w:sz w:val="13"/>
                <w:szCs w:val="13"/>
                <w:b w:val="1"/>
                <w:bCs w:val="1"/>
                <w:color w:val="auto"/>
              </w:rPr>
              <w:t>Paid-in</w:t>
            </w:r>
          </w:p>
        </w:tc>
        <w:tc>
          <w:tcPr>
            <w:tcW w:w="840" w:type="dxa"/>
            <w:vAlign w:val="bottom"/>
            <w:gridSpan w:val="3"/>
            <w:vMerge w:val="restart"/>
          </w:tcPr>
          <w:p>
            <w:pPr>
              <w:ind w:left="20"/>
              <w:spacing w:after="0" w:line="120" w:lineRule="exact"/>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7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780" w:type="dxa"/>
            <w:vAlign w:val="bottom"/>
          </w:tcPr>
          <w:p>
            <w:pPr>
              <w:spacing w:after="0"/>
              <w:rPr>
                <w:sz w:val="14"/>
                <w:szCs w:val="14"/>
                <w:color w:val="auto"/>
              </w:rPr>
            </w:pPr>
          </w:p>
        </w:tc>
        <w:tc>
          <w:tcPr>
            <w:tcW w:w="840" w:type="dxa"/>
            <w:vAlign w:val="bottom"/>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76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Capital</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4"/>
                <w:szCs w:val="14"/>
                <w:color w:val="auto"/>
              </w:rPr>
            </w:pPr>
          </w:p>
        </w:tc>
        <w:tc>
          <w:tcPr>
            <w:tcW w:w="56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9"/>
        </w:trPr>
        <w:tc>
          <w:tcPr>
            <w:tcW w:w="27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as of December 31, 2021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19,248,537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279,503</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8"/>
              </w:rPr>
              <w:t>12,280,051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43,491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(386,729)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(343,237)</w:t>
            </w:r>
          </w:p>
        </w:tc>
        <w:tc>
          <w:tcPr>
            <w:tcW w:w="0" w:type="dxa"/>
            <w:vAlign w:val="bottom"/>
          </w:tcPr>
          <w:p>
            <w:pPr>
              <w:spacing w:after="0"/>
              <w:rPr>
                <w:sz w:val="1"/>
                <w:szCs w:val="1"/>
                <w:color w:val="auto"/>
              </w:rPr>
            </w:pPr>
          </w:p>
        </w:tc>
      </w:tr>
      <w:tr>
        <w:trPr>
          <w:trHeight w:val="161"/>
        </w:trPr>
        <w:tc>
          <w:tcPr>
            <w:tcW w:w="2780" w:type="dxa"/>
            <w:vAlign w:val="bottom"/>
          </w:tcPr>
          <w:p>
            <w:pPr>
              <w:ind w:left="20"/>
              <w:spacing w:after="0"/>
              <w:rPr>
                <w:sz w:val="20"/>
                <w:szCs w:val="20"/>
                <w:color w:val="auto"/>
              </w:rPr>
            </w:pPr>
            <w:r>
              <w:rPr>
                <w:rFonts w:ascii="Arial" w:cs="Arial" w:eastAsia="Arial" w:hAnsi="Arial"/>
                <w:sz w:val="13"/>
                <w:szCs w:val="13"/>
                <w:color w:val="auto"/>
                <w:w w:val="98"/>
              </w:rPr>
              <w:t>Retroactive application of Business Combination</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80" w:type="dxa"/>
            <w:vAlign w:val="bottom"/>
          </w:tcPr>
          <w:p>
            <w:pPr>
              <w:ind w:left="180"/>
              <w:spacing w:after="0"/>
              <w:rPr>
                <w:sz w:val="20"/>
                <w:szCs w:val="20"/>
                <w:color w:val="auto"/>
              </w:rPr>
            </w:pPr>
            <w:r>
              <w:rPr>
                <w:rFonts w:ascii="Arial" w:cs="Arial" w:eastAsia="Arial" w:hAnsi="Arial"/>
                <w:sz w:val="13"/>
                <w:szCs w:val="13"/>
                <w:color w:val="auto"/>
              </w:rPr>
              <w:t>(Note 3)</w:t>
            </w:r>
          </w:p>
        </w:tc>
        <w:tc>
          <w:tcPr>
            <w:tcW w:w="760" w:type="dxa"/>
            <w:vAlign w:val="bottom"/>
          </w:tcPr>
          <w:p>
            <w:pPr>
              <w:jc w:val="right"/>
              <w:spacing w:after="0"/>
              <w:rPr>
                <w:sz w:val="20"/>
                <w:szCs w:val="20"/>
                <w:color w:val="auto"/>
              </w:rPr>
            </w:pPr>
            <w:r>
              <w:rPr>
                <w:rFonts w:ascii="Arial" w:cs="Arial" w:eastAsia="Arial" w:hAnsi="Arial"/>
                <w:sz w:val="13"/>
                <w:szCs w:val="13"/>
                <w:color w:val="auto"/>
              </w:rPr>
              <w:t>87,700,789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(279,503)</w:t>
            </w:r>
          </w:p>
        </w:tc>
        <w:tc>
          <w:tcPr>
            <w:tcW w:w="120" w:type="dxa"/>
            <w:vAlign w:val="bottom"/>
            <w:tcBorders>
              <w:right w:val="single" w:sz="8" w:color="auto"/>
            </w:tcBorders>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8"/>
              </w:rPr>
              <w:t>55,978,505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279,504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279,503</w:t>
            </w:r>
          </w:p>
        </w:tc>
        <w:tc>
          <w:tcPr>
            <w:tcW w:w="0" w:type="dxa"/>
            <w:vAlign w:val="bottom"/>
          </w:tcPr>
          <w:p>
            <w:pPr>
              <w:spacing w:after="0"/>
              <w:rPr>
                <w:sz w:val="1"/>
                <w:szCs w:val="1"/>
                <w:color w:val="auto"/>
              </w:rPr>
            </w:pPr>
          </w:p>
        </w:tc>
      </w:tr>
      <w:tr>
        <w:trPr>
          <w:trHeight w:val="29"/>
        </w:trPr>
        <w:tc>
          <w:tcPr>
            <w:tcW w:w="27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balances, beginning of period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rPr>
              <w:t>106,949,326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8"/>
              </w:rPr>
              <w:t>68,258,556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322,995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(386,729)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(63,734)</w:t>
            </w:r>
          </w:p>
        </w:tc>
        <w:tc>
          <w:tcPr>
            <w:tcW w:w="0" w:type="dxa"/>
            <w:vAlign w:val="bottom"/>
          </w:tcPr>
          <w:p>
            <w:pPr>
              <w:spacing w:after="0"/>
              <w:rPr>
                <w:sz w:val="1"/>
                <w:szCs w:val="1"/>
                <w:color w:val="auto"/>
              </w:rPr>
            </w:pPr>
          </w:p>
        </w:tc>
      </w:tr>
      <w:tr>
        <w:trPr>
          <w:trHeight w:val="161"/>
        </w:trPr>
        <w:tc>
          <w:tcPr>
            <w:tcW w:w="2780" w:type="dxa"/>
            <w:vAlign w:val="bottom"/>
          </w:tcPr>
          <w:p>
            <w:pPr>
              <w:ind w:left="20"/>
              <w:spacing w:after="0"/>
              <w:rPr>
                <w:sz w:val="20"/>
                <w:szCs w:val="20"/>
                <w:color w:val="auto"/>
              </w:rPr>
            </w:pPr>
            <w:r>
              <w:rPr>
                <w:rFonts w:ascii="Arial" w:cs="Arial" w:eastAsia="Arial" w:hAnsi="Arial"/>
                <w:sz w:val="13"/>
                <w:szCs w:val="13"/>
                <w:color w:val="auto"/>
              </w:rPr>
              <w:t>Issuance of common stock for equity incentive</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80" w:type="dxa"/>
            <w:vAlign w:val="bottom"/>
          </w:tcPr>
          <w:p>
            <w:pPr>
              <w:ind w:left="180"/>
              <w:spacing w:after="0"/>
              <w:rPr>
                <w:sz w:val="20"/>
                <w:szCs w:val="20"/>
                <w:color w:val="auto"/>
              </w:rPr>
            </w:pPr>
            <w:r>
              <w:rPr>
                <w:rFonts w:ascii="Arial" w:cs="Arial" w:eastAsia="Arial" w:hAnsi="Arial"/>
                <w:sz w:val="13"/>
                <w:szCs w:val="13"/>
                <w:color w:val="auto"/>
              </w:rPr>
              <w:t>awards</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2,582,535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2,840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2,840</w:t>
            </w:r>
          </w:p>
        </w:tc>
        <w:tc>
          <w:tcPr>
            <w:tcW w:w="0" w:type="dxa"/>
            <w:vAlign w:val="bottom"/>
          </w:tcPr>
          <w:p>
            <w:pPr>
              <w:spacing w:after="0"/>
              <w:rPr>
                <w:sz w:val="1"/>
                <w:szCs w:val="1"/>
                <w:color w:val="auto"/>
              </w:rPr>
            </w:pPr>
          </w:p>
        </w:tc>
      </w:tr>
      <w:tr>
        <w:trPr>
          <w:trHeight w:val="29"/>
        </w:trPr>
        <w:tc>
          <w:tcPr>
            <w:tcW w:w="2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exercise of outstanding warrants</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673,416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780" w:type="dxa"/>
            <w:vAlign w:val="bottom"/>
          </w:tcPr>
          <w:p>
            <w:pPr>
              <w:ind w:left="20"/>
              <w:spacing w:after="0"/>
              <w:rPr>
                <w:sz w:val="20"/>
                <w:szCs w:val="20"/>
                <w:color w:val="auto"/>
              </w:rPr>
            </w:pPr>
            <w:r>
              <w:rPr>
                <w:rFonts w:ascii="Arial" w:cs="Arial" w:eastAsia="Arial" w:hAnsi="Arial"/>
                <w:sz w:val="13"/>
                <w:szCs w:val="13"/>
                <w:color w:val="auto"/>
              </w:rPr>
              <w:t>Conversion of convertible note</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2,046,827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20,239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20,239</w:t>
            </w:r>
          </w:p>
        </w:tc>
        <w:tc>
          <w:tcPr>
            <w:tcW w:w="0" w:type="dxa"/>
            <w:vAlign w:val="bottom"/>
          </w:tcPr>
          <w:p>
            <w:pPr>
              <w:spacing w:after="0"/>
              <w:rPr>
                <w:sz w:val="1"/>
                <w:szCs w:val="1"/>
                <w:color w:val="auto"/>
              </w:rPr>
            </w:pPr>
          </w:p>
        </w:tc>
      </w:tr>
      <w:tr>
        <w:trPr>
          <w:trHeight w:val="29"/>
        </w:trPr>
        <w:tc>
          <w:tcPr>
            <w:tcW w:w="2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7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Effect of reverse recapitalization, net of costs (Note</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8"/>
              </w:rPr>
              <w:t>(106,949,326)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rPr>
              <w:t>(73,561,334)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1"/>
              </w:rPr>
              <w:t>140,114,060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40,396,600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780" w:type="dxa"/>
            <w:vAlign w:val="bottom"/>
          </w:tcPr>
          <w:p>
            <w:pPr>
              <w:ind w:left="20"/>
              <w:spacing w:after="0"/>
              <w:rPr>
                <w:sz w:val="20"/>
                <w:szCs w:val="20"/>
                <w:color w:val="auto"/>
              </w:rPr>
            </w:pPr>
            <w:r>
              <w:rPr>
                <w:rFonts w:ascii="Arial" w:cs="Arial" w:eastAsia="Arial" w:hAnsi="Arial"/>
                <w:sz w:val="13"/>
                <w:szCs w:val="13"/>
                <w:color w:val="auto"/>
              </w:rPr>
              <w:t>PIPE financing</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11,300,000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86,584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86,585</w:t>
            </w:r>
          </w:p>
        </w:tc>
        <w:tc>
          <w:tcPr>
            <w:tcW w:w="0" w:type="dxa"/>
            <w:vAlign w:val="bottom"/>
          </w:tcPr>
          <w:p>
            <w:pPr>
              <w:spacing w:after="0"/>
              <w:rPr>
                <w:sz w:val="1"/>
                <w:szCs w:val="1"/>
                <w:color w:val="auto"/>
              </w:rPr>
            </w:pPr>
          </w:p>
        </w:tc>
      </w:tr>
      <w:tr>
        <w:trPr>
          <w:trHeight w:val="29"/>
        </w:trPr>
        <w:tc>
          <w:tcPr>
            <w:tcW w:w="2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7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Issuance of common stock pursuant to the Business</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Combination</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4,693,050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4,105</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4,106</w:t>
            </w:r>
          </w:p>
        </w:tc>
        <w:tc>
          <w:tcPr>
            <w:tcW w:w="0" w:type="dxa"/>
            <w:vAlign w:val="bottom"/>
          </w:tcPr>
          <w:p>
            <w:pPr>
              <w:spacing w:after="0"/>
              <w:rPr>
                <w:sz w:val="1"/>
                <w:szCs w:val="1"/>
                <w:color w:val="auto"/>
              </w:rPr>
            </w:pPr>
          </w:p>
        </w:tc>
      </w:tr>
      <w:tr>
        <w:trPr>
          <w:trHeight w:val="161"/>
        </w:trPr>
        <w:tc>
          <w:tcPr>
            <w:tcW w:w="2780" w:type="dxa"/>
            <w:vAlign w:val="bottom"/>
          </w:tcPr>
          <w:p>
            <w:pPr>
              <w:ind w:left="20"/>
              <w:spacing w:after="0"/>
              <w:rPr>
                <w:sz w:val="20"/>
                <w:szCs w:val="20"/>
                <w:color w:val="auto"/>
              </w:rPr>
            </w:pPr>
            <w:r>
              <w:rPr>
                <w:rFonts w:ascii="Arial" w:cs="Arial" w:eastAsia="Arial" w:hAnsi="Arial"/>
                <w:sz w:val="13"/>
                <w:szCs w:val="13"/>
                <w:color w:val="auto"/>
              </w:rPr>
              <w:t>Issuance of common stock for equity incentive</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80" w:type="dxa"/>
            <w:vAlign w:val="bottom"/>
          </w:tcPr>
          <w:p>
            <w:pPr>
              <w:ind w:left="180"/>
              <w:spacing w:after="0"/>
              <w:rPr>
                <w:sz w:val="20"/>
                <w:szCs w:val="20"/>
                <w:color w:val="auto"/>
              </w:rPr>
            </w:pPr>
            <w:r>
              <w:rPr>
                <w:rFonts w:ascii="Arial" w:cs="Arial" w:eastAsia="Arial" w:hAnsi="Arial"/>
                <w:sz w:val="13"/>
                <w:szCs w:val="13"/>
                <w:color w:val="auto"/>
              </w:rPr>
              <w:t>awards</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1,188,955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780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780</w:t>
            </w:r>
          </w:p>
        </w:tc>
        <w:tc>
          <w:tcPr>
            <w:tcW w:w="0" w:type="dxa"/>
            <w:vAlign w:val="bottom"/>
          </w:tcPr>
          <w:p>
            <w:pPr>
              <w:spacing w:after="0"/>
              <w:rPr>
                <w:sz w:val="1"/>
                <w:szCs w:val="1"/>
                <w:color w:val="auto"/>
              </w:rPr>
            </w:pPr>
          </w:p>
        </w:tc>
      </w:tr>
      <w:tr>
        <w:trPr>
          <w:trHeight w:val="29"/>
        </w:trPr>
        <w:tc>
          <w:tcPr>
            <w:tcW w:w="2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19,500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19,500</w:t>
            </w:r>
          </w:p>
        </w:tc>
        <w:tc>
          <w:tcPr>
            <w:tcW w:w="0" w:type="dxa"/>
            <w:vAlign w:val="bottom"/>
          </w:tcPr>
          <w:p>
            <w:pPr>
              <w:spacing w:after="0"/>
              <w:rPr>
                <w:sz w:val="1"/>
                <w:szCs w:val="1"/>
                <w:color w:val="auto"/>
              </w:rPr>
            </w:pPr>
          </w:p>
        </w:tc>
      </w:tr>
      <w:tr>
        <w:trPr>
          <w:trHeight w:val="173"/>
        </w:trPr>
        <w:tc>
          <w:tcPr>
            <w:tcW w:w="2780" w:type="dxa"/>
            <w:vAlign w:val="bottom"/>
          </w:tcPr>
          <w:p>
            <w:pPr>
              <w:ind w:left="20"/>
              <w:spacing w:after="0"/>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(85,832)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(85,832)</w:t>
            </w:r>
          </w:p>
        </w:tc>
        <w:tc>
          <w:tcPr>
            <w:tcW w:w="0" w:type="dxa"/>
            <w:vAlign w:val="bottom"/>
          </w:tcPr>
          <w:p>
            <w:pPr>
              <w:spacing w:after="0"/>
              <w:rPr>
                <w:sz w:val="1"/>
                <w:szCs w:val="1"/>
                <w:color w:val="auto"/>
              </w:rPr>
            </w:pPr>
          </w:p>
        </w:tc>
      </w:tr>
      <w:tr>
        <w:trPr>
          <w:trHeight w:val="30"/>
        </w:trPr>
        <w:tc>
          <w:tcPr>
            <w:tcW w:w="27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Balances as of September 30, 2022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157,296,065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40,396,600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457,025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(472,561)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(15,516)</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49" w:lineRule="exact"/>
        <w:rPr>
          <w:sz w:val="20"/>
          <w:szCs w:val="20"/>
          <w:color w:val="auto"/>
        </w:rPr>
      </w:pPr>
    </w:p>
    <w:p>
      <w:pPr>
        <w:jc w:val="center"/>
        <w:ind w:left="8160"/>
        <w:spacing w:after="0"/>
        <w:rPr>
          <w:sz w:val="20"/>
          <w:szCs w:val="20"/>
          <w:color w:val="auto"/>
        </w:rPr>
      </w:pPr>
      <w:r>
        <w:rPr>
          <w:rFonts w:ascii="Arial" w:cs="Arial" w:eastAsia="Arial" w:hAnsi="Arial"/>
          <w:sz w:val="11"/>
          <w:szCs w:val="11"/>
          <w:b w:val="1"/>
          <w:bCs w:val="1"/>
          <w:color w:val="auto"/>
        </w:rPr>
        <w:t>Nine Months Ended</w:t>
      </w:r>
    </w:p>
    <w:p>
      <w:pPr>
        <w:spacing w:after="0" w:line="14" w:lineRule="exact"/>
        <w:rPr>
          <w:sz w:val="20"/>
          <w:szCs w:val="20"/>
          <w:color w:val="auto"/>
        </w:rPr>
      </w:pPr>
    </w:p>
    <w:p>
      <w:pPr>
        <w:jc w:val="center"/>
        <w:ind w:left="8160"/>
        <w:spacing w:after="0"/>
        <w:rPr>
          <w:sz w:val="20"/>
          <w:szCs w:val="20"/>
          <w:color w:val="auto"/>
        </w:rPr>
      </w:pPr>
      <w:r>
        <w:rPr>
          <w:rFonts w:ascii="Arial" w:cs="Arial" w:eastAsia="Arial" w:hAnsi="Arial"/>
          <w:sz w:val="11"/>
          <w:szCs w:val="11"/>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19685</wp:posOffset>
            </wp:positionV>
            <wp:extent cx="19456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180" w:type="dxa"/>
            <w:vAlign w:val="bottom"/>
          </w:tcPr>
          <w:p>
            <w:pPr>
              <w:spacing w:after="0"/>
              <w:rPr>
                <w:sz w:val="12"/>
                <w:szCs w:val="12"/>
                <w:color w:val="auto"/>
              </w:rPr>
            </w:pPr>
          </w:p>
        </w:tc>
        <w:tc>
          <w:tcPr>
            <w:tcW w:w="960" w:type="dxa"/>
            <w:vAlign w:val="bottom"/>
          </w:tcPr>
          <w:p>
            <w:pPr>
              <w:jc w:val="right"/>
              <w:ind w:right="71"/>
              <w:spacing w:after="0"/>
              <w:rPr>
                <w:sz w:val="20"/>
                <w:szCs w:val="20"/>
                <w:color w:val="auto"/>
              </w:rPr>
            </w:pPr>
            <w:r>
              <w:rPr>
                <w:rFonts w:ascii="Arial" w:cs="Arial" w:eastAsia="Arial" w:hAnsi="Arial"/>
                <w:sz w:val="11"/>
                <w:szCs w:val="11"/>
                <w:b w:val="1"/>
                <w:bCs w:val="1"/>
                <w:color w:val="auto"/>
              </w:rPr>
              <w:t>2023</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586"/>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36"/>
        </w:trPr>
        <w:tc>
          <w:tcPr>
            <w:tcW w:w="8180" w:type="dxa"/>
            <w:vAlign w:val="bottom"/>
            <w:vMerge w:val="restart"/>
          </w:tcPr>
          <w:p>
            <w:pPr>
              <w:ind w:left="20"/>
              <w:spacing w:after="0"/>
              <w:rPr>
                <w:sz w:val="20"/>
                <w:szCs w:val="20"/>
                <w:color w:val="auto"/>
              </w:rPr>
            </w:pPr>
            <w:r>
              <w:rPr>
                <w:rFonts w:ascii="Arial" w:cs="Arial" w:eastAsia="Arial" w:hAnsi="Arial"/>
                <w:sz w:val="11"/>
                <w:szCs w:val="11"/>
                <w:color w:val="auto"/>
              </w:rPr>
              <w:t>Cash flows from operating activities:</w:t>
            </w: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818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Net loss</w:t>
            </w:r>
          </w:p>
        </w:tc>
        <w:tc>
          <w:tcPr>
            <w:tcW w:w="960" w:type="dxa"/>
            <w:vAlign w:val="bottom"/>
            <w:tcBorders>
              <w:bottom w:val="single" w:sz="8" w:color="CCEEFF"/>
            </w:tcBorders>
            <w:shd w:val="clear" w:color="auto" w:fill="CCEEFF"/>
          </w:tcPr>
          <w:p>
            <w:pPr>
              <w:jc w:val="right"/>
              <w:ind w:right="85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(70,934)</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(85,832)</w:t>
            </w:r>
          </w:p>
        </w:tc>
        <w:tc>
          <w:tcPr>
            <w:tcW w:w="0" w:type="dxa"/>
            <w:vAlign w:val="bottom"/>
          </w:tcPr>
          <w:p>
            <w:pPr>
              <w:spacing w:after="0"/>
              <w:rPr>
                <w:sz w:val="1"/>
                <w:szCs w:val="1"/>
                <w:color w:val="auto"/>
              </w:rPr>
            </w:pPr>
          </w:p>
        </w:tc>
      </w:tr>
      <w:tr>
        <w:trPr>
          <w:trHeight w:val="153"/>
        </w:trPr>
        <w:tc>
          <w:tcPr>
            <w:tcW w:w="8180" w:type="dxa"/>
            <w:vAlign w:val="bottom"/>
          </w:tcPr>
          <w:p>
            <w:pPr>
              <w:ind w:left="100"/>
              <w:spacing w:after="0"/>
              <w:rPr>
                <w:sz w:val="20"/>
                <w:szCs w:val="20"/>
                <w:color w:val="auto"/>
              </w:rPr>
            </w:pPr>
            <w:r>
              <w:rPr>
                <w:rFonts w:ascii="Arial" w:cs="Arial" w:eastAsia="Arial" w:hAnsi="Arial"/>
                <w:sz w:val="11"/>
                <w:szCs w:val="11"/>
                <w:color w:val="auto"/>
              </w:rPr>
              <w:t>Adjustments to reconcile net loss to net cash used in operating activities:</w:t>
            </w: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Depreciation and amortization</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1,941</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3,197</w:t>
            </w:r>
          </w:p>
        </w:tc>
        <w:tc>
          <w:tcPr>
            <w:tcW w:w="0" w:type="dxa"/>
            <w:vAlign w:val="bottom"/>
          </w:tcPr>
          <w:p>
            <w:pPr>
              <w:spacing w:after="0"/>
              <w:rPr>
                <w:sz w:val="1"/>
                <w:szCs w:val="1"/>
                <w:color w:val="auto"/>
              </w:rPr>
            </w:pPr>
          </w:p>
        </w:tc>
      </w:tr>
      <w:tr>
        <w:trPr>
          <w:trHeight w:val="153"/>
        </w:trPr>
        <w:tc>
          <w:tcPr>
            <w:tcW w:w="8180" w:type="dxa"/>
            <w:vAlign w:val="bottom"/>
          </w:tcPr>
          <w:p>
            <w:pPr>
              <w:ind w:left="180"/>
              <w:spacing w:after="0"/>
              <w:rPr>
                <w:sz w:val="20"/>
                <w:szCs w:val="20"/>
                <w:color w:val="auto"/>
              </w:rPr>
            </w:pPr>
            <w:r>
              <w:rPr>
                <w:rFonts w:ascii="Arial" w:cs="Arial" w:eastAsia="Arial" w:hAnsi="Arial"/>
                <w:sz w:val="11"/>
                <w:szCs w:val="11"/>
                <w:color w:val="auto"/>
              </w:rPr>
              <w:t>Stock-based compensation</w:t>
            </w:r>
          </w:p>
        </w:tc>
        <w:tc>
          <w:tcPr>
            <w:tcW w:w="96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20,639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19,500</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Change in fair value of derivative and warrant liability</w:t>
            </w:r>
          </w:p>
        </w:tc>
        <w:tc>
          <w:tcPr>
            <w:tcW w:w="9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606</w:t>
            </w:r>
          </w:p>
        </w:tc>
        <w:tc>
          <w:tcPr>
            <w:tcW w:w="0" w:type="dxa"/>
            <w:vAlign w:val="bottom"/>
          </w:tcPr>
          <w:p>
            <w:pPr>
              <w:spacing w:after="0"/>
              <w:rPr>
                <w:sz w:val="1"/>
                <w:szCs w:val="1"/>
                <w:color w:val="auto"/>
              </w:rPr>
            </w:pPr>
          </w:p>
        </w:tc>
      </w:tr>
      <w:tr>
        <w:trPr>
          <w:trHeight w:val="153"/>
        </w:trPr>
        <w:tc>
          <w:tcPr>
            <w:tcW w:w="8180" w:type="dxa"/>
            <w:vAlign w:val="bottom"/>
          </w:tcPr>
          <w:p>
            <w:pPr>
              <w:ind w:left="180"/>
              <w:spacing w:after="0"/>
              <w:rPr>
                <w:sz w:val="20"/>
                <w:szCs w:val="20"/>
                <w:color w:val="auto"/>
              </w:rPr>
            </w:pPr>
            <w:r>
              <w:rPr>
                <w:rFonts w:ascii="Arial" w:cs="Arial" w:eastAsia="Arial" w:hAnsi="Arial"/>
                <w:sz w:val="11"/>
                <w:szCs w:val="11"/>
                <w:color w:val="auto"/>
              </w:rPr>
              <w:t>Loss on change in fair value of ELOC program</w:t>
            </w:r>
          </w:p>
        </w:tc>
        <w:tc>
          <w:tcPr>
            <w:tcW w:w="96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1,901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1,075</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Non-cash interest expense</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3,532</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2,237</w:t>
            </w:r>
          </w:p>
        </w:tc>
        <w:tc>
          <w:tcPr>
            <w:tcW w:w="0" w:type="dxa"/>
            <w:vAlign w:val="bottom"/>
          </w:tcPr>
          <w:p>
            <w:pPr>
              <w:spacing w:after="0"/>
              <w:rPr>
                <w:sz w:val="1"/>
                <w:szCs w:val="1"/>
                <w:color w:val="auto"/>
              </w:rPr>
            </w:pPr>
          </w:p>
        </w:tc>
      </w:tr>
      <w:tr>
        <w:trPr>
          <w:trHeight w:val="153"/>
        </w:trPr>
        <w:tc>
          <w:tcPr>
            <w:tcW w:w="8180" w:type="dxa"/>
            <w:vAlign w:val="bottom"/>
          </w:tcPr>
          <w:p>
            <w:pPr>
              <w:ind w:left="180"/>
              <w:spacing w:after="0"/>
              <w:rPr>
                <w:sz w:val="20"/>
                <w:szCs w:val="20"/>
                <w:color w:val="auto"/>
              </w:rPr>
            </w:pPr>
            <w:r>
              <w:rPr>
                <w:rFonts w:ascii="Arial" w:cs="Arial" w:eastAsia="Arial" w:hAnsi="Arial"/>
                <w:sz w:val="11"/>
                <w:szCs w:val="11"/>
                <w:color w:val="auto"/>
              </w:rPr>
              <w:t>Non-cash lease expense</w:t>
            </w:r>
          </w:p>
        </w:tc>
        <w:tc>
          <w:tcPr>
            <w:tcW w:w="96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2,383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2,168</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Loss on debt extinguishment</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837</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8180" w:type="dxa"/>
            <w:vAlign w:val="bottom"/>
          </w:tcPr>
          <w:p>
            <w:pPr>
              <w:ind w:left="180"/>
              <w:spacing w:after="0"/>
              <w:rPr>
                <w:sz w:val="20"/>
                <w:szCs w:val="20"/>
                <w:color w:val="auto"/>
              </w:rPr>
            </w:pPr>
            <w:r>
              <w:rPr>
                <w:rFonts w:ascii="Arial" w:cs="Arial" w:eastAsia="Arial" w:hAnsi="Arial"/>
                <w:sz w:val="11"/>
                <w:szCs w:val="11"/>
                <w:color w:val="auto"/>
              </w:rPr>
              <w:t>Other non-cash losses, net</w:t>
            </w:r>
          </w:p>
        </w:tc>
        <w:tc>
          <w:tcPr>
            <w:tcW w:w="96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262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Changes in operating assets and liabilities:</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180" w:type="dxa"/>
            <w:vAlign w:val="bottom"/>
          </w:tcPr>
          <w:p>
            <w:pPr>
              <w:ind w:left="260"/>
              <w:spacing w:after="0"/>
              <w:rPr>
                <w:sz w:val="20"/>
                <w:szCs w:val="20"/>
                <w:color w:val="auto"/>
              </w:rPr>
            </w:pPr>
            <w:r>
              <w:rPr>
                <w:rFonts w:ascii="Arial" w:cs="Arial" w:eastAsia="Arial" w:hAnsi="Arial"/>
                <w:sz w:val="11"/>
                <w:szCs w:val="11"/>
                <w:color w:val="auto"/>
              </w:rPr>
              <w:t>Accounts receivable, net</w:t>
            </w:r>
          </w:p>
        </w:tc>
        <w:tc>
          <w:tcPr>
            <w:tcW w:w="96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(729)</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Prepaid expenses</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155</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(2,498)</w:t>
            </w:r>
          </w:p>
        </w:tc>
        <w:tc>
          <w:tcPr>
            <w:tcW w:w="0" w:type="dxa"/>
            <w:vAlign w:val="bottom"/>
          </w:tcPr>
          <w:p>
            <w:pPr>
              <w:spacing w:after="0"/>
              <w:rPr>
                <w:sz w:val="1"/>
                <w:szCs w:val="1"/>
                <w:color w:val="auto"/>
              </w:rPr>
            </w:pPr>
          </w:p>
        </w:tc>
      </w:tr>
      <w:tr>
        <w:trPr>
          <w:trHeight w:val="153"/>
        </w:trPr>
        <w:tc>
          <w:tcPr>
            <w:tcW w:w="8180" w:type="dxa"/>
            <w:vAlign w:val="bottom"/>
          </w:tcPr>
          <w:p>
            <w:pPr>
              <w:ind w:left="260"/>
              <w:spacing w:after="0"/>
              <w:rPr>
                <w:sz w:val="20"/>
                <w:szCs w:val="20"/>
                <w:color w:val="auto"/>
              </w:rPr>
            </w:pPr>
            <w:r>
              <w:rPr>
                <w:rFonts w:ascii="Arial" w:cs="Arial" w:eastAsia="Arial" w:hAnsi="Arial"/>
                <w:sz w:val="11"/>
                <w:szCs w:val="11"/>
                <w:color w:val="auto"/>
              </w:rPr>
              <w:t>Other current assets</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(616)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Contract assets</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(9,987)</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(6,176)</w:t>
            </w:r>
          </w:p>
        </w:tc>
        <w:tc>
          <w:tcPr>
            <w:tcW w:w="0" w:type="dxa"/>
            <w:vAlign w:val="bottom"/>
          </w:tcPr>
          <w:p>
            <w:pPr>
              <w:spacing w:after="0"/>
              <w:rPr>
                <w:sz w:val="1"/>
                <w:szCs w:val="1"/>
                <w:color w:val="auto"/>
              </w:rPr>
            </w:pPr>
          </w:p>
        </w:tc>
      </w:tr>
      <w:tr>
        <w:trPr>
          <w:trHeight w:val="153"/>
        </w:trPr>
        <w:tc>
          <w:tcPr>
            <w:tcW w:w="8180" w:type="dxa"/>
            <w:vAlign w:val="bottom"/>
          </w:tcPr>
          <w:p>
            <w:pPr>
              <w:ind w:left="260"/>
              <w:spacing w:after="0"/>
              <w:rPr>
                <w:sz w:val="20"/>
                <w:szCs w:val="20"/>
                <w:color w:val="auto"/>
              </w:rPr>
            </w:pPr>
            <w:r>
              <w:rPr>
                <w:rFonts w:ascii="Arial" w:cs="Arial" w:eastAsia="Arial" w:hAnsi="Arial"/>
                <w:sz w:val="11"/>
                <w:szCs w:val="11"/>
                <w:color w:val="auto"/>
              </w:rPr>
              <w:t>Other non-current assets</w:t>
            </w:r>
          </w:p>
        </w:tc>
        <w:tc>
          <w:tcPr>
            <w:tcW w:w="96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690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110</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Accounts payable</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(635)</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398</w:t>
            </w:r>
          </w:p>
        </w:tc>
        <w:tc>
          <w:tcPr>
            <w:tcW w:w="0" w:type="dxa"/>
            <w:vAlign w:val="bottom"/>
          </w:tcPr>
          <w:p>
            <w:pPr>
              <w:spacing w:after="0"/>
              <w:rPr>
                <w:sz w:val="1"/>
                <w:szCs w:val="1"/>
                <w:color w:val="auto"/>
              </w:rPr>
            </w:pPr>
          </w:p>
        </w:tc>
      </w:tr>
      <w:tr>
        <w:trPr>
          <w:trHeight w:val="153"/>
        </w:trPr>
        <w:tc>
          <w:tcPr>
            <w:tcW w:w="8180" w:type="dxa"/>
            <w:vAlign w:val="bottom"/>
          </w:tcPr>
          <w:p>
            <w:pPr>
              <w:ind w:left="260"/>
              <w:spacing w:after="0"/>
              <w:rPr>
                <w:sz w:val="20"/>
                <w:szCs w:val="20"/>
                <w:color w:val="auto"/>
              </w:rPr>
            </w:pPr>
            <w:r>
              <w:rPr>
                <w:rFonts w:ascii="Arial" w:cs="Arial" w:eastAsia="Arial" w:hAnsi="Arial"/>
                <w:sz w:val="11"/>
                <w:szCs w:val="11"/>
                <w:color w:val="auto"/>
              </w:rPr>
              <w:t>Accrued liabilities</w:t>
            </w:r>
          </w:p>
        </w:tc>
        <w:tc>
          <w:tcPr>
            <w:tcW w:w="96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1,906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1,440</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Operating lease liabilities</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(2,772)</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(3,085)</w:t>
            </w:r>
          </w:p>
        </w:tc>
        <w:tc>
          <w:tcPr>
            <w:tcW w:w="0" w:type="dxa"/>
            <w:vAlign w:val="bottom"/>
          </w:tcPr>
          <w:p>
            <w:pPr>
              <w:spacing w:after="0"/>
              <w:rPr>
                <w:sz w:val="1"/>
                <w:szCs w:val="1"/>
                <w:color w:val="auto"/>
              </w:rPr>
            </w:pPr>
          </w:p>
        </w:tc>
      </w:tr>
      <w:tr>
        <w:trPr>
          <w:trHeight w:val="153"/>
        </w:trPr>
        <w:tc>
          <w:tcPr>
            <w:tcW w:w="8180" w:type="dxa"/>
            <w:vAlign w:val="bottom"/>
          </w:tcPr>
          <w:p>
            <w:pPr>
              <w:ind w:left="260"/>
              <w:spacing w:after="0"/>
              <w:rPr>
                <w:sz w:val="20"/>
                <w:szCs w:val="20"/>
                <w:color w:val="auto"/>
              </w:rPr>
            </w:pPr>
            <w:r>
              <w:rPr>
                <w:rFonts w:ascii="Arial" w:cs="Arial" w:eastAsia="Arial" w:hAnsi="Arial"/>
                <w:sz w:val="11"/>
                <w:szCs w:val="11"/>
                <w:color w:val="auto"/>
              </w:rPr>
              <w:t>Deferred revenue</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(5,532)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(6,815)</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Other non-current liabilities</w:t>
            </w:r>
          </w:p>
        </w:tc>
        <w:tc>
          <w:tcPr>
            <w:tcW w:w="9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1,797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797</w:t>
            </w:r>
          </w:p>
        </w:tc>
        <w:tc>
          <w:tcPr>
            <w:tcW w:w="0" w:type="dxa"/>
            <w:vAlign w:val="bottom"/>
          </w:tcPr>
          <w:p>
            <w:pPr>
              <w:spacing w:after="0"/>
              <w:rPr>
                <w:sz w:val="1"/>
                <w:szCs w:val="1"/>
                <w:color w:val="auto"/>
              </w:rPr>
            </w:pPr>
          </w:p>
        </w:tc>
      </w:tr>
      <w:tr>
        <w:trPr>
          <w:trHeight w:val="147"/>
        </w:trPr>
        <w:tc>
          <w:tcPr>
            <w:tcW w:w="8180" w:type="dxa"/>
            <w:vAlign w:val="bottom"/>
          </w:tcPr>
          <w:p>
            <w:pPr>
              <w:ind w:left="440"/>
              <w:spacing w:after="0"/>
              <w:rPr>
                <w:sz w:val="20"/>
                <w:szCs w:val="20"/>
                <w:color w:val="auto"/>
              </w:rPr>
            </w:pPr>
            <w:r>
              <w:rPr>
                <w:rFonts w:ascii="Arial" w:cs="Arial" w:eastAsia="Arial" w:hAnsi="Arial"/>
                <w:sz w:val="11"/>
                <w:szCs w:val="11"/>
                <w:color w:val="auto"/>
              </w:rPr>
              <w:t>Net cash used in operating activities</w:t>
            </w:r>
          </w:p>
        </w:tc>
        <w:tc>
          <w:tcPr>
            <w:tcW w:w="9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(54,395)</w:t>
            </w: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(73,605)</w:t>
            </w:r>
          </w:p>
        </w:tc>
        <w:tc>
          <w:tcPr>
            <w:tcW w:w="0" w:type="dxa"/>
            <w:vAlign w:val="bottom"/>
          </w:tcPr>
          <w:p>
            <w:pPr>
              <w:spacing w:after="0"/>
              <w:rPr>
                <w:sz w:val="1"/>
                <w:szCs w:val="1"/>
                <w:color w:val="auto"/>
              </w:rPr>
            </w:pPr>
          </w:p>
        </w:tc>
      </w:tr>
      <w:tr>
        <w:trPr>
          <w:trHeight w:val="35"/>
        </w:trPr>
        <w:tc>
          <w:tcPr>
            <w:tcW w:w="81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Arial" w:cs="Arial" w:eastAsia="Arial" w:hAnsi="Arial"/>
                <w:sz w:val="11"/>
                <w:szCs w:val="11"/>
                <w:color w:val="auto"/>
              </w:rPr>
              <w:t>Cash flows from investing activities:</w:t>
            </w: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Purchases of property and equipment</w:t>
            </w:r>
          </w:p>
        </w:tc>
        <w:tc>
          <w:tcPr>
            <w:tcW w:w="9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(1,188)</w:t>
            </w:r>
          </w:p>
        </w:tc>
        <w:tc>
          <w:tcPr>
            <w:tcW w:w="0" w:type="dxa"/>
            <w:vAlign w:val="bottom"/>
          </w:tcPr>
          <w:p>
            <w:pPr>
              <w:spacing w:after="0"/>
              <w:rPr>
                <w:sz w:val="1"/>
                <w:szCs w:val="1"/>
                <w:color w:val="auto"/>
              </w:rPr>
            </w:pPr>
          </w:p>
        </w:tc>
      </w:tr>
      <w:tr>
        <w:trPr>
          <w:trHeight w:val="147"/>
        </w:trPr>
        <w:tc>
          <w:tcPr>
            <w:tcW w:w="8180" w:type="dxa"/>
            <w:vAlign w:val="bottom"/>
          </w:tcPr>
          <w:p>
            <w:pPr>
              <w:ind w:left="440"/>
              <w:spacing w:after="0"/>
              <w:rPr>
                <w:sz w:val="20"/>
                <w:szCs w:val="20"/>
                <w:color w:val="auto"/>
              </w:rPr>
            </w:pPr>
            <w:r>
              <w:rPr>
                <w:rFonts w:ascii="Arial" w:cs="Arial" w:eastAsia="Arial" w:hAnsi="Arial"/>
                <w:sz w:val="11"/>
                <w:szCs w:val="11"/>
                <w:color w:val="auto"/>
              </w:rPr>
              <w:t>Net cash used in investing activities</w:t>
            </w:r>
          </w:p>
        </w:tc>
        <w:tc>
          <w:tcPr>
            <w:tcW w:w="9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(334)</w:t>
            </w: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(1,188)</w:t>
            </w:r>
          </w:p>
        </w:tc>
        <w:tc>
          <w:tcPr>
            <w:tcW w:w="0" w:type="dxa"/>
            <w:vAlign w:val="bottom"/>
          </w:tcPr>
          <w:p>
            <w:pPr>
              <w:spacing w:after="0"/>
              <w:rPr>
                <w:sz w:val="1"/>
                <w:szCs w:val="1"/>
                <w:color w:val="auto"/>
              </w:rPr>
            </w:pPr>
          </w:p>
        </w:tc>
      </w:tr>
      <w:tr>
        <w:trPr>
          <w:trHeight w:val="35"/>
        </w:trPr>
        <w:tc>
          <w:tcPr>
            <w:tcW w:w="81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Arial" w:cs="Arial" w:eastAsia="Arial" w:hAnsi="Arial"/>
                <w:sz w:val="11"/>
                <w:szCs w:val="11"/>
                <w:color w:val="auto"/>
              </w:rPr>
              <w:t>Cash flows from financing activities:</w:t>
            </w: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Proceeds from the issuance of Series A Preferred Stock</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24,942</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8180" w:type="dxa"/>
            <w:vAlign w:val="bottom"/>
          </w:tcPr>
          <w:p>
            <w:pPr>
              <w:ind w:left="100"/>
              <w:spacing w:after="0"/>
              <w:rPr>
                <w:sz w:val="20"/>
                <w:szCs w:val="20"/>
                <w:color w:val="auto"/>
              </w:rPr>
            </w:pPr>
            <w:r>
              <w:rPr>
                <w:rFonts w:ascii="Arial" w:cs="Arial" w:eastAsia="Arial" w:hAnsi="Arial"/>
                <w:sz w:val="11"/>
                <w:szCs w:val="11"/>
                <w:color w:val="auto"/>
              </w:rPr>
              <w:t>Proceeds from sales of common stock under the ELOC program, net of transaction costs</w:t>
            </w:r>
          </w:p>
        </w:tc>
        <w:tc>
          <w:tcPr>
            <w:tcW w:w="96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71,454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Proceeds from the issuance of common stock</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8,837</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3,620</w:t>
            </w:r>
          </w:p>
        </w:tc>
        <w:tc>
          <w:tcPr>
            <w:tcW w:w="0" w:type="dxa"/>
            <w:vAlign w:val="bottom"/>
          </w:tcPr>
          <w:p>
            <w:pPr>
              <w:spacing w:after="0"/>
              <w:rPr>
                <w:sz w:val="1"/>
                <w:szCs w:val="1"/>
                <w:color w:val="auto"/>
              </w:rPr>
            </w:pPr>
          </w:p>
        </w:tc>
      </w:tr>
      <w:tr>
        <w:trPr>
          <w:trHeight w:val="154"/>
        </w:trPr>
        <w:tc>
          <w:tcPr>
            <w:tcW w:w="8180" w:type="dxa"/>
            <w:vAlign w:val="bottom"/>
          </w:tcPr>
          <w:p>
            <w:pPr>
              <w:ind w:left="100"/>
              <w:spacing w:after="0"/>
              <w:rPr>
                <w:sz w:val="20"/>
                <w:szCs w:val="20"/>
                <w:color w:val="auto"/>
              </w:rPr>
            </w:pPr>
            <w:r>
              <w:rPr>
                <w:rFonts w:ascii="Arial" w:cs="Arial" w:eastAsia="Arial" w:hAnsi="Arial"/>
                <w:sz w:val="11"/>
                <w:szCs w:val="11"/>
                <w:color w:val="auto"/>
              </w:rPr>
              <w:t>Proceeds from Business Combination and PIPE, net of transaction costs</w:t>
            </w:r>
          </w:p>
        </w:tc>
        <w:tc>
          <w:tcPr>
            <w:tcW w:w="96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90,689</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Proceeds from the issuance of long-term debt, net of issuance costs</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85,087</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8180" w:type="dxa"/>
            <w:vAlign w:val="bottom"/>
          </w:tcPr>
          <w:p>
            <w:pPr>
              <w:ind w:left="100"/>
              <w:spacing w:after="0"/>
              <w:rPr>
                <w:sz w:val="20"/>
                <w:szCs w:val="20"/>
                <w:color w:val="auto"/>
              </w:rPr>
            </w:pPr>
            <w:r>
              <w:rPr>
                <w:rFonts w:ascii="Arial" w:cs="Arial" w:eastAsia="Arial" w:hAnsi="Arial"/>
                <w:sz w:val="11"/>
                <w:szCs w:val="11"/>
                <w:color w:val="auto"/>
              </w:rPr>
              <w:t>Payments on long-term debt</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(35,029)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(7,450)</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Payments on finance leases</w:t>
            </w:r>
          </w:p>
        </w:tc>
        <w:tc>
          <w:tcPr>
            <w:tcW w:w="9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(1,246)</w:t>
            </w:r>
          </w:p>
        </w:tc>
        <w:tc>
          <w:tcPr>
            <w:tcW w:w="0" w:type="dxa"/>
            <w:vAlign w:val="bottom"/>
          </w:tcPr>
          <w:p>
            <w:pPr>
              <w:spacing w:after="0"/>
              <w:rPr>
                <w:sz w:val="1"/>
                <w:szCs w:val="1"/>
                <w:color w:val="auto"/>
              </w:rPr>
            </w:pPr>
          </w:p>
        </w:tc>
      </w:tr>
      <w:tr>
        <w:trPr>
          <w:trHeight w:val="147"/>
        </w:trPr>
        <w:tc>
          <w:tcPr>
            <w:tcW w:w="8180" w:type="dxa"/>
            <w:vAlign w:val="bottom"/>
          </w:tcPr>
          <w:p>
            <w:pPr>
              <w:ind w:left="440"/>
              <w:spacing w:after="0"/>
              <w:rPr>
                <w:sz w:val="20"/>
                <w:szCs w:val="20"/>
                <w:color w:val="auto"/>
              </w:rPr>
            </w:pPr>
            <w:r>
              <w:rPr>
                <w:rFonts w:ascii="Arial" w:cs="Arial" w:eastAsia="Arial" w:hAnsi="Arial"/>
                <w:sz w:val="11"/>
                <w:szCs w:val="11"/>
                <w:color w:val="auto"/>
              </w:rPr>
              <w:t>Net cash provided by financing activities</w:t>
            </w:r>
          </w:p>
        </w:tc>
        <w:tc>
          <w:tcPr>
            <w:tcW w:w="9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155,175</w:t>
            </w: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85,613</w:t>
            </w:r>
          </w:p>
        </w:tc>
        <w:tc>
          <w:tcPr>
            <w:tcW w:w="0" w:type="dxa"/>
            <w:vAlign w:val="bottom"/>
          </w:tcPr>
          <w:p>
            <w:pPr>
              <w:spacing w:after="0"/>
              <w:rPr>
                <w:sz w:val="1"/>
                <w:szCs w:val="1"/>
                <w:color w:val="auto"/>
              </w:rPr>
            </w:pPr>
          </w:p>
        </w:tc>
      </w:tr>
      <w:tr>
        <w:trPr>
          <w:trHeight w:val="35"/>
        </w:trPr>
        <w:tc>
          <w:tcPr>
            <w:tcW w:w="81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8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1"/>
                <w:szCs w:val="11"/>
                <w:color w:val="auto"/>
              </w:rPr>
              <w:t>Net change in cash, cash equivalents, and restricted cash equivalents</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100,446</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10,820</w:t>
            </w:r>
          </w:p>
        </w:tc>
        <w:tc>
          <w:tcPr>
            <w:tcW w:w="0" w:type="dxa"/>
            <w:vAlign w:val="bottom"/>
          </w:tcPr>
          <w:p>
            <w:pPr>
              <w:spacing w:after="0"/>
              <w:rPr>
                <w:sz w:val="1"/>
                <w:szCs w:val="1"/>
                <w:color w:val="auto"/>
              </w:rPr>
            </w:pPr>
          </w:p>
        </w:tc>
      </w:tr>
      <w:tr>
        <w:trPr>
          <w:trHeight w:val="154"/>
        </w:trPr>
        <w:tc>
          <w:tcPr>
            <w:tcW w:w="8180" w:type="dxa"/>
            <w:vAlign w:val="bottom"/>
          </w:tcPr>
          <w:p>
            <w:pPr>
              <w:ind w:left="20"/>
              <w:spacing w:after="0"/>
              <w:rPr>
                <w:sz w:val="20"/>
                <w:szCs w:val="20"/>
                <w:color w:val="auto"/>
              </w:rPr>
            </w:pPr>
            <w:r>
              <w:rPr>
                <w:rFonts w:ascii="Arial" w:cs="Arial" w:eastAsia="Arial" w:hAnsi="Arial"/>
                <w:sz w:val="11"/>
                <w:szCs w:val="11"/>
                <w:color w:val="auto"/>
              </w:rPr>
              <w:t>Cash, cash equivalents, and restricted cash equivalents, beginning of period</w:t>
            </w:r>
          </w:p>
        </w:tc>
        <w:tc>
          <w:tcPr>
            <w:tcW w:w="96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9,475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22,822</w:t>
            </w:r>
          </w:p>
        </w:tc>
        <w:tc>
          <w:tcPr>
            <w:tcW w:w="0" w:type="dxa"/>
            <w:vAlign w:val="bottom"/>
          </w:tcPr>
          <w:p>
            <w:pPr>
              <w:spacing w:after="0"/>
              <w:rPr>
                <w:sz w:val="1"/>
                <w:szCs w:val="1"/>
                <w:color w:val="auto"/>
              </w:rPr>
            </w:pPr>
          </w:p>
        </w:tc>
      </w:tr>
      <w:tr>
        <w:trPr>
          <w:trHeight w:val="35"/>
        </w:trPr>
        <w:tc>
          <w:tcPr>
            <w:tcW w:w="81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cash equivalents, and restricted cash equivalents, end of period</w:t>
            </w:r>
          </w:p>
        </w:tc>
        <w:tc>
          <w:tcPr>
            <w:tcW w:w="960" w:type="dxa"/>
            <w:vAlign w:val="bottom"/>
            <w:tcBorders>
              <w:bottom w:val="single" w:sz="8" w:color="auto"/>
            </w:tcBorders>
            <w:shd w:val="clear" w:color="auto" w:fill="CCEEFF"/>
          </w:tcPr>
          <w:p>
            <w:pPr>
              <w:jc w:val="right"/>
              <w:ind w:right="85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109,921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33,642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Supplemental disclosures of cash flow information:</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180" w:type="dxa"/>
            <w:vAlign w:val="bottom"/>
          </w:tcPr>
          <w:p>
            <w:pPr>
              <w:ind w:left="260"/>
              <w:spacing w:after="0"/>
              <w:rPr>
                <w:sz w:val="20"/>
                <w:szCs w:val="20"/>
                <w:color w:val="auto"/>
              </w:rPr>
            </w:pPr>
            <w:r>
              <w:rPr>
                <w:rFonts w:ascii="Arial" w:cs="Arial" w:eastAsia="Arial" w:hAnsi="Arial"/>
                <w:sz w:val="11"/>
                <w:szCs w:val="11"/>
                <w:color w:val="auto"/>
              </w:rPr>
              <w:t>Cash paid for interest</w:t>
            </w:r>
          </w:p>
        </w:tc>
        <w:tc>
          <w:tcPr>
            <w:tcW w:w="960" w:type="dxa"/>
            <w:vAlign w:val="bottom"/>
            <w:tcBorders>
              <w:bottom w:val="single" w:sz="8" w:color="auto"/>
            </w:tcBorders>
          </w:tcPr>
          <w:p>
            <w:pPr>
              <w:jc w:val="right"/>
              <w:ind w:right="85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7,945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2,302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Cash paid for income taxes</w:t>
            </w:r>
          </w:p>
        </w:tc>
        <w:tc>
          <w:tcPr>
            <w:tcW w:w="960" w:type="dxa"/>
            <w:vAlign w:val="bottom"/>
            <w:tcBorders>
              <w:bottom w:val="single" w:sz="8" w:color="auto"/>
            </w:tcBorders>
            <w:shd w:val="clear" w:color="auto" w:fill="CCEEFF"/>
          </w:tcPr>
          <w:p>
            <w:pPr>
              <w:jc w:val="right"/>
              <w:ind w:right="85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1,645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787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Noncash investing and financing activities:</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80" w:type="dxa"/>
            <w:vAlign w:val="bottom"/>
          </w:tcPr>
          <w:p>
            <w:pPr>
              <w:ind w:left="260"/>
              <w:spacing w:after="0"/>
              <w:rPr>
                <w:sz w:val="20"/>
                <w:szCs w:val="20"/>
                <w:color w:val="auto"/>
              </w:rPr>
            </w:pPr>
            <w:r>
              <w:rPr>
                <w:rFonts w:ascii="Arial" w:cs="Arial" w:eastAsia="Arial" w:hAnsi="Arial"/>
                <w:sz w:val="11"/>
                <w:szCs w:val="11"/>
                <w:color w:val="auto"/>
              </w:rPr>
              <w:t>Non-cash debt discount</w:t>
            </w:r>
          </w:p>
        </w:tc>
        <w:tc>
          <w:tcPr>
            <w:tcW w:w="960" w:type="dxa"/>
            <w:vAlign w:val="bottom"/>
            <w:tcBorders>
              <w:bottom w:val="single" w:sz="8" w:color="auto"/>
            </w:tcBorders>
          </w:tcPr>
          <w:p>
            <w:pPr>
              <w:jc w:val="right"/>
              <w:ind w:right="85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4,136</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Conversion of Series A Preferred Stock to common stock</w:t>
            </w:r>
          </w:p>
        </w:tc>
        <w:tc>
          <w:tcPr>
            <w:tcW w:w="960" w:type="dxa"/>
            <w:vAlign w:val="bottom"/>
            <w:tcBorders>
              <w:bottom w:val="single" w:sz="8" w:color="auto"/>
            </w:tcBorders>
            <w:shd w:val="clear" w:color="auto" w:fill="CCEEFF"/>
          </w:tcPr>
          <w:p>
            <w:pPr>
              <w:jc w:val="right"/>
              <w:ind w:right="85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10,555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80" w:type="dxa"/>
            <w:vAlign w:val="bottom"/>
          </w:tcPr>
          <w:p>
            <w:pPr>
              <w:ind w:left="260"/>
              <w:spacing w:after="0"/>
              <w:rPr>
                <w:sz w:val="20"/>
                <w:szCs w:val="20"/>
                <w:color w:val="auto"/>
              </w:rPr>
            </w:pPr>
            <w:r>
              <w:rPr>
                <w:rFonts w:ascii="Arial" w:cs="Arial" w:eastAsia="Arial" w:hAnsi="Arial"/>
                <w:sz w:val="11"/>
                <w:szCs w:val="11"/>
                <w:color w:val="auto"/>
              </w:rPr>
              <w:t>Issuance of common stock to settle commitment shares related to the ELOC program</w:t>
            </w:r>
          </w:p>
        </w:tc>
        <w:tc>
          <w:tcPr>
            <w:tcW w:w="960" w:type="dxa"/>
            <w:vAlign w:val="bottom"/>
            <w:tcBorders>
              <w:bottom w:val="single" w:sz="8" w:color="auto"/>
            </w:tcBorders>
          </w:tcPr>
          <w:p>
            <w:pPr>
              <w:jc w:val="right"/>
              <w:ind w:right="85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915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Conversion of convertible note into common stock pursuant to Business Combination</w:t>
            </w:r>
          </w:p>
        </w:tc>
        <w:tc>
          <w:tcPr>
            <w:tcW w:w="960" w:type="dxa"/>
            <w:vAlign w:val="bottom"/>
            <w:tcBorders>
              <w:bottom w:val="single" w:sz="8" w:color="auto"/>
            </w:tcBorders>
            <w:shd w:val="clear" w:color="auto" w:fill="CCEEFF"/>
          </w:tcPr>
          <w:p>
            <w:pPr>
              <w:jc w:val="right"/>
              <w:ind w:right="85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20,239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80" w:type="dxa"/>
            <w:vAlign w:val="bottom"/>
          </w:tcPr>
          <w:p>
            <w:pPr>
              <w:ind w:left="260"/>
              <w:spacing w:after="0"/>
              <w:rPr>
                <w:sz w:val="20"/>
                <w:szCs w:val="20"/>
                <w:color w:val="auto"/>
              </w:rPr>
            </w:pPr>
            <w:r>
              <w:rPr>
                <w:rFonts w:ascii="Arial" w:cs="Arial" w:eastAsia="Arial" w:hAnsi="Arial"/>
                <w:sz w:val="11"/>
                <w:szCs w:val="11"/>
                <w:color w:val="auto"/>
              </w:rPr>
              <w:t>Conversion of redeemable convertible preferred stock to common stock pursuant to Business Combination</w:t>
            </w:r>
          </w:p>
        </w:tc>
        <w:tc>
          <w:tcPr>
            <w:tcW w:w="960" w:type="dxa"/>
            <w:vAlign w:val="bottom"/>
          </w:tcPr>
          <w:p>
            <w:pPr>
              <w:jc w:val="right"/>
              <w:ind w:right="8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279,503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shd w:val="clear" w:color="auto" w:fill="CCEEFF"/>
          </w:tcPr>
          <w:p>
            <w:pPr>
              <w:ind w:left="260"/>
              <w:spacing w:after="0"/>
              <w:rPr>
                <w:sz w:val="20"/>
                <w:szCs w:val="20"/>
                <w:color w:val="auto"/>
              </w:rPr>
            </w:pPr>
            <w:r>
              <w:rPr>
                <w:rFonts w:ascii="Arial" w:cs="Arial" w:eastAsia="Arial" w:hAnsi="Arial"/>
                <w:sz w:val="11"/>
                <w:szCs w:val="11"/>
                <w:color w:val="auto"/>
              </w:rPr>
              <w:t>Operating lease liabilities arising from obtaining right-of-use assets</w:t>
            </w:r>
          </w:p>
        </w:tc>
        <w:tc>
          <w:tcPr>
            <w:tcW w:w="960" w:type="dxa"/>
            <w:vAlign w:val="bottom"/>
            <w:shd w:val="clear" w:color="auto" w:fill="CCEEFF"/>
          </w:tcPr>
          <w:p>
            <w:pPr>
              <w:jc w:val="right"/>
              <w:ind w:right="8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650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Nature of Operations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SoundHound AI, Inc. (“we," "us," "our,"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SoundHound's voice AI platform enables product creators to develop their own voice interfaces with their customers. The SoundHound Chat AI voice assistant allows businesses and brands to provide a next-generation voice experience for their users, seamlessly integrating Generative AI and a mix of real-time information domains. Houndify is an open-access platform that allows developers to leverage SoundHound’s Voice AI technology. We have developed a range of proprietary technologies on our voice AI platform, including Speech-to-Meaning, Deep Meaning Understanding, Collective AI, Dynamic Interaction and SoundHound Chat AI. The SoundHound music app allows customers to identify and play songs by singing or humming into the smartphone’s microphone, or by identifying the sound playing in the background from external sources. We also provide Edge+Cloud connectivity solutions that allow brands to optimize their voice-enabled products and devices with options ranging from fully-embedded to exclusively cloud-connected.</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26, 2022 (the “Closing Date”),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(the “Merger”), as well as the other transactions contemplated by the Merger Agreement (the Merger and such other transactions, the “Business Combination”). In connection with the closing (the “Closing”) of the Business Combination, Legacy SoundHound became a wholly owned subsidiary of ATSP and ATSP changed its name to SoundHound AI, Inc., and all of Legacy SoundHound common stock (“Legacy SoundHound Common Stock”) and Legacy SoundHound redeemable convertible preferred stock (“Legacy SoundHound Preferred Stock”) automatically converted into shares of the Company’s Class A common stock, par value of $0.0001 per share (the “Class A Common Stock”), and the Company’s Class B common stock, par value of $0.0001 per share (the “Class B Common Stock”, and collectively with the Class A Common Stock, the “common stock”). The Company’s Class A Common Stock and certain of the Company's warrants commenced trading on the Nasdaq Global Market (“Nasdaq”) under the symbols “SOUN” and “SOUNW,” respectively, on April 28, 2022. Refer to Note 3 for more information on the Business Combination.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Legacy SoundHound was determined to be the accounting acquirer in the Business Combination based on the following facts: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Former Legacy SoundHound stockholders have a controlling voting interest in the Company;</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board of directors immediately after the closing of the Business Combination was comprised of five board members, primarily from the board of directors of Legacy SoundHound; and</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Legacy SoundHound’s management continues to hold executive management roles for the Company following the Business Combination and are responsible for the day-to-day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for accounting purposes, the Business Combination was treated as the equivalent of Legacy SoundHound issuing stock for the net assets of ATSP, accompanied by a reverse recapitalization. The primary asset acquired from ATSP was related to the cash amounts that were assumed. Separately, the Company also assumed certain warrants that were deemed to be equity upon Closing of the Business Combination. No goodwill or other intangible assets were recorded as a result of the Business Combination.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ATSP was the legal acquirer in the Business Combination, because Legacy SoundHound was deemed the accounting acquirer, the historical financial statements of Legacy SoundHound became the historical financial statements of the combined company upon the consummation of the Business Combination. As a result, the financial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included in this report reflect (i) the historical operating results of Legacy SoundHound prior to the Business Combination; (ii) the combined results of the Company and Legacy SoundHound following the Closing of the Business Combination; (iii) the assets and liabilities of Legacy SoundHound at their historical cost; and (iv) the Company’s equity structure for all periods presented.</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accordance with guidance applicable to recapitalization transactions, the equity structure has been retroactively restated in all comparative periods up to the Closing Date, to reflect the number of shares of the Company’s Class A Common Stock and Class B Common Stock issued to Legacy SoundHound Common Stockholders and Legacy SoundHound Preferred Stockholders in connection with the Business Combination. As such, the shares and corresponding capital amounts and loss per share related to Legacy SoundHound Preferred Stock and Legacy SoundHound Common Stock prior to the Business Combination have been retroactively restated as shares reflecting the conversion ratio established in the Business Combination.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Going Concern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inception, the Company has generated recurring losses as well as negative operating cash flows and reported a net loss of $70.9 million for the nine months ended September 30, 2023. As of September 30, 2023, the Company had an accumulated deficit of $574.4 million. Management expects to continue to incur additional substantial losses in the foreseeable future. The Company has historically funded its operations primarily through equity or debt financings.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Total unrestricted cash and cash equivalents on hand as of September 30, 2023 was $96.1 million. Although the Company has incurred recurring losses each year since its inception, the Company expects it will be able to fund its operations for at least the next twelve months. The Company may seek funding through additional debt or equity financing arrangements, implement incremental expense reduction measures or a combination thereof to continue financing its operations. The Company's condensed consolidated financial statements have been prepared assuming the Company will continue as a going concern, which contemplates, among other things, the realization of assets and satisfaction of liabilities in the normal course of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Risk and Uncertainties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U.S. and global markets are experiencing volatility and disruption following the escalation of geopolitical tensions and the start of the military conflict between Russia and Ukraine and the Israel-Hamas war. Although our business has not been materially impacted by the Russia-Ukraine conflict or the Israel-Hamas war, it is impossible to predict the extent to which our operations, or those of our customers’ suppliers and manufacturers, will be impacted in the short and long-term, or the ways in which the conflict may impact our business. The extent and duration of the military action, sanctions and resulting market disruptions are impossible to predict but could be substantial.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Basis of Presentation and Significant Accounting Policies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 condensed consolidated balance sheet as of December 31, 2022, which has been derived from audited financial statements as filed in the Company’s Form 10-K, which was originally filed with the Securities and Exchange Commission ("SEC") on March 28, 2023 and (b) the unaudited interim condensed consolidated financial statements have been prepared in accordance with U.S. generally accepted accounting principles (“U.S. GAAP”) and applicable rules and regulations of the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condensed consolidated financial statements have been prepared on a basis consistent with the audited consolidated financial statements and in the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opinion of management, all adjustments, consisting of normal recurring adjustments, considered necessary for a fair statement of its financial position as of September 30, 2023, and its results of operations for the three and nine months ended September 30, 2023, and 2022 and cash flows for the nine months ended September 30, 2023, and 2022. have been included. The results of operations for the three and nine months ended September 30, 2023 are not necessarily indicative of the results for the fiscal year ending December 31, 2023 or any future interim period.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Principles of Consolidation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condensed consolidated financial statements include the accounts of the Company and its wholly owned subsidiaries. All intercompany accounts and transactions have been eliminated in consolidation.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consolidate any variable interest entity (“VIE”) where we have determined we are the primary beneficiary. The primary beneficiary is the entity which has both: (i) the power to direct the activities of the VIE that most significantly impact the VIE’s economic performance; and (ii) the obligation to absorb losses or receive benefits of the entity that could potentially be significant to the VIE.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Reclassification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prior period balances have been reclassified to conform to the current year presentation. Such changes include reclassifications or combinations of certain accounts on the condensed consolidated statements of redeemable convertible preferred stock and stockholders' equity (deficit). These reclassifications had no impact on total assets, total liabilities, net loss or accumulated deficit in the previously reported consolidated financial statements for the three and nine months ended September 30,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Currency</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functional currency of the Company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three and nine months ended September 30, 2023, the Company recognized net losses related to foreign currency transactions and remeasurements of $0.2 million and $0.5 million, respectively, in the condensed consolidated statements of operations as other income (expense), net. During the three and nine months ended September 30, 2022, the Company recognized net losses related to foreign currency transactions and remeasurements of $0.1 million and $0.4 million, respectively, in the condensed consolidated statements of operations as other income (expense), net.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judgments that affect the amounts reported and disclosures in the condensed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determined that the Chief Executive Officer is its chief operating decision maker. The Company’s Chief Executive Officer reviews discrete financial information on a consolidated basis for purposes of allocating resources and evaluating financial performance. Accordingly, the Company has determined that it operates as a single reportable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Emerging Growth Company Status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 Based on the market value of our Class A common stock held by non-affiliates as of June 30, 2023, we will cease to qualify as an EGC effective as of December 31, 2023.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from the date of purchase to be cash equivalents. The Company’s cash equivalents consist of mutual funds, commercial paper and certificates of deposit. The deposits exceed federally insured limits.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Cash Equivalents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restricted cash equivalents were established according to the requirements under the Credit Agreement (as defined in Note 8) and leases for the Company’s corporate headquarters, data center and sales office and are subject to certain restrictions. Restricted cash equivalents are classified as current or non-current on the condensed consolidated balance sheets based on the expected duration of the restriction.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Our total cash and cash equivalents and restricted cash, as presented on the condensed consolidated statements of cash flows, was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9,245</w:t>
            </w:r>
          </w:p>
        </w:tc>
      </w:tr>
      <w:tr>
        <w:trPr>
          <w:trHeight w:val="243"/>
        </w:trPr>
        <w:tc>
          <w:tcPr>
            <w:tcW w:w="8140" w:type="dxa"/>
            <w:vAlign w:val="bottom"/>
          </w:tcPr>
          <w:p>
            <w:pPr>
              <w:ind w:left="100"/>
              <w:spacing w:after="0"/>
              <w:rPr>
                <w:sz w:val="20"/>
                <w:szCs w:val="20"/>
                <w:color w:val="auto"/>
              </w:rPr>
            </w:pPr>
            <w:r>
              <w:rPr>
                <w:rFonts w:ascii="Arial" w:cs="Arial" w:eastAsia="Arial" w:hAnsi="Arial"/>
                <w:sz w:val="18"/>
                <w:szCs w:val="18"/>
                <w:color w:val="auto"/>
              </w:rPr>
              <w:t>Restricted cash equivalents, non-current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
        </w:trPr>
        <w:tc>
          <w:tcPr>
            <w:tcW w:w="8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 presented on the condensed consolidated statements of cash flows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109,921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Concentrations of Credit Risk and Other Risks and Uncertainties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and cash equivalents, the balances of which frequently exceed federally insured limits. The Company regularly monitors its credit risk exposure and takes steps to mitigate the likelihood of these exposures resulting in actual loss.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accounts receivable balances due from Customer A, B and C accounted for 30%, 25% and 18% of the Company’s condensed consolidated accounts receivable balance, respectively. As of December 31, 2022, accounts receivable balances due from Customer A and B accounted for 49% and 27% of the Company’s condensed consolidated accounts receivable balance, respectively.</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For the three months ended September 30, 2023 and September 30, 2022, Customer A accounted for 72% and 63% of revenue, respectively. For the nine months ended September 30, 2023, Customer A and D accounted for 46% and 20% of revenue, respectively. For the nine months ended September 30, 2022, Customer A, B, D and E accounted for 41%, 14%, 10% and 13% of revenue,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Line of Credit ("ELOC")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enters into certain agreements to sell common stock with counterparties to further support its growth strategy through initiatives such as accretive acquisitions and internal investments, to bolster working capital, and/or for general corporate purposes. The Company evaluates its common stock purchase agreements to determine whether they should be accounted for as derivatives with changes in fair value as other income (expense), net in the period in which they occur.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Issuance Costs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the financing, these costs are recorded as a reduction of the proceeds received from the equity financing. If a planned equity financing is abandoned, the deferred offering costs are expensed immediately as a charge to operating expenses in the condensed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revenue under Accounting Standards Codification Topic 606 (“ASC 606”), Revenue from Contracts with Customers,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contract(s) with a customer;</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 including the constraint on variable consideration;</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Contracts are accounted for when both parties have approved and committed to the contract, the rights of the parties and payment terms are identifiable, the contract has commercial substance and collectibility of consideration is probable. Any payments received from customers that do not meet criteria for having a contract are recorded as deposit liabilities on the condensed consolidated balance sheet.</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ASC 606, assuming all other revenue recognition criteria have been met, the Company recognizes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Warrants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classifies interest and penalties related to uncertain tax positions in income tax expense, if applicable. There has been no interest expense or penalties related to unrecognized tax benefits recorded through September 30,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Stock-Based Compensation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accounts for forfeitures as they occur. The Company uses the Black-Scholes option-pricing model to determine the fair value of stock options and employee stock purchase plan ("ESPP") shares. The Black-Scholes option-pricing model requires the use of highly subjective and complex assumptions to determine the fair value of the awards, including the expected term of the award and the price volatility of the underlying stock. The Company calculates the fair value of the awards granted by using the Black-Scholes option-pricing model with the following assumptions:</w:t>
      </w:r>
    </w:p>
    <w:p>
      <w:pPr>
        <w:spacing w:after="0" w:line="177"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 The Company estimates volatility for the awards by evaluating the average historical volatility of a peer group of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period immediately preceding the award grant for a term that is approximately equal to the awards’ expected term.</w:t>
      </w:r>
    </w:p>
    <w:p>
      <w:pPr>
        <w:spacing w:after="0" w:line="14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the Company’s awards represents the period that the stock-based awards are expected to be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 For the valuation of ESPP shares, the Company, uses the period of time from the valuation date to the purchase date.</w:t>
      </w:r>
    </w:p>
    <w:p>
      <w:pPr>
        <w:spacing w:after="0" w:line="18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is based on the implied yield currently available on U.S. Treasury zero-coupon issues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term that is equal to the awards’ expected term at the grant date.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The Company has not declared or paid dividends to date and does not anticipate declaring dividends. As such,</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dividend yield is zero.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Units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issues restricted stock unit awards (“RSUs”) to grantees as compensation for services. The fair value of the RSUs is determined at the grant date based on the fair value of the Company’s Class A Common Stock and for RSUs with service conditions only, is recognized straight-line over the service period.</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issues RSUs with vesting conditions tied to certain performance criteria (“Performance-Based RSUs”). Stock-based compensation related to Performance-Based RSUs is recognized to the extent it is determined that performance is probable of being achieved.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issues RSUs with vesting conditions tied to certain market conditions (“Market-Based RSUs”). To derive the fair value of Market-Based RSUs, the Company applies a Monte Carlo simulation to determine the grant date fair value. Stock-based compensation related to Market-Based RSUs is recognized over the derived service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8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170"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variable rate Term Loan approximates carrying value as the interest rate of the loan approximates market rates.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fair value of the Company's financial instruments that are measured or disclosed at fair value on a recurring basis (in thousands):</w:t>
      </w:r>
    </w:p>
    <w:p>
      <w:pPr>
        <w:spacing w:after="0" w:line="220"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34290</wp:posOffset>
            </wp:positionV>
            <wp:extent cx="29489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200" w:type="dxa"/>
            <w:vAlign w:val="bottom"/>
          </w:tcPr>
          <w:p>
            <w:pPr>
              <w:ind w:left="180"/>
              <w:spacing w:after="0"/>
              <w:rPr>
                <w:sz w:val="20"/>
                <w:szCs w:val="20"/>
                <w:color w:val="auto"/>
              </w:rPr>
            </w:pPr>
            <w:r>
              <w:rPr>
                <w:rFonts w:ascii="Arial" w:cs="Arial" w:eastAsia="Arial" w:hAnsi="Arial"/>
                <w:sz w:val="18"/>
                <w:szCs w:val="18"/>
                <w:b w:val="1"/>
                <w:bCs w:val="1"/>
                <w:color w:val="auto"/>
              </w:rPr>
              <w:t>Level 3</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6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40,495</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57"/>
        </w:trPr>
        <w:tc>
          <w:tcPr>
            <w:tcW w:w="66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40,495</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0"/>
        </w:trPr>
        <w:tc>
          <w:tcPr>
            <w:tcW w:w="6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financial instrument assets measured or disclosed at fair value on a recurring basis as of December 31,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2"/>
          </w:tcPr>
          <w:p>
            <w:pPr>
              <w:ind w:left="100"/>
              <w:spacing w:after="0"/>
              <w:rPr>
                <w:sz w:val="20"/>
                <w:szCs w:val="20"/>
                <w:color w:val="auto"/>
              </w:rPr>
            </w:pPr>
            <w:r>
              <w:rPr>
                <w:rFonts w:ascii="Arial" w:cs="Arial" w:eastAsia="Arial" w:hAnsi="Arial"/>
                <w:sz w:val="18"/>
                <w:szCs w:val="18"/>
                <w:b w:val="1"/>
                <w:bCs w:val="1"/>
                <w:color w:val="auto"/>
              </w:rPr>
              <w:t>Equity Line of Credit</w:t>
            </w:r>
          </w:p>
        </w:tc>
        <w:tc>
          <w:tcPr>
            <w:tcW w:w="380" w:type="dxa"/>
            <w:vAlign w:val="bottom"/>
          </w:tcPr>
          <w:p>
            <w:pPr>
              <w:spacing w:after="0"/>
              <w:rPr>
                <w:sz w:val="20"/>
                <w:szCs w:val="20"/>
                <w:color w:val="auto"/>
              </w:rPr>
            </w:pPr>
          </w:p>
        </w:tc>
        <w:tc>
          <w:tcPr>
            <w:tcW w:w="188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 Level 3</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r>
      <w:tr>
        <w:trPr>
          <w:trHeight w:val="27"/>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r>
      <w:tr>
        <w:trPr>
          <w:trHeight w:val="263"/>
        </w:trPr>
        <w:tc>
          <w:tcPr>
            <w:tcW w:w="6640" w:type="dxa"/>
            <w:vAlign w:val="bottom"/>
          </w:tcPr>
          <w:p>
            <w:pPr>
              <w:ind w:left="180"/>
              <w:spacing w:after="0"/>
              <w:rPr>
                <w:sz w:val="20"/>
                <w:szCs w:val="20"/>
                <w:color w:val="auto"/>
              </w:rPr>
            </w:pPr>
            <w:r>
              <w:rPr>
                <w:rFonts w:ascii="Arial" w:cs="Arial" w:eastAsia="Arial" w:hAnsi="Arial"/>
                <w:sz w:val="18"/>
                <w:szCs w:val="18"/>
                <w:color w:val="auto"/>
              </w:rPr>
              <w:t>Change in fair value</w:t>
            </w:r>
          </w:p>
        </w:tc>
        <w:tc>
          <w:tcPr>
            <w:tcW w:w="2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1,901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1,901</w:t>
            </w:r>
          </w:p>
        </w:tc>
      </w:tr>
      <w:tr>
        <w:trPr>
          <w:trHeight w:val="270"/>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200" w:type="dxa"/>
            <w:vAlign w:val="bottom"/>
            <w:tcBorders>
              <w:bottom w:val="single" w:sz="8" w:color="auto"/>
            </w:tcBorders>
            <w:shd w:val="clear" w:color="auto" w:fill="CCEEFF"/>
          </w:tcPr>
          <w:p>
            <w:pPr>
              <w:spacing w:after="0"/>
              <w:rPr>
                <w:sz w:val="23"/>
                <w:szCs w:val="23"/>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r>
      <w:tr>
        <w:trPr>
          <w:trHeight w:val="257"/>
        </w:trPr>
        <w:tc>
          <w:tcPr>
            <w:tcW w:w="6640" w:type="dxa"/>
            <w:vAlign w:val="bottom"/>
          </w:tcPr>
          <w:p>
            <w:pPr>
              <w:ind w:left="180"/>
              <w:spacing w:after="0"/>
              <w:rPr>
                <w:sz w:val="20"/>
                <w:szCs w:val="20"/>
                <w:color w:val="auto"/>
              </w:rPr>
            </w:pPr>
            <w:r>
              <w:rPr>
                <w:rFonts w:ascii="Arial" w:cs="Arial" w:eastAsia="Arial" w:hAnsi="Arial"/>
                <w:sz w:val="18"/>
                <w:szCs w:val="18"/>
                <w:color w:val="auto"/>
              </w:rPr>
              <w:t>September 30, 2023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2"/>
          </w:tcPr>
          <w:p>
            <w:pPr>
              <w:ind w:left="100"/>
              <w:spacing w:after="0"/>
              <w:rPr>
                <w:sz w:val="20"/>
                <w:szCs w:val="20"/>
                <w:color w:val="auto"/>
              </w:rPr>
            </w:pPr>
            <w:r>
              <w:rPr>
                <w:rFonts w:ascii="Arial" w:cs="Arial" w:eastAsia="Arial" w:hAnsi="Arial"/>
                <w:sz w:val="18"/>
                <w:szCs w:val="18"/>
                <w:b w:val="1"/>
                <w:bCs w:val="1"/>
                <w:color w:val="auto"/>
              </w:rPr>
              <w:t>Equity Line of Credit</w:t>
            </w:r>
          </w:p>
        </w:tc>
        <w:tc>
          <w:tcPr>
            <w:tcW w:w="380" w:type="dxa"/>
            <w:vAlign w:val="bottom"/>
          </w:tcPr>
          <w:p>
            <w:pPr>
              <w:spacing w:after="0"/>
              <w:rPr>
                <w:sz w:val="20"/>
                <w:szCs w:val="20"/>
                <w:color w:val="auto"/>
              </w:rPr>
            </w:pPr>
          </w:p>
        </w:tc>
        <w:tc>
          <w:tcPr>
            <w:tcW w:w="188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 Level 3</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r>
      <w:tr>
        <w:trPr>
          <w:trHeight w:val="27"/>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640" w:type="dxa"/>
            <w:vAlign w:val="bottom"/>
          </w:tcPr>
          <w:p>
            <w:pPr>
              <w:ind w:left="180"/>
              <w:spacing w:after="0"/>
              <w:rPr>
                <w:sz w:val="20"/>
                <w:szCs w:val="20"/>
                <w:color w:val="auto"/>
              </w:rPr>
            </w:pPr>
            <w:r>
              <w:rPr>
                <w:rFonts w:ascii="Arial" w:cs="Arial" w:eastAsia="Arial" w:hAnsi="Arial"/>
                <w:sz w:val="18"/>
                <w:szCs w:val="18"/>
                <w:color w:val="auto"/>
              </w:rPr>
              <w:t>Change in fair value</w:t>
            </w:r>
          </w:p>
        </w:tc>
        <w:tc>
          <w:tcPr>
            <w:tcW w:w="2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1,075</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1,075</w:t>
            </w:r>
          </w:p>
        </w:tc>
      </w:tr>
      <w:tr>
        <w:trPr>
          <w:trHeight w:val="270"/>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20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640" w:type="dxa"/>
            <w:vAlign w:val="bottom"/>
          </w:tcPr>
          <w:p>
            <w:pPr>
              <w:ind w:left="180"/>
              <w:spacing w:after="0"/>
              <w:rPr>
                <w:sz w:val="20"/>
                <w:szCs w:val="20"/>
                <w:color w:val="auto"/>
              </w:rPr>
            </w:pPr>
            <w:r>
              <w:rPr>
                <w:rFonts w:ascii="Arial" w:cs="Arial" w:eastAsia="Arial" w:hAnsi="Arial"/>
                <w:sz w:val="18"/>
                <w:szCs w:val="18"/>
                <w:color w:val="auto"/>
              </w:rPr>
              <w:t>September 30, 2022</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w:t>
            </w:r>
          </w:p>
        </w:tc>
      </w:tr>
      <w:tr>
        <w:trPr>
          <w:trHeight w:val="21"/>
        </w:trPr>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assesses its preferred stock instruments at issuance and each reporting period for classification and derivative features requiring bifurcation.</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For stock presented as temporary equity that is not currently redeemable, the Company assesses the probability of the event that would lead to redemption. If it is probable that the equity instrument will become redeemable, the Company accretes changes in the redemption value over the period from the date of issuance, or from the date that it becomes probable that the instrument will become redeemable, if later, to the earliest redemption date of the instrument using an appropriate methodology. If an equity instrument classified as temporary equity is not probable of redemption, subsequent adjustment of the amounts presented in temporary equity is unnecessary.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Loss Per Share</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Series A Preferred Stock, stock options, ESPP shares, RSUs and warrants are considered to be potentially dilutive securities. See Note 13 for further information.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issued Series A Preferred Stock, which accrues cumulative dividends which are either paid in cash or compounding to the liquidation preference at the discretion of the board of directors. The Company accrues dividends as adjustments to net loss before net loss attributable to common stockholders.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applies the two-class method to calculate its basic and diluted net loss per share as the Company has issued shares that meet the definition of participating securities. The two-class method is an earnings allocation formula that treats a participating security as having rights to earnings that otherwise would have been available to common stockholders. The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Company’s participating securities contractually entitle the holders of such shares to participate in dividends, but do not contractually require the holders of such shares to participate in losses of the Company. Accordingly, in periods in which the Company reports a net loss, such losses are not allocated to such participating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BUSINESS COMBINATION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discussed in Note 1, on April 26, 2022, the Business Combination was consummated. Pursuant to the Company’s Second Amended and Restated Certificate of Incorporation (the "certificate of incorporation"), the Company is authorized to issue 500,000,000 shares of capital stock consisting of 455,000,000 shares of Class A Common Stock, 44,000,000 shares of Class B Common Stock, and 1,000,000 shares of preferred stock. All stock has a par value of $0.0001 per share. The holders of Class A Common Stock are entitled to one vote for each share of Class A Common Stock held and the holders of Class B Common Stock are entitled to ten votes per share on all matters submitted to stockholders for their vote or approval. The holders of Class A Common Stock and Class B Common Stock vote together as one class, other than on certain specific matters described in the Company’s certificate of incorporation.</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Business Combination was approved by ATSP’s stockholders at a special meeting thereof (the “Special Meeting”), held in lieu of the 2022 annual meeting of the Company’s stockholders. The Business Combination fulfilled the definition of an “initial business combination” as required by the ATSP’s Amended and Restated Certificate of Incorporation. This fulfillment resulted in ATSP ceasing to be a shell company upon the Closing.</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aggregate of 12,767,950 shares of Class A Common Stock sold in ATSP’s initial public offering (the “public shares”) exercised their rights to redemption. The redemption right provided holders the right to have their public shares redeemed for a pro rata portion of the trust account holding the proceeds from ATSP’s initial public offering. The value of the shares is calculated as of two (2) business days prior to the date of the Special Meeting, which was $10.00 per share, or $127.7 million in the aggregate.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result of the Business Combination, among other things (1) all outstanding shares of Legacy SoundHound Common Stock as of immediately prior to the Closing (including Legacy SoundHound Common Stock resulting from the Legacy SoundHound Preferred Stock Conversion), were exchanged at an conversion ratio of 5.5562 (the “Conversion Ratio”) for an aggregate of 140,114,060 shares of Class A Common Stock and 40,396,600 Class B Common Stock; (2) each outstanding warrant to purchase shares of Legacy SoundHound Common Stock automatically converted into a warrant to purchase, subject to substantially the same terms and conditions as were applicable under these warrants prior to the Effective Time, shares of Class A Common Stock, proportionately adjusted for the Conversion Ratio, with the per share exercise price equal to the exercise price prior to the Effective Time divided by the Conversion Ratio and were net exercised upon the Closing; (3) each outstanding option to purchase shares of Legacy SoundHound Common Stock converted into an option to purchase, subject to substantially the same terms and conditions as were applicable under these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the Conversion Ratio; (4) each Legacy SoundHound RSU converted into a restricted stock unit of SoundHound, subject to substantially the same terms and conditions as were applicable under the SoundHound RSU prior to the Closing. SoundHound RSU holders received the same consideration holders would have received if the SoundHound RSU was converted into Legacy SoundHound Common Stock immediately prior to the Effective Time.</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Merger Agreement, ATSP entered into subscription agreements (collectively, the “Subscription Agreements”) with certain accredited investors (the “Subscribers”). Pursuant to the Subscription Agreements, the Subscribers agreed to purchase, and ATSP agreed to sell to the Subscribers, an aggregate of 11,300,000 shares of Class A Common Stock (“PIPE Shares”), for a purchase price of $10.00 per share and an aggregate purchase price of $113.0 million (the “PIPE Investment”). The PIPE shares are identical to the shares of Class A Common Stock that were held by the ATSP’s public stockholders at the time of the Closing, except that the PIPE Shares were not entitled to any redemption rights. The sale of PIPE Shares was consummated concurrently with the Closing.</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Business Combination is accounted for as a reverse recapitalization in accordance with U.S. GAAP. Under this method of accounting, ATSP was treated as the “acquired” company for financial reporting purposes. The net assets of Legacy SoundHound were stated at historical cost, with no goodwill or other intangible assets recorded.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accounting for the Business Combination and after redemptions, net proceeds received by the Company totaled $90.7 million. The table below shows the total net proceeds from the Business Combination and the PIPE Investment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 ATSP trust and cash (net of redemption)</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Cash - PIPE Investment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113,000</w:t>
            </w:r>
          </w:p>
        </w:tc>
      </w:tr>
      <w:tr>
        <w:trPr>
          <w:trHeight w:val="27"/>
        </w:trPr>
        <w:tc>
          <w:tcPr>
            <w:tcW w:w="9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transaction costs</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(27,668)</w:t>
            </w:r>
          </w:p>
        </w:tc>
      </w:tr>
      <w:tr>
        <w:trPr>
          <w:trHeight w:val="264"/>
        </w:trPr>
        <w:tc>
          <w:tcPr>
            <w:tcW w:w="9760" w:type="dxa"/>
            <w:vAlign w:val="bottom"/>
          </w:tcPr>
          <w:p>
            <w:pPr>
              <w:ind w:left="20"/>
              <w:spacing w:after="0"/>
              <w:rPr>
                <w:sz w:val="20"/>
                <w:szCs w:val="20"/>
                <w:color w:val="auto"/>
              </w:rPr>
            </w:pPr>
            <w:r>
              <w:rPr>
                <w:rFonts w:ascii="Arial" w:cs="Arial" w:eastAsia="Arial" w:hAnsi="Arial"/>
                <w:sz w:val="18"/>
                <w:szCs w:val="18"/>
                <w:color w:val="auto"/>
              </w:rPr>
              <w:t>Net proceeds from Business Combination and PIPE Investment</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90,689</w:t>
            </w:r>
          </w:p>
        </w:tc>
      </w:tr>
      <w:tr>
        <w:trPr>
          <w:trHeight w:val="20"/>
        </w:trPr>
        <w:tc>
          <w:tcPr>
            <w:tcW w:w="9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Relating to the consummation of the Business Combination, the Company incurred $27.7 million in total transaction costs consisting of direct legal, accounting and other fees. $4.1 million of Legacy SoundHound transaction costs specific and directly attributable to the Business Combination were initially capitalized as deferred offering costs and included in other non-current assets on the condensed consolidated balance sheets. Total transaction expenses were recorded as an offset against proceeds received on the closing of the Business Combination, accounted for as additional paid-in capital.</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recorded to additional paid-in-capital was comprised of $86.6 million net proceeds from the PIPE investment and $4.1 million after net redemptions of ATSP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issued immediately following the consummation of the Business Combination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Class A Common Stock - conversion of Legacy SoundHound Common Stock and Legacy SoundHound Preferred Stock outstanding</w:t>
            </w:r>
          </w:p>
        </w:tc>
        <w:tc>
          <w:tcPr>
            <w:tcW w:w="1480" w:type="dxa"/>
            <w:vAlign w:val="bottom"/>
            <w:shd w:val="clear" w:color="auto" w:fill="CCEEFF"/>
          </w:tcPr>
          <w:p>
            <w:pPr>
              <w:spacing w:after="0"/>
              <w:rPr>
                <w:sz w:val="19"/>
                <w:szCs w:val="19"/>
                <w:color w:val="auto"/>
              </w:rPr>
            </w:pPr>
          </w:p>
        </w:tc>
      </w:tr>
      <w:tr>
        <w:trPr>
          <w:trHeight w:val="237"/>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to Business Combination</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140,114,060</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w w:val="92"/>
              </w:rPr>
              <w:t>Class B Common Stock - conversion of Legacy SoundHound Common Stock and Legacy SoundHound Preferred Stock outstanding</w:t>
            </w:r>
          </w:p>
        </w:tc>
        <w:tc>
          <w:tcPr>
            <w:tcW w:w="1480" w:type="dxa"/>
            <w:vAlign w:val="bottom"/>
          </w:tcPr>
          <w:p>
            <w:pPr>
              <w:spacing w:after="0"/>
              <w:rPr>
                <w:sz w:val="19"/>
                <w:szCs w:val="19"/>
                <w:color w:val="auto"/>
              </w:rPr>
            </w:pPr>
          </w:p>
        </w:tc>
      </w:tr>
      <w:tr>
        <w:trPr>
          <w:trHeight w:val="230"/>
        </w:trPr>
        <w:tc>
          <w:tcPr>
            <w:tcW w:w="9760" w:type="dxa"/>
            <w:vAlign w:val="bottom"/>
          </w:tcPr>
          <w:p>
            <w:pPr>
              <w:ind w:left="180"/>
              <w:spacing w:after="0"/>
              <w:rPr>
                <w:sz w:val="20"/>
                <w:szCs w:val="20"/>
                <w:color w:val="auto"/>
              </w:rPr>
            </w:pPr>
            <w:r>
              <w:rPr>
                <w:rFonts w:ascii="Arial" w:cs="Arial" w:eastAsia="Arial" w:hAnsi="Arial"/>
                <w:sz w:val="18"/>
                <w:szCs w:val="18"/>
                <w:color w:val="auto"/>
              </w:rPr>
              <w:t>prior to Business Combination</w:t>
            </w:r>
          </w:p>
        </w:tc>
        <w:tc>
          <w:tcPr>
            <w:tcW w:w="1480" w:type="dxa"/>
            <w:vAlign w:val="bottom"/>
          </w:tcPr>
          <w:p>
            <w:pPr>
              <w:jc w:val="right"/>
              <w:spacing w:after="0"/>
              <w:rPr>
                <w:sz w:val="20"/>
                <w:szCs w:val="20"/>
                <w:color w:val="auto"/>
              </w:rPr>
            </w:pPr>
            <w:r>
              <w:rPr>
                <w:rFonts w:ascii="Arial" w:cs="Arial" w:eastAsia="Arial" w:hAnsi="Arial"/>
                <w:sz w:val="18"/>
                <w:szCs w:val="18"/>
                <w:color w:val="auto"/>
              </w:rPr>
              <w:t>40,396,600</w:t>
            </w:r>
          </w:p>
        </w:tc>
      </w:tr>
      <w:tr>
        <w:trPr>
          <w:trHeight w:val="27"/>
        </w:trPr>
        <w:tc>
          <w:tcPr>
            <w:tcW w:w="9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 - PIPE Investment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11,300,000</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Class A Common Stock - issuance to ATSP shareholders</w:t>
            </w:r>
          </w:p>
        </w:tc>
        <w:tc>
          <w:tcPr>
            <w:tcW w:w="1480" w:type="dxa"/>
            <w:vAlign w:val="bottom"/>
          </w:tcPr>
          <w:p>
            <w:pPr>
              <w:jc w:val="right"/>
              <w:spacing w:after="0"/>
              <w:rPr>
                <w:sz w:val="20"/>
                <w:szCs w:val="20"/>
                <w:color w:val="auto"/>
              </w:rPr>
            </w:pPr>
            <w:r>
              <w:rPr>
                <w:rFonts w:ascii="Arial" w:cs="Arial" w:eastAsia="Arial" w:hAnsi="Arial"/>
                <w:sz w:val="18"/>
                <w:szCs w:val="18"/>
                <w:color w:val="auto"/>
              </w:rPr>
              <w:t>532,050</w:t>
            </w:r>
          </w:p>
        </w:tc>
      </w:tr>
      <w:tr>
        <w:trPr>
          <w:trHeight w:val="27"/>
        </w:trPr>
        <w:tc>
          <w:tcPr>
            <w:tcW w:w="9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 - issuance to Legacy SoundHound founders and representatives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4,161,000</w:t>
            </w:r>
          </w:p>
        </w:tc>
      </w:tr>
      <w:tr>
        <w:trPr>
          <w:trHeight w:val="237"/>
        </w:trPr>
        <w:tc>
          <w:tcPr>
            <w:tcW w:w="9760" w:type="dxa"/>
            <w:vAlign w:val="bottom"/>
          </w:tcPr>
          <w:p>
            <w:pPr>
              <w:ind w:left="20"/>
              <w:spacing w:after="0"/>
              <w:rPr>
                <w:sz w:val="20"/>
                <w:szCs w:val="20"/>
                <w:color w:val="auto"/>
              </w:rPr>
            </w:pPr>
            <w:r>
              <w:rPr>
                <w:rFonts w:ascii="Arial" w:cs="Arial" w:eastAsia="Arial" w:hAnsi="Arial"/>
                <w:sz w:val="18"/>
                <w:szCs w:val="18"/>
                <w:color w:val="auto"/>
              </w:rPr>
              <w:t>Total shares of common stock immediately after Business Combination</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196,503,710</w:t>
            </w:r>
          </w:p>
        </w:tc>
      </w:tr>
      <w:tr>
        <w:trPr>
          <w:trHeight w:val="27"/>
        </w:trPr>
        <w:tc>
          <w:tcPr>
            <w:tcW w:w="97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97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derives its revenue primarily from the following performance obligations: (1) hosted services, (2) professional services, (3) monetization, and (4) licensing. Revenue is reported net of applicable sales and use taxes that are passed through to customers.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performance obligations in contracts with customers: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Hosted Services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instances where the Company concluded that the up-front services are not distinct performance obligations, revenues for these activities are recognized over the period which the hosted services are provided and is included within hosted services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Professional Services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Revenues from distinct professional services, such as non-integrated development services, are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revenues are determined to be recognized at a point in time.</w:t>
      </w:r>
    </w:p>
    <w:p>
      <w:pPr>
        <w:spacing w:after="0" w:line="1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three and nine months ended September 30, 2023, $0.9 million and $5.9 million, respectively, of professional service revenue was recognized over time. During the three months ended September 30, 2023, there was no professional service revenue recognized at a point in time when the performance obligation was fulfilled and control of the service was transferred to the customer. During the nine months ended September 30, 2023, $0.9 million of professional service revenue was recognized at a point in time when the performance obligation was fulfilled and control of the service was transferred to the customer. During the three and nine months ended September 30, 2022, $0.4 million and $1.2 million, respectively, of professional service revenue was recognized over time, with the remaining $0.3 million and $1.4 million, respectively, recognized at a point in time when the performance obligation was fulfilled and control of the service was transferred to the customer.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Monetization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Licensing</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licenses voice solutions that are embedded in customer’s products. Licensing revenues are a distinct performance obligation that is recognized when control is transferred to the customer, which is at a point in time for non-customized solutions. For licenses with non-distinct customized solutions, revenues are recognized over time based on the progress towards completion of the customized solution. Revenues generated from licensing are based on royalty models with a combination of minimum guarantees and per unit pricing. Royalty periods are generally subsequent to when control of the license passes to the customer. The Company records licensing revenue as a usage-based royalty from customers’ usage of intellectual property in the same period in which the underlying sale occurs. For royalty arrangements that include fixed considerations related to a minimum guarantee from a customer, the fixed consideration allocated to the license is recognized when the control of the license passes to the customer. The Company provides assurance-type warranty services and to date, post-contract support has been an immaterial performance obligation within the context of the contract.</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5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of developing and supplying each performance obligation;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Major product groupings;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margin objectives and pricing practices, such as contractually stated prices, discounts offered, and applicable price lists.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long-term contracts do not have significant financing components, as there is generally payment and performance in each year of the contract. The Company has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If there is a period of one year or longer between the transfer of promised services and payment, it is generally for reasons other than financing and, thus, the Company does not adjust the transaction price for financing components.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nine months ended September 30, 2023 and 2022, revenue under each performance obligation was as follows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2022</w:t>
            </w: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Hosted services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12,672</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Licensing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7,933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8,671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5,660</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Monetization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13,268</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28,726</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September 30, 2023 and 2022, the disaggregated revenue by geographic location was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2022</w:t>
            </w: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Korea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9,550</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9,609</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Germany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5,797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2,897</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2,775</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France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2,947</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13,268</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28,726</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September 30, 2023 and 2022, the disaggregated revenue by recognition pattern was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2022</w:t>
            </w: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Over time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13,852</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Point-in-time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8,093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7,776</w:t>
            </w: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13,268</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28,726</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also disaggregates revenue by service type. This disaggregation consists of Product Royalties, Service Subscriptions and Monetization. Product Royalties revenues are derived from Houndified Products, which are voice-enabled tangible products across the automotive and consumer electronics industries. Revenues from Product Royalties are based on volume, usage, or life of the products, which are driven by number of devices, users, or unit of time. Service Subscription revenues are generated through Houndified Services, which include customer services, food ordering, content, appointments, and voice commerce. Subscription revenues are derived from monthly fees based on usage-based revenue, revenue per query or revenue per user. Both Houndified Products and Houndified Services may include professional services that develop and customize the Houndify platform to fit customers’ specific needs. Revenues from Monetization are generated from the SoundHound music identification app and is primarily attributable to user ad impression revenue.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nine months ended September 30, 2023 and 2022, the disaggregated revenue by service type was as follows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2022</w:t>
            </w: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royalties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12,616</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19,534</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Service subscriptions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1,442</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Monetization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63"/>
        </w:trPr>
        <w:tc>
          <w:tcPr>
            <w:tcW w:w="5040" w:type="dxa"/>
            <w:vAlign w:val="bottom"/>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13,268</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28,726</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21,628</w:t>
            </w:r>
          </w:p>
        </w:tc>
      </w:tr>
      <w:tr>
        <w:trPr>
          <w:trHeight w:val="21"/>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 Balances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performs its obligations under a contract with a customer by providing access to software, licensing right to use software, or providing services in exchange for consideration from the customer. The timing of the Company’s performance often differs from the timing of the customer’s payment, which results in the recognition of a receivable, a contract asset, or a contract liability. The Company has not recorded any asset impairment charges related to contract assets during the periods presented in the condensed consolidated financial statements.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recognized included in the balances of the deferred revenue at the beginning of the reporting period were $1.5 million and $6.1 million, respectively, for the three and nine months ended September 30, 2023 as compared to $2.0 million and $5.4 million, respectively, for the three and nine months ended September 30, 2022.</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nine months ended September 30, 2023, the Company and a licensing customer modified the minimum guarantee units in an existing contract in the ordinary course of business. The Company accounted for the contract modification prospectively resulting in an increase to net revenue in the amount of $5.4 million, with corresponding increases in contract asset balances.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September 30, 2023, the aggregate amount of the transaction price allocated to the remaining performance obligations related to customer contracts that were unsatisfied or partially unsatisfied was $13.9 million. Given the applicable contract terms, $6.8 million is expected to be recognized as revenue within one year, $4.1 million is expected to be recognized between two to five years and the remainder of $3.0 million is expected to be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Arial" w:cs="Arial" w:eastAsia="Arial" w:hAnsi="Arial"/>
                <w:sz w:val="18"/>
                <w:szCs w:val="18"/>
                <w:b w:val="1"/>
                <w:bCs w:val="1"/>
                <w:color w:val="auto"/>
              </w:rPr>
              <w:t>NOTE 5. ACCRUED LIABILITIES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8100" w:type="dxa"/>
            <w:vAlign w:val="bottom"/>
          </w:tcPr>
          <w:p>
            <w:pPr>
              <w:spacing w:after="0"/>
              <w:rPr>
                <w:sz w:val="20"/>
                <w:szCs w:val="20"/>
                <w:color w:val="auto"/>
              </w:rPr>
            </w:pPr>
            <w:r>
              <w:rPr>
                <w:rFonts w:ascii="Arial" w:cs="Arial" w:eastAsia="Arial" w:hAnsi="Arial"/>
                <w:sz w:val="18"/>
                <w:szCs w:val="18"/>
                <w:color w:val="auto"/>
              </w:rPr>
              <w:t>Accrued liabilities consisted of the following (in thousands):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68"/>
        </w:trPr>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8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6,134</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vendor payables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Accrued professional services</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37"/>
        </w:trPr>
        <w:tc>
          <w:tcPr>
            <w:tcW w:w="8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11,012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8,537</w:t>
            </w:r>
          </w:p>
        </w:tc>
      </w:tr>
      <w:tr>
        <w:trPr>
          <w:trHeight w:val="27"/>
        </w:trPr>
        <w:tc>
          <w:tcPr>
            <w:tcW w:w="8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Aggregate non-cancelable future minimum payments were as follows as of September 30, 2023 (in thousands):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9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11,000</w:t>
            </w:r>
          </w:p>
        </w:tc>
      </w:tr>
      <w:tr>
        <w:trPr>
          <w:trHeight w:val="27"/>
        </w:trPr>
        <w:tc>
          <w:tcPr>
            <w:tcW w:w="9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2026</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16,000</w:t>
            </w:r>
          </w:p>
        </w:tc>
      </w:tr>
      <w:tr>
        <w:trPr>
          <w:trHeight w:val="27"/>
        </w:trPr>
        <w:tc>
          <w:tcPr>
            <w:tcW w:w="9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24,000</w:t>
            </w:r>
          </w:p>
        </w:tc>
      </w:tr>
      <w:tr>
        <w:trPr>
          <w:trHeight w:val="27"/>
        </w:trPr>
        <w:tc>
          <w:tcPr>
            <w:tcW w:w="97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90,750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has not historically collected U.S. state or local sales and use tax, or other similar taxes, in any jurisdiction. On June 21, 2018, the U.S. Supreme Court decided, in </w:t>
      </w:r>
      <w:r>
        <w:rPr>
          <w:rFonts w:ascii="Arial" w:cs="Arial" w:eastAsia="Arial" w:hAnsi="Arial"/>
          <w:sz w:val="16"/>
          <w:szCs w:val="16"/>
          <w:i w:val="1"/>
          <w:iCs w:val="1"/>
          <w:color w:val="auto"/>
        </w:rPr>
        <w:t>South Dakota v. Wayfair, Inc.</w:t>
      </w:r>
      <w:r>
        <w:rPr>
          <w:rFonts w:ascii="Arial" w:cs="Arial" w:eastAsia="Arial" w:hAnsi="Arial"/>
          <w:sz w:val="16"/>
          <w:szCs w:val="16"/>
          <w:color w:val="auto"/>
        </w:rPr>
        <w:t>,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In accordance with ASC 450, Contingencies, the Company estimated and recorded a liability of $1.1 million as of September 30, 2023 and December 31, 2022.</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WARRANTS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Business Combination, the Company has retroactively adjusted the Legacy SoundHound warrants outstanding and corresponding strike price prior to April 26, 2022 to give effect to the Conversion Ratio used to determine the number of shares of common stock into which they were converted.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Warrants Related to Convertible Notes and Note Payable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issuance of the Company’s 2021 note payable (“SVB March 2021 Note”) and 2021 convertible note (“SCI June 2021 Note”), the Company issued detachable warrants to purchase 708,808 and 354,404 shares of Legacy SoundHound common stock, respectively, with an exercise price of $3.67 per share to the lenders, which were immediately exercisable. On the Closing Date, all outstanding warrants issued in connection to the SVB March 2021 Note and the SCI June 2021 Note were fully net exercised by their respective lenders, leading to a net issuance of 673,416 shares of Class A Common Stock.</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Credit Agreement (as defined in Note 8), on the Term Loan Closing Date the Company issued a warrant to purchase up to 3,301,536 shares of the Company’s Class A common stock to the Agent (the “Term Loan Warrant”). The Term Loan Warrant has a per share exercise price of $2.59 and may be exercised, including on a cashless basis, by the holder at any time prior to the 10-year anniversary of the issue date. The Term Loan Warrant will be automatically cashless exercised immediately prior to a change in control of the Company. On the Term Loan Closing Date, the Company allocated the gross proceeds and issuance costs between the Term Loan and the Term Loan Warrant based on their relative fair values, resulting in the initial recognition of the Term Loan Warrant at $4.1 million as additional paid-in-capital on the condensed consolidated balance sheets.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Warrants Related to the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the Business Combination, ATSP issued public warrants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Subsequent to the closing of the Business Combination, the Company’s Public Warrants continue to be classified as equity instruments, as they are indexed to the Company’s stock. As of September 30, 2023, there were 3,457,996 Public Warrants issued and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the Business Combination, ATSP issued private warrants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Private Warrants were initially classified as derivative liability instruments as they met the definition of a derivative and were not considered indexed in the Company’s own stock as the settlement value could be dependent on who held the Private Warrants at the time of exercise. Upon the Closing of the Business Combination, the Company modified its Private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Warrants to be identical to its Public Warrants. Therefore, the Private Warrants met requirements for classification as equity instruments, as they are indexed to the Company’s stock. As of September 30, 2023, there were 208,000 Private Warrants issued and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 June 2020 Note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2020, the Company issued a promissory note (the "SNAP June 2020 Note"), to a Lender in exchange for $15.0 million in cash proceeds. The note had an annual interest rate of 5% and a maturity date of June 26, 2022, if not converted earlier pursuant to applicable conversion terms and change in control events. As a result of the Business Combination, on the Closing Date, the SNAP June 2020 Note conversion feature was triggered. As a result, on the Closing Date, all outstanding principal of $15.0 million and accrued interest of $1.4 million were converted into 2,046,827 shares of Class A Common Stock. In addition, the remaining debt discount of $0.2 million and related derivative liability with fair value of $4.1 million as of the Closing Date were extinguished.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SVB March 2021 Note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March 2021, the Company entered into a loan and security agreement with a commercial bank to borrow $30.0 million. The loan bore interest at an annual rate equal to the greater of 9.00% or 5.75% above the Prime Rate (as defined in the SVB March 2021 Note). During the nine months ended September 30, 2023, the Company recorded interest expense of $1.1 million related to the SVB March 2021 Note. During the three and nine months ended September 30, 2022, the Company recorded interest expense of $0.7 million and $3.1 million, respectively, related to the SVB March 2021 Note.</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Concurrently with the Company’s entry into the Credit Agreement, the Company used a portion of the proceeds to prepay in full all outstanding obligations under, and terminated, the SVB March 2021 Note. In connection with the SVB March 2021 Note prepayment, the Company paid a total of $18.5 million, which consisted of (i) the remaining principal amount outstanding of $18.1 million, (ii) a prepayment premium of $0.3 million, (iii) accrued and unpaid interest of $0.1 million and (iv) a nominal amount for transaction expenses. The Company recorded a loss on debt extinguishment of $0.4 million related to the early repayment in interest expense in the condensed consolidated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 June 2021 Note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2021, the Company entered into a loan and security agreement with a lender to obtain credit extensions to the Company. Extensions were available in $5.0 million increments up to a total commitment amount of $15.0 million. The Company drew an initial $5.0 million on June 14, 2021 and the remaining $10.0 million on December 1, 2021. The loan bore interest at an annual rate equal to the greater of 9% or 5.75% above the Prime Rate (as defined in the SCI June 2021 Note). During the nine months ended September 30, 2023, the Company recorded interest expense of $1.0 million related to the SCI June 2021 Note. During the three and nine months ended September 30, 2022, the Company recorded interest expense of $0.4 million and $1.9 million, respectively, related to the SCI June 2021 Note.</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Concurrently with the Company’s entry into the Credit Agreement, the Company used a portion of the proceeds to prepay in full all outstanding obligations under, and terminated, the SCI June 2021 Note. In connection with the SCI June 2021 Note prepayment, the Company paid a total of approximately $11.7 million, which consisted of (i) the remaining principal amount outstanding of approximately $11.5 million, (ii) a prepayment premium of approximately $0.2 million and (iii) a nominal amount for transaction expenses. The Company recorded a loss on debt extinguishment of $0.4 million related to the early repayment in interest expense in the condensed consolidated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14, 2023 (the “Term Loan Closing Date”), the Company entered into a Senior Secured Term Loan Credit Agreement (the “Credit Agreement”) with ACP Post Oak Credit II LLC, as Administrative Agent and Collateral Agent for the Lenders (the “Agent”), and the lenders from time to time party thereto (the “Lenders”). The Credit Agreement provides for a term loan facility in an aggregate principal amount of up to $100.0 million (the “Term Loan”), the entirety of which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was funded on the Term Loan Closing Date. The Credit Agreement also permits the Company to request additional commitments of up to $25.0 million in the aggregate, with funding of such commitments in the sole discretion of the Lenders, under certain circumstances and under the same terms as the Term Loan. On the Term Loan Closing Date, the Company also entered into that certain Guarantee and Collateral Agreement, dated as of April 14, 2023, by and among the Company, the other grantors named therein and the Agent (the “Guarantee and Collateral Agreement”). In addition, the Company is obligated to pay incremental lender fees, beginning on the Closing Date, equal to initially 3.5% of the principal amount of the Term Loans, decreasing to 2.5% after the 18-month anniversary, semi-annually (the “Lender Fees”) to provide a collateral protection insurance policy on behalf of the Lenders. The Lender Fees are effectively additional fees payable to the Lenders as the Lenders are the sole beneficiary of the insurance policy and is therefore being recognized as interest expense over the term of the Term Loan based on the effective interest method.</w:t>
      </w:r>
    </w:p>
    <w:p>
      <w:pPr>
        <w:spacing w:after="0" w:line="178" w:lineRule="exact"/>
        <w:rPr>
          <w:sz w:val="20"/>
          <w:szCs w:val="20"/>
          <w:color w:val="auto"/>
        </w:rPr>
      </w:pPr>
    </w:p>
    <w:p>
      <w:pPr>
        <w:jc w:val="both"/>
        <w:ind w:right="80"/>
        <w:spacing w:after="0" w:line="291" w:lineRule="auto"/>
        <w:rPr>
          <w:sz w:val="20"/>
          <w:szCs w:val="20"/>
          <w:color w:val="auto"/>
        </w:rPr>
      </w:pPr>
      <w:r>
        <w:rPr>
          <w:rFonts w:ascii="Arial" w:cs="Arial" w:eastAsia="Arial" w:hAnsi="Arial"/>
          <w:sz w:val="16"/>
          <w:szCs w:val="16"/>
          <w:color w:val="auto"/>
        </w:rPr>
        <w:t>The Company used the proceeds from the Term Loan to (i) repay outstanding amounts equal to approximately $30.0 million under the Company’s existing loan facilities, (ii) fund an escrow account on the Term Loan Closing Date in the name of the Agent for an amount equal to the first four interest payments,</w:t>
      </w:r>
    </w:p>
    <w:p>
      <w:pPr>
        <w:jc w:val="both"/>
        <w:ind w:right="360" w:firstLine="8"/>
        <w:spacing w:after="0" w:line="323" w:lineRule="auto"/>
        <w:tabs>
          <w:tab w:leader="none" w:pos="315" w:val="left"/>
        </w:tabs>
        <w:numPr>
          <w:ilvl w:val="0"/>
          <w:numId w:val="6"/>
        </w:numPr>
        <w:rPr>
          <w:rFonts w:ascii="Arial" w:cs="Arial" w:eastAsia="Arial" w:hAnsi="Arial"/>
          <w:sz w:val="16"/>
          <w:szCs w:val="16"/>
          <w:color w:val="auto"/>
        </w:rPr>
      </w:pPr>
      <w:r>
        <w:rPr>
          <w:rFonts w:ascii="Arial" w:cs="Arial" w:eastAsia="Arial" w:hAnsi="Arial"/>
          <w:sz w:val="16"/>
          <w:szCs w:val="16"/>
          <w:color w:val="auto"/>
        </w:rPr>
        <w:t>pay certain fees and expenses incurred in connection with entering into the Credit Agreement, and (iv) fund the Lender Fees, together with related taxes, with the remaining proceeds to be used to fund growth investments and for general corporate purposes as permitted under the Credit Agreement.</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outstanding principal balance of the Term Loan bears interest at the applicable margin plus, at the Company’s election, either (i) the Term SOFR rate published by CME Group Benchmark Administration Limited for a one-month interest period plus 0.15% or (ii) the alternate base rate (“ABR”), which is a per annum rate equal to the greatest of (a) the Prime Rate (as defined in the Credit Agreement), (b) the NYFRB Rate (as defined in the Credit Agreement) plus 0.50% and (c) the Term SOFR rate plus 1.00%. The applicable margin under the Credit Agreement is 8.50% per annum with respect to SOFR loans, and 7.50% per annum with respect to ABR loans. As of September 30, 2023, the contractual interest rate was approximately 14.0%.</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Subject to certain exceptions as set forth in the Credit Agreement, interest on the Term Loan is payable quarterly in arrears on the last business day of each fiscal quarter. The Term Loan is set to mature on April 14, 2027 (the “Maturity Date”). The Credit Agreement provides for no scheduled principal payments prior to the Maturity Date.</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Term Loan is secured by substantially all of the assets of the Company and its subsidiaries and is guaranteed by the Company’s subsidiaries other than Excluded Subsidiaries. As set forth in more detail in the Credit Agreement, the Company is required to make mandatory prepayments on the Term Loan in the event of certain specified events, including in the event of certain capital raises by the Company and its subsidiaries. The Company may also elect to prepay amounts at any time. If the Term Loan is prepaid for any reason prior to the second anniversary of the Closing Date, in additional to principal and accrued interest, the Company will have to pay an amount equal to the discounted future interest payments from the date of redemption through the second anniversary of the Closing Date, calculated on the basis of the interest rate in effect on the redemption date and discounted based on the applicable rate for US treasury securities of equal tenor plus 50 basis points. Additionally, the Company will have to pay the excess of 14% of the Term Loans over the amount of the Lender Fees paid through the Redemption Date.</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Credit Agreement also contains customary representations and warranties for a facility of this nature and affirmative and negative covenants. In particular, the Credit Agreement requires the Company to have liquidity at least equal to the Interest Escrow Required Amount (as defined in the Credit Agreement) as of the last day of each fiscal quarter. The Interest Escrow Required Amount is included in restricted cash equivalents, non-current on the condensed consolidated balance sheet as of September 30, 2023. In addition, the Credit Agreement limits the Company’s and its subsidiaries’ ability to incur indebtedness, make restricted payments, including cash dividends on its common stock, make certain investments, loans and advances, enter into mergers and acquisitions, sell, assign transfer or otherwise dispose of its assets, enter into transactions with its affiliates and engage in sale and leaseback transactions, among other restrictions. As of September 30, 2023, the Company was in compliance with all covenants prescribed in the Credit Agreement.</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Credit Agreement includes customary events of default, including, but not limited to, nonpayment of principal or interest, breaches of representations and warranties, failure to perform or observe covenants, cross-defaults with certain other indebtedness, final judgments or orders, certain change of control events, and certain bankruptcy-related events or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proceedings. Upon the occurrence of an event of default (subject to notice and grace periods), obligations under the Credit Agreement could be accelerated.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The aggregate long-term debt maturities were as follows as of September 30, 2023 (in thousands):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3"/>
        </w:trPr>
        <w:tc>
          <w:tcPr>
            <w:tcW w:w="8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unamortized discount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(16,692)</w:t>
            </w:r>
          </w:p>
        </w:tc>
      </w:tr>
      <w:tr>
        <w:trPr>
          <w:trHeight w:val="264"/>
        </w:trPr>
        <w:tc>
          <w:tcPr>
            <w:tcW w:w="8100" w:type="dxa"/>
            <w:vAlign w:val="bottom"/>
          </w:tcPr>
          <w:p>
            <w:pPr>
              <w:ind w:left="20"/>
              <w:spacing w:after="0"/>
              <w:rPr>
                <w:sz w:val="20"/>
                <w:szCs w:val="20"/>
                <w:color w:val="auto"/>
              </w:rPr>
            </w:pPr>
            <w:r>
              <w:rPr>
                <w:rFonts w:ascii="Arial" w:cs="Arial" w:eastAsia="Arial" w:hAnsi="Arial"/>
                <w:sz w:val="18"/>
                <w:szCs w:val="18"/>
                <w:color w:val="auto"/>
              </w:rPr>
              <w:t>Long-term portion of debt</w:t>
            </w: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83,308</w:t>
            </w:r>
          </w:p>
        </w:tc>
      </w:tr>
      <w:tr>
        <w:trPr>
          <w:trHeight w:val="20"/>
        </w:trPr>
        <w:tc>
          <w:tcPr>
            <w:tcW w:w="9540" w:type="dxa"/>
            <w:vAlign w:val="bottom"/>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20"/>
        </w:trPr>
        <w:tc>
          <w:tcPr>
            <w:tcW w:w="9720" w:type="dxa"/>
            <w:vAlign w:val="bottom"/>
            <w:gridSpan w:val="5"/>
          </w:tcPr>
          <w:p>
            <w:pPr>
              <w:spacing w:after="0"/>
              <w:rPr>
                <w:sz w:val="20"/>
                <w:szCs w:val="20"/>
                <w:color w:val="auto"/>
              </w:rPr>
            </w:pPr>
            <w:r>
              <w:rPr>
                <w:rFonts w:ascii="Arial" w:cs="Arial" w:eastAsia="Arial" w:hAnsi="Arial"/>
                <w:sz w:val="18"/>
                <w:szCs w:val="18"/>
                <w:color w:val="auto"/>
                <w:w w:val="94"/>
              </w:rPr>
              <w:t>The following table summarizes the Company’s debt balances as of September 30, 2023 and December 31, 2022 (in thousands):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68"/>
        </w:trPr>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8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SVB March 2021 Note</w:t>
            </w:r>
          </w:p>
        </w:tc>
        <w:tc>
          <w:tcPr>
            <w:tcW w:w="160" w:type="dxa"/>
            <w:vAlign w:val="bottom"/>
          </w:tcPr>
          <w:p>
            <w:pPr>
              <w:spacing w:after="0"/>
              <w:rPr>
                <w:sz w:val="21"/>
                <w:szCs w:val="21"/>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22,050</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SCI June 2021 Note</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12,979</w:t>
            </w: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35,029</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debt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(16,668)</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Unamortized discount and debt issuance costs</w:t>
            </w:r>
          </w:p>
        </w:tc>
        <w:tc>
          <w:tcPr>
            <w:tcW w:w="1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(16,692)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value of long-term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83,308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RESTRUCTURING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2023, the Company announced a restructuring plan (the “Restructuring Plan”) intended to reduce operating costs, improve operating margins, improve cash flows and accelerate the Company’s path to profitability. The Restructuring Plan included a reduction of the Company’s then-current workforce by approximately 40% or 180 positions globally.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Costs associated with the Restructuring Plan consist of employee severance payments, employee benefits and share-based compensation. The costs associated with the Restructuring Plan were recorded to the restructuring expense line item within our condensed consolidated statements of operations as incurred. During the nine months ended September 30, 2023, we recorded $3.8 million of restructuring expenses in connection with the Restructuring Plan, of which $1.4 million were cash payments. The Restructuring Plan was substantially complete as of September 30,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Legacy SoundHound Preferred Stock</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Legacy SoundHound Preferred Stock was not mandatorily redeemable. Legacy SoundHound Preferred Stock was contingently redeemable upon a deemed liquidation event which the Company determined was not solely within its control as the Company determined that a deemed liquidation event can only occur with the approval of the board of directors and the preferred shareholders maintained control of the board of directors as of December 31, 2021 and through April 26, 2022, the effective date of the Business Combination, and thus has classified shares of Legacy SoundHound Preferred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 as temporary equity. Since the occurrence of a deemed liquidation event was not probable, the carrying values of the shares of Legacy SoundHound Preferred Stock were not being accreted to their redemption values.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Legacy SoundHound Preferred Stock authorized, issued and outstanding as of the date of the Business Combination is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580" w:type="dxa"/>
            <w:vAlign w:val="bottom"/>
            <w:gridSpan w:val="2"/>
          </w:tcPr>
          <w:p>
            <w:pPr>
              <w:ind w:left="48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Liquidation</w:t>
            </w:r>
          </w:p>
        </w:tc>
        <w:tc>
          <w:tcPr>
            <w:tcW w:w="240" w:type="dxa"/>
            <w:vAlign w:val="bottom"/>
          </w:tcPr>
          <w:p>
            <w:pPr>
              <w:spacing w:after="0"/>
              <w:rPr>
                <w:sz w:val="17"/>
                <w:szCs w:val="17"/>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Carrying</w:t>
            </w:r>
          </w:p>
        </w:tc>
      </w:tr>
      <w:tr>
        <w:trPr>
          <w:trHeight w:val="241"/>
        </w:trPr>
        <w:tc>
          <w:tcPr>
            <w:tcW w:w="50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Authorized</w:t>
            </w:r>
          </w:p>
        </w:tc>
        <w:tc>
          <w:tcPr>
            <w:tcW w:w="1580" w:type="dxa"/>
            <w:vAlign w:val="bottom"/>
            <w:gridSpan w:val="2"/>
          </w:tcPr>
          <w:p>
            <w:pPr>
              <w:ind w:left="500"/>
              <w:spacing w:after="0"/>
              <w:rPr>
                <w:sz w:val="20"/>
                <w:szCs w:val="20"/>
                <w:color w:val="auto"/>
              </w:rPr>
            </w:pPr>
            <w:r>
              <w:rPr>
                <w:rFonts w:ascii="Arial" w:cs="Arial" w:eastAsia="Arial" w:hAnsi="Arial"/>
                <w:sz w:val="18"/>
                <w:szCs w:val="18"/>
                <w:b w:val="1"/>
                <w:bCs w:val="1"/>
                <w:color w:val="auto"/>
              </w:rPr>
              <w:t>Issued</w:t>
            </w: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Preference</w:t>
            </w:r>
          </w:p>
        </w:tc>
        <w:tc>
          <w:tcPr>
            <w:tcW w:w="24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Value</w:t>
            </w:r>
          </w:p>
        </w:tc>
      </w:tr>
      <w:tr>
        <w:trPr>
          <w:trHeight w:val="256"/>
        </w:trPr>
        <w:tc>
          <w:tcPr>
            <w:tcW w:w="502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19,106,048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19,106,048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rPr>
              <w:t>Series B</w:t>
            </w:r>
          </w:p>
        </w:tc>
        <w:tc>
          <w:tcPr>
            <w:tcW w:w="1480" w:type="dxa"/>
            <w:vAlign w:val="bottom"/>
          </w:tcPr>
          <w:p>
            <w:pPr>
              <w:jc w:val="right"/>
              <w:spacing w:after="0"/>
              <w:rPr>
                <w:sz w:val="20"/>
                <w:szCs w:val="20"/>
                <w:color w:val="auto"/>
              </w:rPr>
            </w:pPr>
            <w:r>
              <w:rPr>
                <w:rFonts w:ascii="Arial" w:cs="Arial" w:eastAsia="Arial" w:hAnsi="Arial"/>
                <w:sz w:val="18"/>
                <w:szCs w:val="18"/>
                <w:color w:val="auto"/>
              </w:rPr>
              <w:t>33,702,134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33,702,134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66,360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11,038</w:t>
            </w:r>
          </w:p>
        </w:tc>
      </w:tr>
      <w:tr>
        <w:trPr>
          <w:trHeight w:val="26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5,687,525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5,687,525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11,837</w:t>
            </w: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rPr>
              <w:t>Series C-1</w:t>
            </w:r>
          </w:p>
        </w:tc>
        <w:tc>
          <w:tcPr>
            <w:tcW w:w="1480" w:type="dxa"/>
            <w:vAlign w:val="bottom"/>
          </w:tcPr>
          <w:p>
            <w:pPr>
              <w:jc w:val="right"/>
              <w:spacing w:after="0"/>
              <w:rPr>
                <w:sz w:val="20"/>
                <w:szCs w:val="20"/>
                <w:color w:val="auto"/>
              </w:rPr>
            </w:pPr>
            <w:r>
              <w:rPr>
                <w:rFonts w:ascii="Arial" w:cs="Arial" w:eastAsia="Arial" w:hAnsi="Arial"/>
                <w:sz w:val="18"/>
                <w:szCs w:val="18"/>
                <w:color w:val="auto"/>
              </w:rPr>
              <w:t>4,436,090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4,436,090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89,298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16,061</w:t>
            </w:r>
          </w:p>
        </w:tc>
      </w:tr>
      <w:tr>
        <w:trPr>
          <w:trHeight w:val="26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20,258,299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20,258,299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85,648</w:t>
            </w: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rPr>
              <w:t>Series D-1</w:t>
            </w:r>
          </w:p>
        </w:tc>
        <w:tc>
          <w:tcPr>
            <w:tcW w:w="1480" w:type="dxa"/>
            <w:vAlign w:val="bottom"/>
          </w:tcPr>
          <w:p>
            <w:pPr>
              <w:jc w:val="right"/>
              <w:spacing w:after="0"/>
              <w:rPr>
                <w:sz w:val="20"/>
                <w:szCs w:val="20"/>
                <w:color w:val="auto"/>
              </w:rPr>
            </w:pPr>
            <w:r>
              <w:rPr>
                <w:rFonts w:ascii="Arial" w:cs="Arial" w:eastAsia="Arial" w:hAnsi="Arial"/>
                <w:sz w:val="18"/>
                <w:szCs w:val="18"/>
                <w:color w:val="auto"/>
              </w:rPr>
              <w:t>8,418,535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8,418,535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277,812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49,957</w:t>
            </w:r>
          </w:p>
        </w:tc>
      </w:tr>
      <w:tr>
        <w:trPr>
          <w:trHeight w:val="26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8,418,530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8,418,530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49,949</w:t>
            </w: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rPr>
              <w:t>Series D-3</w:t>
            </w:r>
          </w:p>
        </w:tc>
        <w:tc>
          <w:tcPr>
            <w:tcW w:w="1480" w:type="dxa"/>
            <w:vAlign w:val="bottom"/>
          </w:tcPr>
          <w:p>
            <w:pPr>
              <w:jc w:val="right"/>
              <w:spacing w:after="0"/>
              <w:rPr>
                <w:sz w:val="20"/>
                <w:szCs w:val="20"/>
                <w:color w:val="auto"/>
              </w:rPr>
            </w:pPr>
            <w:r>
              <w:rPr>
                <w:rFonts w:ascii="Arial" w:cs="Arial" w:eastAsia="Arial" w:hAnsi="Arial"/>
                <w:sz w:val="18"/>
                <w:szCs w:val="18"/>
                <w:color w:val="auto"/>
              </w:rPr>
              <w:t>6,922,165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6,922,165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276,887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50,046</w:t>
            </w:r>
          </w:p>
        </w:tc>
      </w:tr>
      <w:tr>
        <w:trPr>
          <w:trHeight w:val="25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D-3A</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20,835,869</w:t>
            </w:r>
          </w:p>
        </w:tc>
        <w:tc>
          <w:tcPr>
            <w:tcW w:w="1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127,785,195</w:t>
            </w:r>
          </w:p>
        </w:tc>
        <w:tc>
          <w:tcPr>
            <w:tcW w:w="10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106,949,326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1,582,562</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279,503</w:t>
            </w:r>
          </w:p>
        </w:tc>
      </w:tr>
      <w:tr>
        <w:trPr>
          <w:trHeight w:val="27"/>
        </w:trPr>
        <w:tc>
          <w:tcPr>
            <w:tcW w:w="50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the closing of the Business Combination, the outstanding shares of Series A, B, C, C-1, D, D-1, D-2, and D-3 preferred stock were converted into 106,949,326 shares of SoundHound AI Class A Common Stock at the exchange ratio of 1-for-1. Shares Authorized and Shares Issued above have been retroactively adjusted to reflect the exchange of 1 share of Legacy SoundHound stock into 5.5562 shares of the Company’s Class A or Class B Common Stock. As a result of the conversion of the Legacy SoundHound redeemable convertible preferred stock, the Company reclassified the amount of redeemable convertible preferred stock to additional paid in capital.</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the consummation of the Business Combination, the Company is authorized to issue 1,000,000 shares of preferred stock with a par value of $0.0001 per share. The number of authorized shares of preferred stock may also be increased or decreased by the affirmative vote of the holders of a majority of the voting power of all the then-outstanding shares of capital stock of the Company entitled to vote thereon, without a separate vote of the holders of preferred stock. Any new series of preferred stock may be designated, fixed and determined as provided by the Board without approval of the holders of common stock or preferred stock and the preferred stock holders may be granted such rights, powers (including voting powers) and preferences as determined by the Board in its sole discretion, including the right to elect one or more directors.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Series A Preferred Stock</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Between January 18, 2023 and January 20, 2023, the Company entered into the Purchase Agreements with the Investors, pursuant to which the Company issued and sold to the Investors an aggregate of 835,011 shares of its newly designated Series A Convertible Preferred Stock for issuance price of $30.00 per share, raising an aggregate of approximately $25.0 million in cash proceeds. On January 20, 2023, the Company filed a Certificate of Designations of Preferences, Rights and Limitations of the Series A Preferred Stock with the Secretary of State of the State of Delaware (the "Certificate of Designations"), designating shares of Series A Preferred Stock. The shares of Series A Preferred Stock were issued and sold in a private placement exempt from the registration requirements of the Securities Act. The Company does not intend to register the shares of Series A Preferred Stock or the underlying common stock for resale under the Securities Act. the holders of Series A Preferred Stock are entitled to cumulative dividends payable for such share at the rate of 14% per annum, compounding semi-annually to Liquidation Preference on January 1 and July 1 of each year. The Company may also elect to pay any dividend in cash in lieu of accretion to Liquidation Preference if permitted under the agreements and instruments governing its outstanding indebtedness at such time. After payment of the cumulative dividend, including by way of accretion to the Liquidation Preference, any additional dividends declared or paid shall be distributed among the holders of Preferred Stock and common stock then outstanding pro rata based on the number of shares of common stock</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then held by each holder (assuming conversion of all such Preferred Stock into common stock at the then-effective conversion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Liquidation Preference per share of Preferred Stock was initially equal to $30.00, the original issue price per share. On July 1, 2023, the Company's Series A Preferred Stock holders received dividends paid-in-kind as an increase in Liquidation Preference, thereby increasing the Liquidation Preference per share to approximately $31.90. Additionally, as of September 30, 2023, the Series A Preferred Stock had accrued additional dividends since the last dividend payment date which has the effect of increasing the Liquidation Preference to approximately $33.01.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Series A Preferred Stock is not mandatorily redeemable.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event of any voluntary or involuntary liquidation, dissolution or winding up of the Company or in the event of any Deemed Liquidation Event (as defined below), the holders of the Series A Preferred Stock will be entitled to receive, prior and in preference to any distribution of the proceeds of the transaction or any of the assets of the Company to holders of the common stock, an amount per share equal to the greater of (i) two and a half time (2.5x) the Liquidation Preference (including any accrued and unpaid dividends since the last dividend payment date) or (ii) the amount as would have been payable had the Series A Preferred Stock been converted into common stock.</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Deemed Liquidation Event includes (i) a merger or acquisition of the Company in which 50% or less of the voting securities of the surviving entity are no longer held by the shareholders of the Company immediately prior to such transaction or (ii) a sale, lease, transfer, exclusive license, or other disposal of all or substantially all of the Company’s assets. If the Company is not liquidated within 90 days of a Deemed Liquidation Event, the holders of the Series A Preferred Stock will have the option to require the redemption of the Preferred Stock to the extent the Company has sufficient available proceeds to do so. The Company determined that a Deemed Liquidation Event can only occur with the approval of the board of directors, and therefore the exercise of this contingent redemption feature is within the control of the Company and the Investors are not in control of the Company. Therefore, the Series A Preferred Stock is not classified as redeemable equity within the Company’s consolidated balance sheet and consolidated statements of redeemable convertible preferred stock and stockholders’ equity (deficit).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Each share of Series A Preferred Stock is convertible, at the option of the holder, into such number of shares of Class A Common Stock equal to the Liquidation Preference per share at the time of conversion divided by $1.00 (the “Conversion Price”). In addition, each share of Series A Preferred Stock will automatically convert into shares of Class A Common Stock at the Conversion Price on or after January 20, 2024 if and when the daily volume-weighted average closing price per share of Class A Common Stock is at least 2.5 times the Conversion Price for each of any 90 trading days during any 120 consecutive trading day period, which 120-trading day period may commence (but may not end) prior to January 20, 2024. During the three and nine months ended September 30, 2023, some Investors optionally converted 353,338 shares of preferred stock into 11,375,090 shares of Class A Common Stock. The conversion was pursuant to the original terms of the agreement and therefore the carrying value of Series A Preferred Stock was converted into Class A Common Stock with no gain or loss upon conversion.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Investors do not have voting rights, except with respect to certain protective provisions and as required by the Delaware General Corporation Law. However, as long as the Series A Preferred Stock are outstanding, the Company may not take certain actions that may materially and adversely impact the powers, preferences, or rights of the Investors without the consent of at least a majority of the Investors.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250,030,433 shares of Legacy SoundHound common stock authorized for issuance prior to the closing of the Business Combination.</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26, 2022, following the Business Combination and pursuant to the Company’s second amended and restated certificate of incorporation, the Company is authorized to issue 500,000,000 shares of capital stock, consisting of (a) 455,000,000 shares of Class A Common Stock with a par value of $0.0001 per share, (b) 44,000,000 shares of Class B Common Stock with a par value of $0.0001 per share, and (c) 1,000,000 shares of preferred stock with a par value of $0.0001 per share. The outstanding shares of the Company’s common stock are fully paid and non-assessable.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the Business Combination, 73,561,334 shares of Legacy SoundHound common stock, along with 106,949,326 shares of Legacy SoundHound preferred stock, were converted into 180,510,660 shares of the Company’s common stock, consisting of 140,114,060 shares of Class A Common Stock and 40,396,600 shares of the Company’s Class B Common Stock.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Each share of Class B Common Stock shall automatically convert into one fully paid and nonassessable share of Class A Common Stock. Shares of Class B Common Stock will be convertible into shares of Class A Common Stock and will be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Line of Credit ("ELOC")</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August 16, 2022, the Company entered into a common stock purchase agreement (“Common Stock Purchase Agreement”) and related registration rights agreement (the “CFPI Registration Rights Agreement”) with CF Principal Investments LLC (the “Counterparty”). Pursuant to the Common Stock Purchase Agreement, the Company had the right, but not the obligation, to direct the Counterparty to purchase up to 25,000,000 shares of Class A Common Stock, subject to certain limitations and conditions as described below (the "ELOC Program") at a purchase price equal to 97% of the volume weighted average stock price for a given purchase date. In connection with the execution of the Common Stock Purchase Agreement and the side letter on February 14, 2023, the Company issued 250,000 shares of Common Stock (the “Initial Commitment Shares”), and additional cash commitment fee of $0.3 million.</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controlled the timing and amount of any sales to the Counterparty, which depended on a variety of factors including, among other things, market conditions, the trading price of the Company’s common stock, and determinations by the Company as to appropriate sources of funding for its business and operations. However, the Counterparty’s obligation to purchase shares is subject to certain conditions, including the daily trading volume of the Company’s stock. In all instances, the Company may not sell shares of its common stock under the Purchase Agreement if it would result in the Counterparty and its affiliate beneficially owning more than 4.99% of its outstanding voting power or shares of common stock at any one point in time, or the aggregation number of shares of common stock would not exceed 39,365,804 shares of common stock representing 19.99% of the voting power or number of shares of common stock.</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evaluated the Common Stock Purchase Agreement with the Counterparty and determined that it was not indexed to the Company’s own common stock and, therefore, should be accounted for as a derivative instrument at fair value with changes in fair value as other income (expense), net in the period in which they occur. Accordingly, the Company recorded a derivative liability with an initial fair value of $1.1 million based on the upfront commitment fee in the form of proceeds from future issuance of commitment shares to the Counterparty plus certain fees and expenses as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specified in the Purchase Agreement. Subsequent changes in the fair value of the derivative liability were dependent upon, among other things, changes in the closing share price of the Company’s common stock, the quantity and purchase price of shares purchased by the Counterparty during the reporting period and the cost of raising other forms of capital.</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recorded changes in the fair value of the derivative liability associated with the ELOC of $1.1 and $1.9 million, respectively, for the nine months ended September 30, 2022 and 2023 and $1.1 million and zero, respectively, for the three months ended September 30, 2022 and 2023 as other income (expense), net on its condensed consolidated statements of operations and comprehensive loss. The Company incurred third-party costs of zero and $0.2 million, respectively, related to the execution of the Common Stock Purchase Agreement which were recorded as general and administrative expenses in the condensed consolidated statements of operations and comprehensive loss for the three and nine months ended September 30, 2023. Refer to Note 2 for information on the fair value of the derivative liability.</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six-month period ended June 30, 2023, the Company sold the entirety of the 25.0 million shares under the ELOC Program for aggregate proceeds of approximately $71.7 million, with the volume weighted average stock price of shares purchased by the Counterparty ranging from $1.75 to $4.26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Sales Agreement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28, 2023, the Company entered into a Controlled Equity Offering Sales Agreement (the “Sales Agreement”) with Cantor Fitzgerald &amp; Co., H.C. Wainwright &amp; Co., LLC, and D.A. Davidson &amp; Co. (each a “Sales Agent” and collectively, the “Sales Agents”), pursuant to which the Company may offer and sell up to $150,000,000 of shares of our Class A common stock from time to time through or to the Sales Agents acting as agent or principal. Sales of our Class A common stock, if any, under the Sales Agreement will be made at market prices by any method that is deemed to be an “at the market offering” as defined in Rule 415 under the Securities Act. We will pay the Sales Agents commission for their services in acting as agent in the sale of our Class A common stock. The Sales Agents are entitled to aggregate compensation at a fixed commission rate of 2.5% of the gross sales price per share sold under the Sales Agreement. We have also agreed to reimburse the Sales Agents for certain specified expenses, including the reasonable and documented fees and disbursements of its legal counsel in an amount not to exceed $75,000 in the aggregate in connection with the execution of the Sales Agreement. We have not sold any shares under the ATM Program as of the date 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OTHER INCOME (EXPENSE), NET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on the condensed consolidated statements of operations is comprised of the following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24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4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89"/>
              </w:rPr>
              <w:t>September 30,</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7"/>
        </w:trPr>
        <w:tc>
          <w:tcPr>
            <w:tcW w:w="5060" w:type="dxa"/>
            <w:vAlign w:val="bottom"/>
            <w:vMerge w:val="restart"/>
          </w:tcPr>
          <w:p>
            <w:pPr>
              <w:ind w:left="20"/>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6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1,204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Change in fair value of derivative liability</w:t>
            </w:r>
          </w:p>
        </w:tc>
        <w:tc>
          <w:tcPr>
            <w:tcW w:w="94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change in fair value of ELOC program</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(1,075)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income (expense), net</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1,336</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060" w:type="dxa"/>
            <w:vAlign w:val="bottom"/>
          </w:tcPr>
          <w:p>
            <w:pPr>
              <w:spacing w:after="0"/>
              <w:rPr>
                <w:sz w:val="24"/>
                <w:szCs w:val="24"/>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calculation of basic and diluted net loss per share attributable to common stockholders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ind w:left="22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ind w:left="4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ind w:left="22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ind w:left="4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5020" w:type="dxa"/>
            <w:vAlign w:val="bottom"/>
            <w:vMerge w:val="restart"/>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(70,934)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(85,832)</w:t>
            </w: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Arial" w:cs="Arial" w:eastAsia="Arial" w:hAnsi="Arial"/>
                <w:sz w:val="18"/>
                <w:szCs w:val="18"/>
                <w:color w:val="auto"/>
                <w:w w:val="99"/>
              </w:rPr>
              <w:t>Less: Cumulative dividends attributable to Series A Preferred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Stock</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SoundHound common shareholders (in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thousands)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(73,140)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(85,832)</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 and dilutive</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9"/>
              </w:rPr>
              <w:t>242,022,268</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9"/>
              </w:rPr>
              <w:t>197,006,980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9"/>
              </w:rPr>
              <w:t>222,760,880</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9"/>
              </w:rPr>
              <w:t>143,338,517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20" w:type="dxa"/>
            <w:vAlign w:val="bottom"/>
          </w:tcPr>
          <w:p>
            <w:pPr>
              <w:ind w:left="20"/>
              <w:spacing w:after="0"/>
              <w:rPr>
                <w:sz w:val="20"/>
                <w:szCs w:val="20"/>
                <w:color w:val="auto"/>
              </w:rPr>
            </w:pPr>
            <w:r>
              <w:rPr>
                <w:rFonts w:ascii="Arial" w:cs="Arial" w:eastAsia="Arial" w:hAnsi="Arial"/>
                <w:sz w:val="18"/>
                <w:szCs w:val="18"/>
                <w:color w:val="auto"/>
              </w:rPr>
              <w:t>Basic and diluted net loss per share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and nine months ended September 30, 2023 and 2022, the diluted net loss per share is equal to the basic net loss per share as the effect of potentially dilutive securities would have been antidilutive.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outstanding shares of potentially dilutive securities that were excluded from the calculation of diluted earnings per share because their inclusion would have been anti-dilutive for the three and nine months ended September 30, 2023 and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6"/>
          </w:tcPr>
          <w:p>
            <w:pPr>
              <w:jc w:val="right"/>
              <w:ind w:right="670"/>
              <w:spacing w:after="0"/>
              <w:rPr>
                <w:sz w:val="20"/>
                <w:szCs w:val="20"/>
                <w:color w:val="auto"/>
              </w:rPr>
            </w:pPr>
            <w:r>
              <w:rPr>
                <w:rFonts w:ascii="Arial" w:cs="Arial" w:eastAsia="Arial" w:hAnsi="Arial"/>
                <w:sz w:val="18"/>
                <w:szCs w:val="18"/>
                <w:b w:val="1"/>
                <w:bCs w:val="1"/>
                <w:color w:val="auto"/>
              </w:rPr>
              <w:t>As of September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awards</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36,129,323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42,052,096</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Series A Preferred Stock</w:t>
            </w: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15,897,990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6,967,532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3,665,996</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58,994,845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45,718,092</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NOTE 14. INCOME TAXES</w:t>
            </w: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47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00" w:type="dxa"/>
            <w:vAlign w:val="bottom"/>
            <w:gridSpan w:val="2"/>
          </w:tcPr>
          <w:p>
            <w:pPr>
              <w:spacing w:after="0"/>
              <w:rPr>
                <w:sz w:val="20"/>
                <w:szCs w:val="20"/>
                <w:color w:val="auto"/>
              </w:rPr>
            </w:pPr>
            <w:r>
              <w:rPr>
                <w:rFonts w:ascii="Arial" w:cs="Arial" w:eastAsia="Arial" w:hAnsi="Arial"/>
                <w:sz w:val="18"/>
                <w:szCs w:val="18"/>
                <w:color w:val="auto"/>
                <w:w w:val="89"/>
              </w:rPr>
              <w:t>The tax expense and the effective tax rate were as follows (in thousands):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20" w:type="dxa"/>
            <w:vAlign w:val="bottom"/>
            <w:gridSpan w:val="5"/>
          </w:tcPr>
          <w:p>
            <w:pPr>
              <w:jc w:val="center"/>
              <w:ind w:right="72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24"/>
                <w:szCs w:val="24"/>
                <w:color w:val="auto"/>
              </w:rPr>
            </w:pPr>
          </w:p>
        </w:tc>
        <w:tc>
          <w:tcPr>
            <w:tcW w:w="3060" w:type="dxa"/>
            <w:vAlign w:val="bottom"/>
            <w:gridSpan w:val="6"/>
          </w:tcPr>
          <w:p>
            <w:pPr>
              <w:jc w:val="center"/>
              <w:ind w:right="7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9"/>
              </w:rPr>
              <w:t>September 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5"/>
          </w:tcPr>
          <w:p>
            <w:pPr>
              <w:jc w:val="center"/>
              <w:ind w:left="770"/>
              <w:spacing w:after="0"/>
              <w:rPr>
                <w:sz w:val="20"/>
                <w:szCs w:val="20"/>
                <w:color w:val="auto"/>
              </w:rPr>
            </w:pPr>
            <w:r>
              <w:rPr>
                <w:rFonts w:ascii="Arial" w:cs="Arial" w:eastAsia="Arial" w:hAnsi="Arial"/>
                <w:sz w:val="18"/>
                <w:szCs w:val="18"/>
                <w:b w:val="1"/>
                <w:bCs w:val="1"/>
                <w:color w:val="auto"/>
                <w:w w:val="89"/>
              </w:rPr>
              <w:t>September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7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4"/>
              </w:rPr>
              <w:t>2023</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(18,636)</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(29,197)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(68,627)</w:t>
            </w:r>
          </w:p>
        </w:tc>
        <w:tc>
          <w:tcPr>
            <w:tcW w:w="8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(84,227)</w:t>
            </w:r>
          </w:p>
        </w:tc>
        <w:tc>
          <w:tcPr>
            <w:tcW w:w="0" w:type="dxa"/>
            <w:vAlign w:val="bottom"/>
          </w:tcPr>
          <w:p>
            <w:pPr>
              <w:spacing w:after="0"/>
              <w:rPr>
                <w:sz w:val="1"/>
                <w:szCs w:val="1"/>
                <w:color w:val="auto"/>
              </w:rPr>
            </w:pPr>
          </w:p>
        </w:tc>
      </w:tr>
      <w:tr>
        <w:trPr>
          <w:trHeight w:val="250"/>
        </w:trPr>
        <w:tc>
          <w:tcPr>
            <w:tcW w:w="47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6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2,307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6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6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 PARTY TRANSACTIONS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entered into revenue contracts to perform professional services for certain companies who are also investors in the Company. These companies are holders of the Company’s Class A Common Stock. As a result of the Business Combination during the second quarter of 2022, each company's ownership interest in the Company was reduced to less than 5%. Consequently, considering all aspects of our relationships with the companies, as of June 30, 2022, the Company no longer considers the companies related parties. During the three and six months ended June 30, 2022, the Company recognized revenue from the companies of $3.0 million and $5.2 million, respectively.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20, 2023, our Chief Financial Officer and one of our directors each entered into Purchase Agreements, purchasing 3,334 shares of Series A Preferred Stock each for a total purchase price of $100,000 each.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REVISION OF PREVIOUSLY ISSUED FINANCIAL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preparation of its condensed consolidated financial statements for the three and nine months ended September 30, 2023, the Company identified immaterial prior period errors related to following: 1) accounting for the ELOC as a derivative instrument; 2) classification of Lender Fees and allocation of the warrants in connection with the Term Loan; and 3) the incorrect recording of in-kind dividends associated with the Company’s Series A Preferred Stock. The identified errors were included in the Company's previously issued condensed consolidated financial statements as of and for the three and nine months ended September 30, 2022, annual consolidated financial statements as of and for the year ended December 31, 2022, and quarterly condensed consolidated financial statements for the three months ended March 31, 2023 and the three and six months ended June 30, 2023.</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SEC Staff Accounting Bulletin No. 99, “Materiality,” and SEC Staff Accounting Bulletin No. 108, “Considering the Effects of Prior Year Misstatements when Quantifying Misstatements in Current Year Financial Statements;” the Company evaluated the errors and determined that the related impacts were not material to its condensed consolidated financial statements for the prior year periods when they occurred, but the Company determined it would be appropriate to correct the errors in the current period in the Company’s consolidated statements of operations and comprehensive loss, consolidated balance sheets, consolidated statements of cash flows or consolidated statements of redeemable convertible preferred stock and stockholders’ deficit for any periods impacted.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revised the previously issued consolidated statements of operations and comprehensive loss, consolidated balance sheets, consolidated statements of cash flows and redeemable convertible preferred stock and stockholders’ deficit tables as of and for the year ended December 31, 2022, as of and for the three and nine months ended September 30, 2022, as of and for the three months ended March 31, 2023, and as of and for the three and six months ended June 30, 2023 to correct for such errors. All relevant prior period amounts affected by these revisions have been corrected in the notes in this Form 10-Q.</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reflect the impact of these revisions on the Company’s condensed consolidated financial statements as of and for the three and six months ended June 30, 2023 (</w:t>
      </w:r>
      <w:r>
        <w:rPr>
          <w:rFonts w:ascii="Arial" w:cs="Arial" w:eastAsia="Arial" w:hAnsi="Arial"/>
          <w:sz w:val="18"/>
          <w:szCs w:val="18"/>
          <w:i w:val="1"/>
          <w:iCs w:val="1"/>
          <w:color w:val="auto"/>
        </w:rPr>
        <w:t>dollars in thousands, except per share amounts</w:t>
      </w:r>
      <w:r>
        <w:rPr>
          <w:rFonts w:ascii="Arial" w:cs="Arial" w:eastAsia="Arial" w:hAnsi="Arial"/>
          <w:sz w:val="18"/>
          <w:szCs w:val="18"/>
          <w:color w:val="auto"/>
        </w:rPr>
        <w: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Condensed Consolidated Balance Sheet</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1"/>
          <w:szCs w:val="11"/>
          <w:color w:val="auto"/>
        </w:rPr>
        <w:t>Accrued liabilities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Total current liabilities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Notes payable, net of current portion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Other non-current liabilities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Total liabilities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Additional paid-in capital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Accumulated deficit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Total stockholders’ equity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Total liabilities and stockholders’ equity</w:t>
      </w: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Condensed Consolidated Statements Of Operations And Comprehensive Loss</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1"/>
          <w:szCs w:val="11"/>
          <w:color w:val="auto"/>
        </w:rPr>
        <w:t>General and administrative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Loss from operations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Other income (expense),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Total other expense,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Loss before provision for income taxes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loss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Less: accrual of Series A Preferred Stock paid-in-kind dividends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loss attributable to common stockholders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loss per share: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Basic and diluted</w:t>
      </w: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Condensed Consolidated Statements Of Operations And Comprehensive Loss</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1"/>
          <w:szCs w:val="11"/>
          <w:color w:val="auto"/>
        </w:rPr>
        <w:t>General and administrative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Loss from operations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Other income (expense),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Total other expense,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Loss before provision for income taxes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loss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Less: accrual of Series A Preferred Stock paid-in-kind dividends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loss attributable to common stockholders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loss per share: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Basic and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00"/>
        <w:spacing w:after="0"/>
        <w:rPr>
          <w:sz w:val="20"/>
          <w:szCs w:val="20"/>
          <w:color w:val="auto"/>
        </w:rPr>
      </w:pPr>
      <w:r>
        <w:rPr>
          <w:rFonts w:ascii="Arial" w:cs="Arial" w:eastAsia="Arial" w:hAnsi="Arial"/>
          <w:sz w:val="11"/>
          <w:szCs w:val="11"/>
          <w:b w:val="1"/>
          <w:bCs w:val="1"/>
          <w:color w:val="auto"/>
        </w:rPr>
        <w:t>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29489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40" w:type="dxa"/>
            <w:vAlign w:val="bottom"/>
          </w:tcPr>
          <w:p>
            <w:pPr>
              <w:spacing w:after="0"/>
              <w:rPr>
                <w:sz w:val="12"/>
                <w:szCs w:val="12"/>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As Previously Reported</w:t>
            </w:r>
          </w:p>
        </w:tc>
        <w:tc>
          <w:tcPr>
            <w:tcW w:w="1040" w:type="dxa"/>
            <w:vAlign w:val="bottom"/>
          </w:tcPr>
          <w:p>
            <w:pPr>
              <w:jc w:val="right"/>
              <w:spacing w:after="0"/>
              <w:rPr>
                <w:sz w:val="20"/>
                <w:szCs w:val="20"/>
                <w:color w:val="auto"/>
              </w:rPr>
            </w:pPr>
            <w:r>
              <w:rPr>
                <w:rFonts w:ascii="Arial" w:cs="Arial" w:eastAsia="Arial" w:hAnsi="Arial"/>
                <w:sz w:val="11"/>
                <w:szCs w:val="11"/>
                <w:b w:val="1"/>
                <w:bCs w:val="1"/>
                <w:color w:val="auto"/>
              </w:rPr>
              <w:t>Adjustment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ind w:right="426"/>
              <w:spacing w:after="0"/>
              <w:rPr>
                <w:sz w:val="20"/>
                <w:szCs w:val="20"/>
                <w:color w:val="auto"/>
              </w:rPr>
            </w:pPr>
            <w:r>
              <w:rPr>
                <w:rFonts w:ascii="Arial" w:cs="Arial" w:eastAsia="Arial" w:hAnsi="Arial"/>
                <w:sz w:val="11"/>
                <w:szCs w:val="11"/>
                <w:b w:val="1"/>
                <w:bCs w:val="1"/>
                <w:color w:val="auto"/>
              </w:rPr>
              <w:t>As Revised</w:t>
            </w:r>
          </w:p>
        </w:tc>
      </w:tr>
      <w:tr>
        <w:trPr>
          <w:trHeight w:val="36"/>
        </w:trPr>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47"/>
        </w:trPr>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16,381</w:t>
            </w:r>
          </w:p>
        </w:tc>
        <w:tc>
          <w:tcPr>
            <w:tcW w:w="100" w:type="dxa"/>
            <w:vAlign w:val="bottom"/>
          </w:tcPr>
          <w:p>
            <w:pPr>
              <w:spacing w:after="0"/>
              <w:rPr>
                <w:sz w:val="12"/>
                <w:szCs w:val="12"/>
                <w:color w:val="auto"/>
              </w:rPr>
            </w:pPr>
          </w:p>
        </w:tc>
        <w:tc>
          <w:tcPr>
            <w:tcW w:w="1040" w:type="dxa"/>
            <w:vAlign w:val="bottom"/>
          </w:tcPr>
          <w:p>
            <w:pPr>
              <w:jc w:val="right"/>
              <w:ind w:right="93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(2,872)</w:t>
            </w:r>
          </w:p>
        </w:tc>
        <w:tc>
          <w:tcPr>
            <w:tcW w:w="10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13,509</w:t>
            </w:r>
          </w:p>
        </w:tc>
      </w:tr>
      <w:tr>
        <w:trPr>
          <w:trHeight w:val="189"/>
        </w:trPr>
        <w:tc>
          <w:tcPr>
            <w:tcW w:w="140" w:type="dxa"/>
            <w:vAlign w:val="bottom"/>
          </w:tcPr>
          <w:p>
            <w:pPr>
              <w:spacing w:after="0"/>
              <w:rPr>
                <w:sz w:val="16"/>
                <w:szCs w:val="16"/>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27,003</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(2,872)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24,131</w:t>
            </w:r>
          </w:p>
        </w:tc>
      </w:tr>
      <w:tr>
        <w:trPr>
          <w:trHeight w:val="189"/>
        </w:trPr>
        <w:tc>
          <w:tcPr>
            <w:tcW w:w="140" w:type="dxa"/>
            <w:vAlign w:val="bottom"/>
          </w:tcPr>
          <w:p>
            <w:pPr>
              <w:spacing w:after="0"/>
              <w:rPr>
                <w:sz w:val="16"/>
                <w:szCs w:val="16"/>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66,428</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15,872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82,300</w:t>
            </w:r>
          </w:p>
        </w:tc>
      </w:tr>
      <w:tr>
        <w:trPr>
          <w:trHeight w:val="189"/>
        </w:trPr>
        <w:tc>
          <w:tcPr>
            <w:tcW w:w="140" w:type="dxa"/>
            <w:vAlign w:val="bottom"/>
          </w:tcPr>
          <w:p>
            <w:pPr>
              <w:spacing w:after="0"/>
              <w:rPr>
                <w:sz w:val="16"/>
                <w:szCs w:val="16"/>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16,824</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w w:val="97"/>
              </w:rPr>
              <w:t>(12,821)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4,003</w:t>
            </w:r>
          </w:p>
        </w:tc>
      </w:tr>
      <w:tr>
        <w:trPr>
          <w:trHeight w:val="189"/>
        </w:trPr>
        <w:tc>
          <w:tcPr>
            <w:tcW w:w="140" w:type="dxa"/>
            <w:vAlign w:val="bottom"/>
          </w:tcPr>
          <w:p>
            <w:pPr>
              <w:spacing w:after="0"/>
              <w:rPr>
                <w:sz w:val="16"/>
                <w:szCs w:val="16"/>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118,789</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179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118,968</w:t>
            </w:r>
          </w:p>
        </w:tc>
      </w:tr>
      <w:tr>
        <w:trPr>
          <w:trHeight w:val="189"/>
        </w:trPr>
        <w:tc>
          <w:tcPr>
            <w:tcW w:w="140" w:type="dxa"/>
            <w:vAlign w:val="bottom"/>
          </w:tcPr>
          <w:p>
            <w:pPr>
              <w:spacing w:after="0"/>
              <w:rPr>
                <w:sz w:val="16"/>
                <w:szCs w:val="16"/>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564,197</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3,597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567,794</w:t>
            </w:r>
          </w:p>
        </w:tc>
      </w:tr>
      <w:tr>
        <w:trPr>
          <w:trHeight w:val="189"/>
        </w:trPr>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(550,403)</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(3,776)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(554,179)</w:t>
            </w:r>
          </w:p>
        </w:tc>
      </w:tr>
      <w:tr>
        <w:trPr>
          <w:trHeight w:val="189"/>
        </w:trPr>
        <w:tc>
          <w:tcPr>
            <w:tcW w:w="140" w:type="dxa"/>
            <w:vAlign w:val="bottom"/>
          </w:tcPr>
          <w:p>
            <w:pPr>
              <w:spacing w:after="0"/>
              <w:rPr>
                <w:sz w:val="16"/>
                <w:szCs w:val="16"/>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38,789</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(179)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38,610</w:t>
            </w:r>
          </w:p>
        </w:tc>
      </w:tr>
      <w:tr>
        <w:trPr>
          <w:trHeight w:val="189"/>
        </w:trPr>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157,578</w:t>
            </w:r>
          </w:p>
        </w:tc>
        <w:tc>
          <w:tcPr>
            <w:tcW w:w="100" w:type="dxa"/>
            <w:vAlign w:val="bottom"/>
          </w:tcPr>
          <w:p>
            <w:pPr>
              <w:spacing w:after="0"/>
              <w:rPr>
                <w:sz w:val="16"/>
                <w:szCs w:val="16"/>
                <w:color w:val="auto"/>
              </w:rPr>
            </w:pPr>
          </w:p>
        </w:tc>
        <w:tc>
          <w:tcPr>
            <w:tcW w:w="1040" w:type="dxa"/>
            <w:vAlign w:val="bottom"/>
          </w:tcPr>
          <w:p>
            <w:pPr>
              <w:jc w:val="right"/>
              <w:ind w:right="930"/>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157,578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-1065530</wp:posOffset>
            </wp:positionV>
            <wp:extent cx="713232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-817245</wp:posOffset>
            </wp:positionV>
            <wp:extent cx="7132320"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-576580</wp:posOffset>
            </wp:positionV>
            <wp:extent cx="7132320"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-336550</wp:posOffset>
            </wp:positionV>
            <wp:extent cx="7132320"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-96520</wp:posOffset>
            </wp:positionV>
            <wp:extent cx="7132320"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366" w:lineRule="exact"/>
        <w:rPr>
          <w:sz w:val="20"/>
          <w:szCs w:val="20"/>
          <w:color w:val="auto"/>
        </w:rPr>
      </w:pPr>
    </w:p>
    <w:p>
      <w:pPr>
        <w:ind w:left="1500"/>
        <w:spacing w:after="0"/>
        <w:rPr>
          <w:sz w:val="20"/>
          <w:szCs w:val="20"/>
          <w:color w:val="auto"/>
        </w:rPr>
      </w:pPr>
      <w:r>
        <w:rPr>
          <w:rFonts w:ascii="Arial" w:cs="Arial" w:eastAsia="Arial" w:hAnsi="Arial"/>
          <w:sz w:val="11"/>
          <w:szCs w:val="11"/>
          <w:b w:val="1"/>
          <w:bCs w:val="1"/>
          <w:color w:val="auto"/>
        </w:rPr>
        <w:t>Three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29489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40" w:type="dxa"/>
            <w:vAlign w:val="bottom"/>
          </w:tcPr>
          <w:p>
            <w:pPr>
              <w:spacing w:after="0"/>
              <w:rPr>
                <w:sz w:val="12"/>
                <w:szCs w:val="12"/>
                <w:color w:val="auto"/>
              </w:rPr>
            </w:pPr>
          </w:p>
        </w:tc>
        <w:tc>
          <w:tcPr>
            <w:tcW w:w="1340" w:type="dxa"/>
            <w:vAlign w:val="bottom"/>
          </w:tcPr>
          <w:p>
            <w:pPr>
              <w:jc w:val="right"/>
              <w:ind w:right="146"/>
              <w:spacing w:after="0"/>
              <w:rPr>
                <w:sz w:val="20"/>
                <w:szCs w:val="20"/>
                <w:color w:val="auto"/>
              </w:rPr>
            </w:pPr>
            <w:r>
              <w:rPr>
                <w:rFonts w:ascii="Arial" w:cs="Arial" w:eastAsia="Arial" w:hAnsi="Arial"/>
                <w:sz w:val="11"/>
                <w:szCs w:val="11"/>
                <w:b w:val="1"/>
                <w:bCs w:val="1"/>
                <w:color w:val="auto"/>
                <w:w w:val="90"/>
              </w:rPr>
              <w:t>As Previously Reported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2"/>
              </w:rPr>
              <w:t>Adjustment</w:t>
            </w:r>
          </w:p>
        </w:tc>
        <w:tc>
          <w:tcPr>
            <w:tcW w:w="280" w:type="dxa"/>
            <w:vAlign w:val="bottom"/>
          </w:tcPr>
          <w:p>
            <w:pPr>
              <w:spacing w:after="0"/>
              <w:rPr>
                <w:sz w:val="12"/>
                <w:szCs w:val="12"/>
                <w:color w:val="auto"/>
              </w:rPr>
            </w:pPr>
          </w:p>
        </w:tc>
        <w:tc>
          <w:tcPr>
            <w:tcW w:w="1200" w:type="dxa"/>
            <w:vAlign w:val="bottom"/>
          </w:tcPr>
          <w:p>
            <w:pPr>
              <w:jc w:val="right"/>
              <w:ind w:right="426"/>
              <w:spacing w:after="0"/>
              <w:rPr>
                <w:sz w:val="20"/>
                <w:szCs w:val="20"/>
                <w:color w:val="auto"/>
              </w:rPr>
            </w:pPr>
            <w:r>
              <w:rPr>
                <w:rFonts w:ascii="Arial" w:cs="Arial" w:eastAsia="Arial" w:hAnsi="Arial"/>
                <w:sz w:val="11"/>
                <w:szCs w:val="11"/>
                <w:b w:val="1"/>
                <w:bCs w:val="1"/>
                <w:color w:val="auto"/>
              </w:rPr>
              <w:t>As Revised</w:t>
            </w:r>
          </w:p>
        </w:tc>
      </w:tr>
      <w:tr>
        <w:trPr>
          <w:trHeight w:val="36"/>
        </w:trPr>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47"/>
        </w:trPr>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6,377</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6,424</w:t>
            </w:r>
          </w:p>
        </w:tc>
      </w:tr>
      <w:tr>
        <w:trPr>
          <w:trHeight w:val="189"/>
        </w:trPr>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(16,436)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(16,483)</w:t>
            </w:r>
          </w:p>
        </w:tc>
      </w:tr>
      <w:tr>
        <w:trPr>
          <w:trHeight w:val="189"/>
        </w:trPr>
        <w:tc>
          <w:tcPr>
            <w:tcW w:w="140" w:type="dxa"/>
            <w:vAlign w:val="bottom"/>
          </w:tcPr>
          <w:p>
            <w:pPr>
              <w:spacing w:after="0"/>
              <w:rPr>
                <w:sz w:val="16"/>
                <w:szCs w:val="16"/>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493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(1,328)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(835)</w:t>
            </w:r>
          </w:p>
        </w:tc>
      </w:tr>
      <w:tr>
        <w:trPr>
          <w:trHeight w:val="189"/>
        </w:trPr>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(5,079)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(1,328)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(6,407)</w:t>
            </w:r>
          </w:p>
        </w:tc>
      </w:tr>
      <w:tr>
        <w:trPr>
          <w:trHeight w:val="189"/>
        </w:trPr>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(21,515)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(1,375)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(22,890)</w:t>
            </w:r>
          </w:p>
        </w:tc>
      </w:tr>
      <w:tr>
        <w:trPr>
          <w:trHeight w:val="189"/>
        </w:trPr>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(21,932)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(1,375)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(23,307)</w:t>
            </w:r>
          </w:p>
        </w:tc>
      </w:tr>
      <w:tr>
        <w:trPr>
          <w:trHeight w:val="189"/>
        </w:trPr>
        <w:tc>
          <w:tcPr>
            <w:tcW w:w="140" w:type="dxa"/>
            <w:vAlign w:val="bottom"/>
          </w:tcPr>
          <w:p>
            <w:pPr>
              <w:spacing w:after="0"/>
              <w:rPr>
                <w:sz w:val="16"/>
                <w:szCs w:val="16"/>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(877)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(877)</w:t>
            </w:r>
          </w:p>
        </w:tc>
      </w:tr>
      <w:tr>
        <w:trPr>
          <w:trHeight w:val="189"/>
        </w:trPr>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(21,932)</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(2,252)</w:t>
            </w:r>
          </w:p>
        </w:tc>
        <w:tc>
          <w:tcPr>
            <w:tcW w:w="100" w:type="dxa"/>
            <w:vAlign w:val="bottom"/>
          </w:tcPr>
          <w:p>
            <w:pPr>
              <w:spacing w:after="0"/>
              <w:rPr>
                <w:sz w:val="16"/>
                <w:szCs w:val="16"/>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(24,184)</w:t>
            </w:r>
          </w:p>
        </w:tc>
      </w:tr>
      <w:tr>
        <w:trPr>
          <w:trHeight w:val="648"/>
        </w:trPr>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(0.10)</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(0.01)</w:t>
            </w:r>
          </w:p>
        </w:tc>
        <w:tc>
          <w:tcPr>
            <w:tcW w:w="100" w:type="dxa"/>
            <w:vAlign w:val="bottom"/>
          </w:tcPr>
          <w:p>
            <w:pPr>
              <w:spacing w:after="0"/>
              <w:rPr>
                <w:sz w:val="24"/>
                <w:szCs w:val="24"/>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(0.11)</w:t>
            </w:r>
          </w:p>
        </w:tc>
      </w:tr>
      <w:tr>
        <w:trPr>
          <w:trHeight w:val="513"/>
        </w:trPr>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Arial" w:cs="Arial" w:eastAsia="Arial" w:hAnsi="Arial"/>
                <w:sz w:val="11"/>
                <w:szCs w:val="11"/>
                <w:b w:val="1"/>
                <w:bCs w:val="1"/>
                <w:color w:val="auto"/>
                <w:w w:val="89"/>
              </w:rPr>
              <w:t>Six Months Ended June 30, 2023</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5"/>
        </w:trPr>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47"/>
        </w:trPr>
        <w:tc>
          <w:tcPr>
            <w:tcW w:w="140" w:type="dxa"/>
            <w:vAlign w:val="bottom"/>
          </w:tcPr>
          <w:p>
            <w:pPr>
              <w:spacing w:after="0"/>
              <w:rPr>
                <w:sz w:val="12"/>
                <w:szCs w:val="12"/>
                <w:color w:val="auto"/>
              </w:rPr>
            </w:pPr>
          </w:p>
        </w:tc>
        <w:tc>
          <w:tcPr>
            <w:tcW w:w="1340" w:type="dxa"/>
            <w:vAlign w:val="bottom"/>
          </w:tcPr>
          <w:p>
            <w:pPr>
              <w:jc w:val="right"/>
              <w:ind w:right="146"/>
              <w:spacing w:after="0"/>
              <w:rPr>
                <w:sz w:val="20"/>
                <w:szCs w:val="20"/>
                <w:color w:val="auto"/>
              </w:rPr>
            </w:pPr>
            <w:r>
              <w:rPr>
                <w:rFonts w:ascii="Arial" w:cs="Arial" w:eastAsia="Arial" w:hAnsi="Arial"/>
                <w:sz w:val="11"/>
                <w:szCs w:val="11"/>
                <w:b w:val="1"/>
                <w:bCs w:val="1"/>
                <w:color w:val="auto"/>
                <w:w w:val="90"/>
              </w:rPr>
              <w:t>As Previously Reported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2"/>
              </w:rPr>
              <w:t>Adjustment</w:t>
            </w:r>
          </w:p>
        </w:tc>
        <w:tc>
          <w:tcPr>
            <w:tcW w:w="280" w:type="dxa"/>
            <w:vAlign w:val="bottom"/>
          </w:tcPr>
          <w:p>
            <w:pPr>
              <w:spacing w:after="0"/>
              <w:rPr>
                <w:sz w:val="12"/>
                <w:szCs w:val="12"/>
                <w:color w:val="auto"/>
              </w:rPr>
            </w:pPr>
          </w:p>
        </w:tc>
        <w:tc>
          <w:tcPr>
            <w:tcW w:w="1200" w:type="dxa"/>
            <w:vAlign w:val="bottom"/>
          </w:tcPr>
          <w:p>
            <w:pPr>
              <w:jc w:val="right"/>
              <w:ind w:right="426"/>
              <w:spacing w:after="0"/>
              <w:rPr>
                <w:sz w:val="20"/>
                <w:szCs w:val="20"/>
                <w:color w:val="auto"/>
              </w:rPr>
            </w:pPr>
            <w:r>
              <w:rPr>
                <w:rFonts w:ascii="Arial" w:cs="Arial" w:eastAsia="Arial" w:hAnsi="Arial"/>
                <w:sz w:val="11"/>
                <w:szCs w:val="11"/>
                <w:b w:val="1"/>
                <w:bCs w:val="1"/>
                <w:color w:val="auto"/>
              </w:rPr>
              <w:t>As Revised</w:t>
            </w:r>
          </w:p>
        </w:tc>
      </w:tr>
      <w:tr>
        <w:trPr>
          <w:trHeight w:val="35"/>
        </w:trPr>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47"/>
        </w:trPr>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13,502</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211</w:t>
            </w:r>
          </w:p>
        </w:tc>
        <w:tc>
          <w:tcPr>
            <w:tcW w:w="10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13,713</w:t>
            </w:r>
          </w:p>
        </w:tc>
      </w:tr>
      <w:tr>
        <w:trPr>
          <w:trHeight w:val="189"/>
        </w:trPr>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(41,474)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(211)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(41,685)</w:t>
            </w:r>
          </w:p>
        </w:tc>
      </w:tr>
      <w:tr>
        <w:trPr>
          <w:trHeight w:val="189"/>
        </w:trPr>
        <w:tc>
          <w:tcPr>
            <w:tcW w:w="140" w:type="dxa"/>
            <w:vAlign w:val="bottom"/>
          </w:tcPr>
          <w:p>
            <w:pPr>
              <w:spacing w:after="0"/>
              <w:rPr>
                <w:sz w:val="16"/>
                <w:szCs w:val="16"/>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587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(2,225)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(1,638)</w:t>
            </w:r>
          </w:p>
        </w:tc>
      </w:tr>
      <w:tr>
        <w:trPr>
          <w:trHeight w:val="189"/>
        </w:trPr>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(6,081)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(2,225)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(8,306)</w:t>
            </w:r>
          </w:p>
        </w:tc>
      </w:tr>
      <w:tr>
        <w:trPr>
          <w:trHeight w:val="189"/>
        </w:trPr>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(47,555)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(2,436)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(49,991)</w:t>
            </w:r>
          </w:p>
        </w:tc>
      </w:tr>
      <w:tr>
        <w:trPr>
          <w:trHeight w:val="189"/>
        </w:trPr>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(48,301)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(2,436)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(50,737)</w:t>
            </w:r>
          </w:p>
        </w:tc>
      </w:tr>
      <w:tr>
        <w:trPr>
          <w:trHeight w:val="189"/>
        </w:trPr>
        <w:tc>
          <w:tcPr>
            <w:tcW w:w="140" w:type="dxa"/>
            <w:vAlign w:val="bottom"/>
          </w:tcPr>
          <w:p>
            <w:pPr>
              <w:spacing w:after="0"/>
              <w:rPr>
                <w:sz w:val="16"/>
                <w:szCs w:val="16"/>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(1,559)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(1,559)</w:t>
            </w:r>
          </w:p>
        </w:tc>
      </w:tr>
      <w:tr>
        <w:trPr>
          <w:trHeight w:val="189"/>
        </w:trPr>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(48,301)</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(3,995)</w:t>
            </w:r>
          </w:p>
        </w:tc>
        <w:tc>
          <w:tcPr>
            <w:tcW w:w="100" w:type="dxa"/>
            <w:vAlign w:val="bottom"/>
          </w:tcPr>
          <w:p>
            <w:pPr>
              <w:spacing w:after="0"/>
              <w:rPr>
                <w:sz w:val="16"/>
                <w:szCs w:val="16"/>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(52,296)</w:t>
            </w:r>
          </w:p>
        </w:tc>
      </w:tr>
      <w:tr>
        <w:trPr>
          <w:trHeight w:val="648"/>
        </w:trPr>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(0.23)</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(0.02)</w:t>
            </w:r>
          </w:p>
        </w:tc>
        <w:tc>
          <w:tcPr>
            <w:tcW w:w="100" w:type="dxa"/>
            <w:vAlign w:val="bottom"/>
          </w:tcPr>
          <w:p>
            <w:pPr>
              <w:spacing w:after="0"/>
              <w:rPr>
                <w:sz w:val="24"/>
                <w:szCs w:val="24"/>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-3191510</wp:posOffset>
            </wp:positionV>
            <wp:extent cx="713232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-2942590</wp:posOffset>
            </wp:positionV>
            <wp:extent cx="7132320" cy="120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-2702560</wp:posOffset>
            </wp:positionV>
            <wp:extent cx="7132320"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-2463165</wp:posOffset>
            </wp:positionV>
            <wp:extent cx="7132320"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-2222500</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-1931035</wp:posOffset>
            </wp:positionV>
            <wp:extent cx="7132320"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-1356995</wp:posOffset>
            </wp:positionV>
            <wp:extent cx="713232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-1108075</wp:posOffset>
            </wp:positionV>
            <wp:extent cx="7132320" cy="120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-868045</wp:posOffset>
            </wp:positionV>
            <wp:extent cx="7132320" cy="1200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-628015</wp:posOffset>
            </wp:positionV>
            <wp:extent cx="7132320" cy="120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-388620</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-96520</wp:posOffset>
            </wp:positionV>
            <wp:extent cx="7132320" cy="120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640"/>
          </w:cols>
          <w:pgMar w:left="320" w:top="337" w:right="339" w:bottom="1440" w:gutter="0" w:footer="0" w:header="0"/>
          <w:type w:val="continuous"/>
        </w:sect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80" w:type="dxa"/>
            <w:vAlign w:val="bottom"/>
            <w:gridSpan w:val="4"/>
          </w:tcPr>
          <w:p>
            <w:pPr>
              <w:jc w:val="center"/>
              <w:spacing w:after="0"/>
              <w:rPr>
                <w:sz w:val="20"/>
                <w:szCs w:val="20"/>
                <w:color w:val="auto"/>
              </w:rPr>
            </w:pPr>
            <w:r>
              <w:rPr>
                <w:rFonts w:ascii="Arial" w:cs="Arial" w:eastAsia="Arial" w:hAnsi="Arial"/>
                <w:sz w:val="11"/>
                <w:szCs w:val="11"/>
                <w:b w:val="1"/>
                <w:bCs w:val="1"/>
                <w:color w:val="auto"/>
                <w:w w:val="89"/>
              </w:rPr>
              <w:t>Three Months Ended June 30, 2023</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36"/>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47"/>
        </w:trPr>
        <w:tc>
          <w:tcPr>
            <w:tcW w:w="6600" w:type="dxa"/>
            <w:vAlign w:val="bottom"/>
          </w:tcPr>
          <w:p>
            <w:pPr>
              <w:ind w:left="20"/>
              <w:spacing w:after="0"/>
              <w:rPr>
                <w:sz w:val="20"/>
                <w:szCs w:val="20"/>
                <w:color w:val="auto"/>
              </w:rPr>
            </w:pPr>
            <w:r>
              <w:rPr>
                <w:rFonts w:ascii="Arial" w:cs="Arial" w:eastAsia="Arial" w:hAnsi="Arial"/>
                <w:sz w:val="11"/>
                <w:szCs w:val="11"/>
                <w:b w:val="1"/>
                <w:bCs w:val="1"/>
                <w:color w:val="auto"/>
              </w:rPr>
              <w:t>Condensed Consolidated Statement of Stockholders' Equity (Deficit)</w:t>
            </w:r>
          </w:p>
        </w:tc>
        <w:tc>
          <w:tcPr>
            <w:tcW w:w="140" w:type="dxa"/>
            <w:vAlign w:val="bottom"/>
          </w:tcPr>
          <w:p>
            <w:pPr>
              <w:spacing w:after="0"/>
              <w:rPr>
                <w:sz w:val="12"/>
                <w:szCs w:val="12"/>
                <w:color w:val="auto"/>
              </w:rPr>
            </w:pPr>
          </w:p>
        </w:tc>
        <w:tc>
          <w:tcPr>
            <w:tcW w:w="1340" w:type="dxa"/>
            <w:vAlign w:val="bottom"/>
          </w:tcPr>
          <w:p>
            <w:pPr>
              <w:jc w:val="right"/>
              <w:ind w:right="146"/>
              <w:spacing w:after="0"/>
              <w:rPr>
                <w:sz w:val="20"/>
                <w:szCs w:val="20"/>
                <w:color w:val="auto"/>
              </w:rPr>
            </w:pPr>
            <w:r>
              <w:rPr>
                <w:rFonts w:ascii="Arial" w:cs="Arial" w:eastAsia="Arial" w:hAnsi="Arial"/>
                <w:sz w:val="11"/>
                <w:szCs w:val="11"/>
                <w:b w:val="1"/>
                <w:bCs w:val="1"/>
                <w:color w:val="auto"/>
                <w:w w:val="90"/>
              </w:rPr>
              <w:t>As Previously Reported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2"/>
              </w:rPr>
              <w:t>Adjustment</w:t>
            </w:r>
          </w:p>
        </w:tc>
        <w:tc>
          <w:tcPr>
            <w:tcW w:w="280" w:type="dxa"/>
            <w:vAlign w:val="bottom"/>
          </w:tcPr>
          <w:p>
            <w:pPr>
              <w:spacing w:after="0"/>
              <w:rPr>
                <w:sz w:val="12"/>
                <w:szCs w:val="12"/>
                <w:color w:val="auto"/>
              </w:rPr>
            </w:pPr>
          </w:p>
        </w:tc>
        <w:tc>
          <w:tcPr>
            <w:tcW w:w="1200" w:type="dxa"/>
            <w:vAlign w:val="bottom"/>
          </w:tcPr>
          <w:p>
            <w:pPr>
              <w:jc w:val="right"/>
              <w:ind w:right="426"/>
              <w:spacing w:after="0"/>
              <w:rPr>
                <w:sz w:val="20"/>
                <w:szCs w:val="20"/>
                <w:color w:val="auto"/>
              </w:rPr>
            </w:pPr>
            <w:r>
              <w:rPr>
                <w:rFonts w:ascii="Arial" w:cs="Arial" w:eastAsia="Arial" w:hAnsi="Arial"/>
                <w:sz w:val="11"/>
                <w:szCs w:val="11"/>
                <w:b w:val="1"/>
                <w:bCs w:val="1"/>
                <w:color w:val="auto"/>
              </w:rPr>
              <w:t>As Revised</w:t>
            </w:r>
          </w:p>
        </w:tc>
      </w:tr>
      <w:tr>
        <w:trPr>
          <w:trHeight w:val="36"/>
        </w:trPr>
        <w:tc>
          <w:tcPr>
            <w:tcW w:w="6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6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Additional paid-in capital</w:t>
            </w: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564,197</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CCEEFF"/>
            </w:tcBorders>
            <w:shd w:val="clear" w:color="auto" w:fill="CCEEFF"/>
          </w:tcPr>
          <w:p>
            <w:pPr>
              <w:jc w:val="center"/>
              <w:ind w:left="806"/>
              <w:spacing w:after="0"/>
              <w:rPr>
                <w:sz w:val="20"/>
                <w:szCs w:val="20"/>
                <w:color w:val="auto"/>
              </w:rPr>
            </w:pPr>
            <w:r>
              <w:rPr>
                <w:rFonts w:ascii="Arial" w:cs="Arial" w:eastAsia="Arial" w:hAnsi="Arial"/>
                <w:sz w:val="11"/>
                <w:szCs w:val="11"/>
                <w:color w:val="auto"/>
                <w:w w:val="87"/>
              </w:rPr>
              <w:t>3,597</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567,794</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Accumulated deficit</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(550,403)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left="806"/>
              <w:spacing w:after="0"/>
              <w:rPr>
                <w:sz w:val="20"/>
                <w:szCs w:val="20"/>
                <w:color w:val="auto"/>
              </w:rPr>
            </w:pPr>
            <w:r>
              <w:rPr>
                <w:rFonts w:ascii="Arial" w:cs="Arial" w:eastAsia="Arial" w:hAnsi="Arial"/>
                <w:sz w:val="11"/>
                <w:szCs w:val="11"/>
                <w:color w:val="auto"/>
                <w:w w:val="91"/>
              </w:rPr>
              <w:t>(3,776)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(554,179)</w:t>
            </w:r>
          </w:p>
        </w:tc>
      </w:tr>
      <w:tr>
        <w:trPr>
          <w:trHeight w:val="36"/>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53"/>
        </w:trPr>
        <w:tc>
          <w:tcPr>
            <w:tcW w:w="6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(21,932)</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20" w:type="dxa"/>
            <w:vAlign w:val="bottom"/>
            <w:shd w:val="clear" w:color="auto" w:fill="CCEEFF"/>
          </w:tcPr>
          <w:p>
            <w:pPr>
              <w:jc w:val="center"/>
              <w:ind w:left="806"/>
              <w:spacing w:after="0"/>
              <w:rPr>
                <w:sz w:val="20"/>
                <w:szCs w:val="20"/>
                <w:color w:val="auto"/>
              </w:rPr>
            </w:pPr>
            <w:r>
              <w:rPr>
                <w:rFonts w:ascii="Arial" w:cs="Arial" w:eastAsia="Arial" w:hAnsi="Arial"/>
                <w:sz w:val="11"/>
                <w:szCs w:val="11"/>
                <w:color w:val="auto"/>
                <w:w w:val="91"/>
              </w:rPr>
              <w:t>(1,375)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(23,307)</w:t>
            </w:r>
          </w:p>
        </w:tc>
      </w:tr>
      <w:tr>
        <w:trPr>
          <w:trHeight w:val="36"/>
        </w:trPr>
        <w:tc>
          <w:tcPr>
            <w:tcW w:w="6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80" w:type="dxa"/>
            <w:vAlign w:val="bottom"/>
            <w:gridSpan w:val="4"/>
          </w:tcPr>
          <w:p>
            <w:pPr>
              <w:jc w:val="center"/>
              <w:spacing w:after="0"/>
              <w:rPr>
                <w:sz w:val="20"/>
                <w:szCs w:val="20"/>
                <w:color w:val="auto"/>
              </w:rPr>
            </w:pPr>
            <w:r>
              <w:rPr>
                <w:rFonts w:ascii="Arial" w:cs="Arial" w:eastAsia="Arial" w:hAnsi="Arial"/>
                <w:sz w:val="11"/>
                <w:szCs w:val="11"/>
                <w:b w:val="1"/>
                <w:bCs w:val="1"/>
                <w:color w:val="auto"/>
                <w:w w:val="89"/>
              </w:rPr>
              <w:t>Six Months Ended June 30, 2023</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36"/>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47"/>
        </w:trPr>
        <w:tc>
          <w:tcPr>
            <w:tcW w:w="6600" w:type="dxa"/>
            <w:vAlign w:val="bottom"/>
          </w:tcPr>
          <w:p>
            <w:pPr>
              <w:ind w:left="20"/>
              <w:spacing w:after="0"/>
              <w:rPr>
                <w:sz w:val="20"/>
                <w:szCs w:val="20"/>
                <w:color w:val="auto"/>
              </w:rPr>
            </w:pPr>
            <w:r>
              <w:rPr>
                <w:rFonts w:ascii="Arial" w:cs="Arial" w:eastAsia="Arial" w:hAnsi="Arial"/>
                <w:sz w:val="11"/>
                <w:szCs w:val="11"/>
                <w:b w:val="1"/>
                <w:bCs w:val="1"/>
                <w:color w:val="auto"/>
              </w:rPr>
              <w:t>Condensed Consolidated Statements of Cash Flows</w:t>
            </w:r>
          </w:p>
        </w:tc>
        <w:tc>
          <w:tcPr>
            <w:tcW w:w="140" w:type="dxa"/>
            <w:vAlign w:val="bottom"/>
          </w:tcPr>
          <w:p>
            <w:pPr>
              <w:spacing w:after="0"/>
              <w:rPr>
                <w:sz w:val="12"/>
                <w:szCs w:val="12"/>
                <w:color w:val="auto"/>
              </w:rPr>
            </w:pPr>
          </w:p>
        </w:tc>
        <w:tc>
          <w:tcPr>
            <w:tcW w:w="1340" w:type="dxa"/>
            <w:vAlign w:val="bottom"/>
          </w:tcPr>
          <w:p>
            <w:pPr>
              <w:jc w:val="right"/>
              <w:ind w:right="146"/>
              <w:spacing w:after="0"/>
              <w:rPr>
                <w:sz w:val="20"/>
                <w:szCs w:val="20"/>
                <w:color w:val="auto"/>
              </w:rPr>
            </w:pPr>
            <w:r>
              <w:rPr>
                <w:rFonts w:ascii="Arial" w:cs="Arial" w:eastAsia="Arial" w:hAnsi="Arial"/>
                <w:sz w:val="11"/>
                <w:szCs w:val="11"/>
                <w:b w:val="1"/>
                <w:bCs w:val="1"/>
                <w:color w:val="auto"/>
                <w:w w:val="90"/>
              </w:rPr>
              <w:t>As Previously Reported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2"/>
              </w:rPr>
              <w:t>Adjustment</w:t>
            </w:r>
          </w:p>
        </w:tc>
        <w:tc>
          <w:tcPr>
            <w:tcW w:w="280" w:type="dxa"/>
            <w:vAlign w:val="bottom"/>
          </w:tcPr>
          <w:p>
            <w:pPr>
              <w:spacing w:after="0"/>
              <w:rPr>
                <w:sz w:val="12"/>
                <w:szCs w:val="12"/>
                <w:color w:val="auto"/>
              </w:rPr>
            </w:pPr>
          </w:p>
        </w:tc>
        <w:tc>
          <w:tcPr>
            <w:tcW w:w="1200" w:type="dxa"/>
            <w:vAlign w:val="bottom"/>
          </w:tcPr>
          <w:p>
            <w:pPr>
              <w:jc w:val="right"/>
              <w:ind w:right="426"/>
              <w:spacing w:after="0"/>
              <w:rPr>
                <w:sz w:val="20"/>
                <w:szCs w:val="20"/>
                <w:color w:val="auto"/>
              </w:rPr>
            </w:pPr>
            <w:r>
              <w:rPr>
                <w:rFonts w:ascii="Arial" w:cs="Arial" w:eastAsia="Arial" w:hAnsi="Arial"/>
                <w:sz w:val="11"/>
                <w:szCs w:val="11"/>
                <w:b w:val="1"/>
                <w:bCs w:val="1"/>
                <w:color w:val="auto"/>
              </w:rPr>
              <w:t>As Revised</w:t>
            </w:r>
          </w:p>
        </w:tc>
      </w:tr>
      <w:tr>
        <w:trPr>
          <w:trHeight w:val="36"/>
        </w:trPr>
        <w:tc>
          <w:tcPr>
            <w:tcW w:w="6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6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(48,301)</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(2,436)</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(50,737)</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Adjustments to reconcile net loss to net cash used in operating activities:</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6"/>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Loss on change in fair value of ELOC program</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1,901</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1,901</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Changes in operating assets and liabilities</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6"/>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non-current assets</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628</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(265)</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363</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Accrued liabilities</w:t>
            </w:r>
          </w:p>
        </w:tc>
        <w:tc>
          <w:tcPr>
            <w:tcW w:w="140" w:type="dxa"/>
            <w:vAlign w:val="bottom"/>
          </w:tcPr>
          <w:p>
            <w:pPr>
              <w:spacing w:after="0"/>
              <w:rPr>
                <w:sz w:val="13"/>
                <w:szCs w:val="13"/>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5,045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250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5,295</w:t>
            </w:r>
          </w:p>
        </w:tc>
      </w:tr>
      <w:tr>
        <w:trPr>
          <w:trHeight w:val="36"/>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cash used in operating activities</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(33,651)</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(550)</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(34,201)</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Proceeds from sales of common stock under the ELOC program, net</w:t>
            </w:r>
          </w:p>
        </w:tc>
        <w:tc>
          <w:tcPr>
            <w:tcW w:w="140" w:type="dxa"/>
            <w:vAlign w:val="bottom"/>
          </w:tcPr>
          <w:p>
            <w:pPr>
              <w:spacing w:after="0"/>
              <w:rPr>
                <w:sz w:val="13"/>
                <w:szCs w:val="13"/>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70,905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550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71,455</w:t>
            </w:r>
          </w:p>
        </w:tc>
      </w:tr>
      <w:tr>
        <w:trPr>
          <w:trHeight w:val="36"/>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cash provided by financing activities</w:t>
            </w: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154,008</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550</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154,558</w:t>
            </w:r>
          </w:p>
        </w:tc>
      </w:tr>
      <w:tr>
        <w:trPr>
          <w:trHeight w:val="270"/>
        </w:trPr>
        <w:tc>
          <w:tcPr>
            <w:tcW w:w="6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Noncash financing activities:</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Accrued and unpaid debt issuance costs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16,461</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(16,461)</w:t>
            </w:r>
          </w:p>
        </w:tc>
        <w:tc>
          <w:tcPr>
            <w:tcW w:w="100" w:type="dxa"/>
            <w:vAlign w:val="bottom"/>
          </w:tcPr>
          <w:p>
            <w:pPr>
              <w:spacing w:after="0"/>
              <w:rPr>
                <w:sz w:val="13"/>
                <w:szCs w:val="13"/>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36"/>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Non-cash debt discount</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4,315</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(179)</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4,136</w:t>
            </w:r>
          </w:p>
        </w:tc>
      </w:tr>
      <w:tr>
        <w:trPr>
          <w:trHeight w:val="154"/>
        </w:trPr>
        <w:tc>
          <w:tcPr>
            <w:tcW w:w="6600" w:type="dxa"/>
            <w:vAlign w:val="bottom"/>
          </w:tcPr>
          <w:p>
            <w:pPr>
              <w:ind w:left="20"/>
              <w:spacing w:after="0"/>
              <w:rPr>
                <w:sz w:val="20"/>
                <w:szCs w:val="20"/>
                <w:color w:val="auto"/>
              </w:rPr>
            </w:pPr>
            <w:r>
              <w:rPr>
                <w:rFonts w:ascii="Arial" w:cs="Arial" w:eastAsia="Arial" w:hAnsi="Arial"/>
                <w:sz w:val="11"/>
                <w:szCs w:val="11"/>
                <w:color w:val="auto"/>
              </w:rPr>
              <w:t>Issuance of common stock to settle commitment shares related to the ELOC program</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915</w:t>
            </w:r>
          </w:p>
        </w:tc>
        <w:tc>
          <w:tcPr>
            <w:tcW w:w="100" w:type="dxa"/>
            <w:vAlign w:val="bottom"/>
          </w:tcPr>
          <w:p>
            <w:pPr>
              <w:spacing w:after="0"/>
              <w:rPr>
                <w:sz w:val="13"/>
                <w:szCs w:val="13"/>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915</w:t>
            </w:r>
          </w:p>
        </w:tc>
      </w:tr>
    </w:tbl>
    <w:p>
      <w:pPr>
        <w:spacing w:after="0" w:line="3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reflect the impact of these revisions on the Company’s condensed consolidated financial statements as of and for the three months ended March 31, 2023 (</w:t>
      </w:r>
      <w:r>
        <w:rPr>
          <w:rFonts w:ascii="Arial" w:cs="Arial" w:eastAsia="Arial" w:hAnsi="Arial"/>
          <w:sz w:val="18"/>
          <w:szCs w:val="18"/>
          <w:i w:val="1"/>
          <w:iCs w:val="1"/>
          <w:color w:val="auto"/>
        </w:rPr>
        <w:t>dollars in thousands, except per share amounts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March 31, 2023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35"/>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47"/>
        </w:trPr>
        <w:tc>
          <w:tcPr>
            <w:tcW w:w="6600" w:type="dxa"/>
            <w:vAlign w:val="bottom"/>
          </w:tcPr>
          <w:p>
            <w:pPr>
              <w:ind w:left="20"/>
              <w:spacing w:after="0"/>
              <w:rPr>
                <w:sz w:val="20"/>
                <w:szCs w:val="20"/>
                <w:color w:val="auto"/>
              </w:rPr>
            </w:pPr>
            <w:r>
              <w:rPr>
                <w:rFonts w:ascii="Arial" w:cs="Arial" w:eastAsia="Arial" w:hAnsi="Arial"/>
                <w:sz w:val="11"/>
                <w:szCs w:val="11"/>
                <w:b w:val="1"/>
                <w:bCs w:val="1"/>
                <w:color w:val="auto"/>
              </w:rPr>
              <w:t>Condensed Consolidated Balance Sheet</w:t>
            </w:r>
          </w:p>
        </w:tc>
        <w:tc>
          <w:tcPr>
            <w:tcW w:w="140" w:type="dxa"/>
            <w:vAlign w:val="bottom"/>
          </w:tcPr>
          <w:p>
            <w:pPr>
              <w:spacing w:after="0"/>
              <w:rPr>
                <w:sz w:val="12"/>
                <w:szCs w:val="12"/>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As Previously Reported</w:t>
            </w:r>
          </w:p>
        </w:tc>
        <w:tc>
          <w:tcPr>
            <w:tcW w:w="1120" w:type="dxa"/>
            <w:vAlign w:val="bottom"/>
          </w:tcPr>
          <w:p>
            <w:pPr>
              <w:jc w:val="right"/>
              <w:ind w:right="49"/>
              <w:spacing w:after="0"/>
              <w:rPr>
                <w:sz w:val="20"/>
                <w:szCs w:val="20"/>
                <w:color w:val="auto"/>
              </w:rPr>
            </w:pPr>
            <w:r>
              <w:rPr>
                <w:rFonts w:ascii="Arial" w:cs="Arial" w:eastAsia="Arial" w:hAnsi="Arial"/>
                <w:sz w:val="11"/>
                <w:szCs w:val="11"/>
                <w:b w:val="1"/>
                <w:bCs w:val="1"/>
                <w:color w:val="auto"/>
              </w:rPr>
              <w:t>Adjustment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ind w:right="426"/>
              <w:spacing w:after="0"/>
              <w:rPr>
                <w:sz w:val="20"/>
                <w:szCs w:val="20"/>
                <w:color w:val="auto"/>
              </w:rPr>
            </w:pPr>
            <w:r>
              <w:rPr>
                <w:rFonts w:ascii="Arial" w:cs="Arial" w:eastAsia="Arial" w:hAnsi="Arial"/>
                <w:sz w:val="11"/>
                <w:szCs w:val="11"/>
                <w:b w:val="1"/>
                <w:bCs w:val="1"/>
                <w:color w:val="auto"/>
              </w:rPr>
              <w:t>As Revised</w:t>
            </w:r>
          </w:p>
        </w:tc>
      </w:tr>
      <w:tr>
        <w:trPr>
          <w:trHeight w:val="35"/>
        </w:trPr>
        <w:tc>
          <w:tcPr>
            <w:tcW w:w="6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6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non-current assets</w:t>
            </w: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2,074</w:t>
            </w: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1009"/>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(432)</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1,642</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Total assets</w:t>
            </w:r>
          </w:p>
        </w:tc>
        <w:tc>
          <w:tcPr>
            <w:tcW w:w="140" w:type="dxa"/>
            <w:vAlign w:val="bottom"/>
          </w:tcPr>
          <w:p>
            <w:pPr>
              <w:spacing w:after="0"/>
              <w:rPr>
                <w:sz w:val="13"/>
                <w:szCs w:val="13"/>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72,803</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(432)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72,371</w:t>
            </w:r>
          </w:p>
        </w:tc>
      </w:tr>
      <w:tr>
        <w:trPr>
          <w:trHeight w:val="35"/>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Additional paid-in capital</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505,889</w:t>
            </w: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1,969</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507,858</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Accumulated deficit</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(528,471)</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w w:val="91"/>
              </w:rPr>
              <w:t>(2,401)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(530,872)</w:t>
            </w:r>
          </w:p>
        </w:tc>
      </w:tr>
      <w:tr>
        <w:trPr>
          <w:trHeight w:val="35"/>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stockholders’ deficit</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2,382</w:t>
            </w: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(432)</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1,950</w:t>
            </w:r>
          </w:p>
        </w:tc>
      </w:tr>
      <w:tr>
        <w:trPr>
          <w:trHeight w:val="154"/>
        </w:trPr>
        <w:tc>
          <w:tcPr>
            <w:tcW w:w="6600" w:type="dxa"/>
            <w:vAlign w:val="bottom"/>
          </w:tcPr>
          <w:p>
            <w:pPr>
              <w:ind w:left="20"/>
              <w:spacing w:after="0"/>
              <w:rPr>
                <w:sz w:val="20"/>
                <w:szCs w:val="20"/>
                <w:color w:val="auto"/>
              </w:rPr>
            </w:pPr>
            <w:r>
              <w:rPr>
                <w:rFonts w:ascii="Arial" w:cs="Arial" w:eastAsia="Arial" w:hAnsi="Arial"/>
                <w:sz w:val="11"/>
                <w:szCs w:val="11"/>
                <w:color w:val="auto"/>
              </w:rPr>
              <w:t>Total liabilities and stockholders’ deficit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72,803</w:t>
            </w:r>
          </w:p>
        </w:tc>
        <w:tc>
          <w:tcPr>
            <w:tcW w:w="100" w:type="dxa"/>
            <w:vAlign w:val="bottom"/>
          </w:tcPr>
          <w:p>
            <w:pPr>
              <w:spacing w:after="0"/>
              <w:rPr>
                <w:sz w:val="13"/>
                <w:szCs w:val="13"/>
                <w:color w:val="auto"/>
              </w:rPr>
            </w:pPr>
          </w:p>
        </w:tc>
        <w:tc>
          <w:tcPr>
            <w:tcW w:w="1120" w:type="dxa"/>
            <w:vAlign w:val="bottom"/>
          </w:tcPr>
          <w:p>
            <w:pPr>
              <w:jc w:val="right"/>
              <w:ind w:right="1009"/>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(432)</w:t>
            </w:r>
          </w:p>
        </w:tc>
        <w:tc>
          <w:tcPr>
            <w:tcW w:w="100" w:type="dxa"/>
            <w:vAlign w:val="bottom"/>
          </w:tcPr>
          <w:p>
            <w:pPr>
              <w:spacing w:after="0"/>
              <w:rPr>
                <w:sz w:val="13"/>
                <w:szCs w:val="13"/>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72,371</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Condensed Consolidated Statements Of Operations And Comprehensive Loss</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1"/>
          <w:szCs w:val="11"/>
          <w:color w:val="auto"/>
        </w:rPr>
        <w:t>General and administrative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Loss from operations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Other income (expense),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Total other expense,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Loss before provision for income taxes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loss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Less: accrual of Series A Preferred Stock paid-in-kind dividends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loss attributable to common stockholders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loss per share: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Basic and diluted</w:t>
      </w: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Condensed Consolidated Statement of Stockholders' Equity (Deficit)</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1"/>
          <w:szCs w:val="11"/>
          <w:color w:val="auto"/>
        </w:rPr>
        <w:t>Additional paid-in capital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Accumulated deficit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loss</w:t>
      </w: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Condensed Consolidated Statements of Cash Flows</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loss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Adjustments to reconcile net loss to net cash used in operating activities: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Loss on change in fair value of ELOC program</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Changes in operating assets and liabilities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Other non-current assets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Accrued liabilities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cash used in operating activities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Payment of financing costs associated with ELOC program</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Proceeds from sales of common stock under the ELOC program,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cash provided by financing activities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1"/>
          <w:szCs w:val="11"/>
          <w:color w:val="auto"/>
        </w:rPr>
        <w:t>Noncash financing activities: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9"/>
          <w:szCs w:val="9"/>
          <w:color w:val="auto"/>
        </w:rPr>
        <w:t>Issuance of common stock to settle commitment shares related to the ELOC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460"/>
        <w:spacing w:after="0"/>
        <w:rPr>
          <w:sz w:val="20"/>
          <w:szCs w:val="20"/>
          <w:color w:val="auto"/>
        </w:rPr>
      </w:pPr>
      <w:r>
        <w:rPr>
          <w:rFonts w:ascii="Arial" w:cs="Arial" w:eastAsia="Arial" w:hAnsi="Arial"/>
          <w:sz w:val="11"/>
          <w:szCs w:val="11"/>
          <w:b w:val="1"/>
          <w:bCs w:val="1"/>
          <w:color w:val="auto"/>
        </w:rPr>
        <w:t>Three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29489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40" w:type="dxa"/>
            <w:vAlign w:val="bottom"/>
          </w:tcPr>
          <w:p>
            <w:pPr>
              <w:spacing w:after="0"/>
              <w:rPr>
                <w:sz w:val="12"/>
                <w:szCs w:val="12"/>
                <w:color w:val="auto"/>
              </w:rPr>
            </w:pPr>
          </w:p>
        </w:tc>
        <w:tc>
          <w:tcPr>
            <w:tcW w:w="1320" w:type="dxa"/>
            <w:vAlign w:val="bottom"/>
          </w:tcPr>
          <w:p>
            <w:pPr>
              <w:jc w:val="right"/>
              <w:ind w:right="126"/>
              <w:spacing w:after="0"/>
              <w:rPr>
                <w:sz w:val="20"/>
                <w:szCs w:val="20"/>
                <w:color w:val="auto"/>
              </w:rPr>
            </w:pPr>
            <w:r>
              <w:rPr>
                <w:rFonts w:ascii="Arial" w:cs="Arial" w:eastAsia="Arial" w:hAnsi="Arial"/>
                <w:sz w:val="11"/>
                <w:szCs w:val="11"/>
                <w:b w:val="1"/>
                <w:bCs w:val="1"/>
                <w:color w:val="auto"/>
                <w:w w:val="90"/>
              </w:rPr>
              <w:t>As Previously Reported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2"/>
              </w:rPr>
              <w:t>Adjustment</w:t>
            </w:r>
          </w:p>
        </w:tc>
        <w:tc>
          <w:tcPr>
            <w:tcW w:w="280" w:type="dxa"/>
            <w:vAlign w:val="bottom"/>
          </w:tcPr>
          <w:p>
            <w:pPr>
              <w:spacing w:after="0"/>
              <w:rPr>
                <w:sz w:val="12"/>
                <w:szCs w:val="12"/>
                <w:color w:val="auto"/>
              </w:rPr>
            </w:pPr>
          </w:p>
        </w:tc>
        <w:tc>
          <w:tcPr>
            <w:tcW w:w="1200" w:type="dxa"/>
            <w:vAlign w:val="bottom"/>
          </w:tcPr>
          <w:p>
            <w:pPr>
              <w:jc w:val="right"/>
              <w:ind w:right="426"/>
              <w:spacing w:after="0"/>
              <w:rPr>
                <w:sz w:val="20"/>
                <w:szCs w:val="20"/>
                <w:color w:val="auto"/>
              </w:rPr>
            </w:pPr>
            <w:r>
              <w:rPr>
                <w:rFonts w:ascii="Arial" w:cs="Arial" w:eastAsia="Arial" w:hAnsi="Arial"/>
                <w:sz w:val="11"/>
                <w:szCs w:val="11"/>
                <w:b w:val="1"/>
                <w:bCs w:val="1"/>
                <w:color w:val="auto"/>
              </w:rPr>
              <w:t>As Revised</w:t>
            </w:r>
          </w:p>
        </w:tc>
      </w:tr>
      <w:tr>
        <w:trPr>
          <w:trHeight w:val="36"/>
        </w:trPr>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47"/>
        </w:trPr>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1"/>
                <w:szCs w:val="11"/>
                <w:color w:val="auto"/>
              </w:rPr>
              <w:t>7,125</w:t>
            </w:r>
          </w:p>
        </w:tc>
        <w:tc>
          <w:tcPr>
            <w:tcW w:w="38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165</w:t>
            </w:r>
          </w:p>
        </w:tc>
        <w:tc>
          <w:tcPr>
            <w:tcW w:w="10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7,290</w:t>
            </w:r>
          </w:p>
        </w:tc>
      </w:tr>
      <w:tr>
        <w:trPr>
          <w:trHeight w:val="189"/>
        </w:trPr>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(25,038)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(25,203)</w:t>
            </w:r>
          </w:p>
        </w:tc>
      </w:tr>
      <w:tr>
        <w:trPr>
          <w:trHeight w:val="189"/>
        </w:trPr>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94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(896)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(802)</w:t>
            </w:r>
          </w:p>
        </w:tc>
      </w:tr>
      <w:tr>
        <w:trPr>
          <w:trHeight w:val="189"/>
        </w:trPr>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(1,002)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(896)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(1,898)</w:t>
            </w:r>
          </w:p>
        </w:tc>
      </w:tr>
      <w:tr>
        <w:trPr>
          <w:trHeight w:val="189"/>
        </w:trPr>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(26,040)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(1,061)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(27,101)</w:t>
            </w:r>
          </w:p>
        </w:tc>
      </w:tr>
      <w:tr>
        <w:trPr>
          <w:trHeight w:val="189"/>
        </w:trPr>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(26,369)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(1,061)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(27,430)</w:t>
            </w:r>
          </w:p>
        </w:tc>
      </w:tr>
      <w:tr>
        <w:trPr>
          <w:trHeight w:val="189"/>
        </w:trPr>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(682)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(682)</w:t>
            </w:r>
          </w:p>
        </w:tc>
      </w:tr>
      <w:tr>
        <w:trPr>
          <w:trHeight w:val="189"/>
        </w:trPr>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1"/>
                <w:szCs w:val="11"/>
                <w:color w:val="auto"/>
              </w:rPr>
              <w:t>(26,369)</w:t>
            </w:r>
          </w:p>
        </w:tc>
        <w:tc>
          <w:tcPr>
            <w:tcW w:w="38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(1,743)</w:t>
            </w:r>
          </w:p>
        </w:tc>
        <w:tc>
          <w:tcPr>
            <w:tcW w:w="100" w:type="dxa"/>
            <w:vAlign w:val="bottom"/>
          </w:tcPr>
          <w:p>
            <w:pPr>
              <w:spacing w:after="0"/>
              <w:rPr>
                <w:sz w:val="16"/>
                <w:szCs w:val="16"/>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(28,112)</w:t>
            </w:r>
          </w:p>
        </w:tc>
      </w:tr>
      <w:tr>
        <w:trPr>
          <w:trHeight w:val="648"/>
        </w:trPr>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1"/>
                <w:szCs w:val="11"/>
                <w:color w:val="auto"/>
              </w:rPr>
              <w:t>(0.13)</w:t>
            </w:r>
          </w:p>
        </w:tc>
        <w:tc>
          <w:tcPr>
            <w:tcW w:w="38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(0.01)</w:t>
            </w:r>
          </w:p>
        </w:tc>
        <w:tc>
          <w:tcPr>
            <w:tcW w:w="100" w:type="dxa"/>
            <w:vAlign w:val="bottom"/>
          </w:tcPr>
          <w:p>
            <w:pPr>
              <w:spacing w:after="0"/>
              <w:rPr>
                <w:sz w:val="24"/>
                <w:szCs w:val="24"/>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(0.14)</w:t>
            </w:r>
          </w:p>
        </w:tc>
      </w:tr>
      <w:tr>
        <w:trPr>
          <w:trHeight w:val="526"/>
        </w:trPr>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80" w:type="dxa"/>
            <w:vAlign w:val="bottom"/>
            <w:gridSpan w:val="6"/>
          </w:tcPr>
          <w:p>
            <w:pPr>
              <w:jc w:val="center"/>
              <w:ind w:right="211"/>
              <w:spacing w:after="0"/>
              <w:rPr>
                <w:sz w:val="20"/>
                <w:szCs w:val="20"/>
                <w:color w:val="auto"/>
              </w:rPr>
            </w:pPr>
            <w:r>
              <w:rPr>
                <w:rFonts w:ascii="Arial" w:cs="Arial" w:eastAsia="Arial" w:hAnsi="Arial"/>
                <w:sz w:val="11"/>
                <w:szCs w:val="11"/>
                <w:b w:val="1"/>
                <w:bCs w:val="1"/>
                <w:color w:val="auto"/>
                <w:w w:val="90"/>
              </w:rPr>
              <w:t>Three Months Ended March 31, 2023</w:t>
            </w:r>
          </w:p>
        </w:tc>
        <w:tc>
          <w:tcPr>
            <w:tcW w:w="1200" w:type="dxa"/>
            <w:vAlign w:val="bottom"/>
          </w:tcPr>
          <w:p>
            <w:pPr>
              <w:spacing w:after="0"/>
              <w:rPr>
                <w:sz w:val="24"/>
                <w:szCs w:val="24"/>
                <w:color w:val="auto"/>
              </w:rPr>
            </w:pPr>
          </w:p>
        </w:tc>
      </w:tr>
      <w:tr>
        <w:trPr>
          <w:trHeight w:val="36"/>
        </w:trPr>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47"/>
        </w:trPr>
        <w:tc>
          <w:tcPr>
            <w:tcW w:w="140" w:type="dxa"/>
            <w:vAlign w:val="bottom"/>
          </w:tcPr>
          <w:p>
            <w:pPr>
              <w:spacing w:after="0"/>
              <w:rPr>
                <w:sz w:val="12"/>
                <w:szCs w:val="12"/>
                <w:color w:val="auto"/>
              </w:rPr>
            </w:pPr>
          </w:p>
        </w:tc>
        <w:tc>
          <w:tcPr>
            <w:tcW w:w="1320" w:type="dxa"/>
            <w:vAlign w:val="bottom"/>
          </w:tcPr>
          <w:p>
            <w:pPr>
              <w:jc w:val="right"/>
              <w:ind w:right="126"/>
              <w:spacing w:after="0"/>
              <w:rPr>
                <w:sz w:val="20"/>
                <w:szCs w:val="20"/>
                <w:color w:val="auto"/>
              </w:rPr>
            </w:pPr>
            <w:r>
              <w:rPr>
                <w:rFonts w:ascii="Arial" w:cs="Arial" w:eastAsia="Arial" w:hAnsi="Arial"/>
                <w:sz w:val="11"/>
                <w:szCs w:val="11"/>
                <w:b w:val="1"/>
                <w:bCs w:val="1"/>
                <w:color w:val="auto"/>
                <w:w w:val="90"/>
              </w:rPr>
              <w:t>As Previously Reported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2"/>
              </w:rPr>
              <w:t>Adjustment</w:t>
            </w:r>
          </w:p>
        </w:tc>
        <w:tc>
          <w:tcPr>
            <w:tcW w:w="280" w:type="dxa"/>
            <w:vAlign w:val="bottom"/>
          </w:tcPr>
          <w:p>
            <w:pPr>
              <w:spacing w:after="0"/>
              <w:rPr>
                <w:sz w:val="12"/>
                <w:szCs w:val="12"/>
                <w:color w:val="auto"/>
              </w:rPr>
            </w:pPr>
          </w:p>
        </w:tc>
        <w:tc>
          <w:tcPr>
            <w:tcW w:w="1200" w:type="dxa"/>
            <w:vAlign w:val="bottom"/>
          </w:tcPr>
          <w:p>
            <w:pPr>
              <w:jc w:val="right"/>
              <w:ind w:right="426"/>
              <w:spacing w:after="0"/>
              <w:rPr>
                <w:sz w:val="20"/>
                <w:szCs w:val="20"/>
                <w:color w:val="auto"/>
              </w:rPr>
            </w:pPr>
            <w:r>
              <w:rPr>
                <w:rFonts w:ascii="Arial" w:cs="Arial" w:eastAsia="Arial" w:hAnsi="Arial"/>
                <w:sz w:val="11"/>
                <w:szCs w:val="11"/>
                <w:b w:val="1"/>
                <w:bCs w:val="1"/>
                <w:color w:val="auto"/>
              </w:rPr>
              <w:t>As Revised</w:t>
            </w:r>
          </w:p>
        </w:tc>
      </w:tr>
      <w:tr>
        <w:trPr>
          <w:trHeight w:val="36"/>
        </w:trPr>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47"/>
        </w:trPr>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1"/>
                <w:szCs w:val="11"/>
                <w:color w:val="auto"/>
              </w:rPr>
              <w:t>505,889</w:t>
            </w:r>
          </w:p>
        </w:tc>
        <w:tc>
          <w:tcPr>
            <w:tcW w:w="38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1,969</w:t>
            </w:r>
          </w:p>
        </w:tc>
        <w:tc>
          <w:tcPr>
            <w:tcW w:w="10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507,858</w:t>
            </w:r>
          </w:p>
        </w:tc>
      </w:tr>
      <w:tr>
        <w:trPr>
          <w:trHeight w:val="189"/>
        </w:trPr>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(528,471)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(2,401)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(530,872)</w:t>
            </w:r>
          </w:p>
        </w:tc>
      </w:tr>
      <w:tr>
        <w:trPr>
          <w:trHeight w:val="189"/>
        </w:trPr>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1"/>
                <w:szCs w:val="11"/>
                <w:color w:val="auto"/>
              </w:rPr>
              <w:t>(26,369)</w:t>
            </w:r>
          </w:p>
        </w:tc>
        <w:tc>
          <w:tcPr>
            <w:tcW w:w="38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(1,061)</w:t>
            </w:r>
          </w:p>
        </w:tc>
        <w:tc>
          <w:tcPr>
            <w:tcW w:w="100" w:type="dxa"/>
            <w:vAlign w:val="bottom"/>
          </w:tcPr>
          <w:p>
            <w:pPr>
              <w:spacing w:after="0"/>
              <w:rPr>
                <w:sz w:val="16"/>
                <w:szCs w:val="16"/>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(27,430)</w:t>
            </w:r>
          </w:p>
        </w:tc>
      </w:tr>
      <w:tr>
        <w:trPr>
          <w:trHeight w:val="513"/>
        </w:trPr>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80" w:type="dxa"/>
            <w:vAlign w:val="bottom"/>
            <w:gridSpan w:val="6"/>
          </w:tcPr>
          <w:p>
            <w:pPr>
              <w:jc w:val="center"/>
              <w:ind w:right="211"/>
              <w:spacing w:after="0"/>
              <w:rPr>
                <w:sz w:val="20"/>
                <w:szCs w:val="20"/>
                <w:color w:val="auto"/>
              </w:rPr>
            </w:pPr>
            <w:r>
              <w:rPr>
                <w:rFonts w:ascii="Arial" w:cs="Arial" w:eastAsia="Arial" w:hAnsi="Arial"/>
                <w:sz w:val="11"/>
                <w:szCs w:val="11"/>
                <w:b w:val="1"/>
                <w:bCs w:val="1"/>
                <w:color w:val="auto"/>
                <w:w w:val="90"/>
              </w:rPr>
              <w:t>Three Months Ended March 31, 2023</w:t>
            </w:r>
          </w:p>
        </w:tc>
        <w:tc>
          <w:tcPr>
            <w:tcW w:w="1200" w:type="dxa"/>
            <w:vAlign w:val="bottom"/>
          </w:tcPr>
          <w:p>
            <w:pPr>
              <w:spacing w:after="0"/>
              <w:rPr>
                <w:sz w:val="24"/>
                <w:szCs w:val="24"/>
                <w:color w:val="auto"/>
              </w:rPr>
            </w:pPr>
          </w:p>
        </w:tc>
      </w:tr>
      <w:tr>
        <w:trPr>
          <w:trHeight w:val="35"/>
        </w:trPr>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47"/>
        </w:trPr>
        <w:tc>
          <w:tcPr>
            <w:tcW w:w="140" w:type="dxa"/>
            <w:vAlign w:val="bottom"/>
          </w:tcPr>
          <w:p>
            <w:pPr>
              <w:spacing w:after="0"/>
              <w:rPr>
                <w:sz w:val="12"/>
                <w:szCs w:val="12"/>
                <w:color w:val="auto"/>
              </w:rPr>
            </w:pPr>
          </w:p>
        </w:tc>
        <w:tc>
          <w:tcPr>
            <w:tcW w:w="1320" w:type="dxa"/>
            <w:vAlign w:val="bottom"/>
          </w:tcPr>
          <w:p>
            <w:pPr>
              <w:jc w:val="right"/>
              <w:ind w:right="126"/>
              <w:spacing w:after="0"/>
              <w:rPr>
                <w:sz w:val="20"/>
                <w:szCs w:val="20"/>
                <w:color w:val="auto"/>
              </w:rPr>
            </w:pPr>
            <w:r>
              <w:rPr>
                <w:rFonts w:ascii="Arial" w:cs="Arial" w:eastAsia="Arial" w:hAnsi="Arial"/>
                <w:sz w:val="11"/>
                <w:szCs w:val="11"/>
                <w:b w:val="1"/>
                <w:bCs w:val="1"/>
                <w:color w:val="auto"/>
                <w:w w:val="90"/>
              </w:rPr>
              <w:t>As Previously Reported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2"/>
              </w:rPr>
              <w:t>Adjustment</w:t>
            </w:r>
          </w:p>
        </w:tc>
        <w:tc>
          <w:tcPr>
            <w:tcW w:w="280" w:type="dxa"/>
            <w:vAlign w:val="bottom"/>
          </w:tcPr>
          <w:p>
            <w:pPr>
              <w:spacing w:after="0"/>
              <w:rPr>
                <w:sz w:val="12"/>
                <w:szCs w:val="12"/>
                <w:color w:val="auto"/>
              </w:rPr>
            </w:pPr>
          </w:p>
        </w:tc>
        <w:tc>
          <w:tcPr>
            <w:tcW w:w="1200" w:type="dxa"/>
            <w:vAlign w:val="bottom"/>
          </w:tcPr>
          <w:p>
            <w:pPr>
              <w:jc w:val="right"/>
              <w:ind w:right="426"/>
              <w:spacing w:after="0"/>
              <w:rPr>
                <w:sz w:val="20"/>
                <w:szCs w:val="20"/>
                <w:color w:val="auto"/>
              </w:rPr>
            </w:pPr>
            <w:r>
              <w:rPr>
                <w:rFonts w:ascii="Arial" w:cs="Arial" w:eastAsia="Arial" w:hAnsi="Arial"/>
                <w:sz w:val="11"/>
                <w:szCs w:val="11"/>
                <w:b w:val="1"/>
                <w:bCs w:val="1"/>
                <w:color w:val="auto"/>
              </w:rPr>
              <w:t>As Revised</w:t>
            </w:r>
          </w:p>
        </w:tc>
      </w:tr>
      <w:tr>
        <w:trPr>
          <w:trHeight w:val="35"/>
        </w:trPr>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47"/>
        </w:trPr>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1"/>
                <w:szCs w:val="11"/>
                <w:color w:val="auto"/>
              </w:rPr>
              <w:t>(26,369)</w:t>
            </w:r>
          </w:p>
        </w:tc>
        <w:tc>
          <w:tcPr>
            <w:tcW w:w="38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(1,061)</w:t>
            </w:r>
          </w:p>
        </w:tc>
        <w:tc>
          <w:tcPr>
            <w:tcW w:w="10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(27,430)</w:t>
            </w:r>
          </w:p>
        </w:tc>
      </w:tr>
      <w:tr>
        <w:trPr>
          <w:trHeight w:val="378"/>
        </w:trPr>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571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571</w:t>
            </w:r>
          </w:p>
        </w:tc>
      </w:tr>
      <w:tr>
        <w:trPr>
          <w:trHeight w:val="378"/>
        </w:trPr>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167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186</w:t>
            </w:r>
          </w:p>
        </w:tc>
      </w:tr>
      <w:tr>
        <w:trPr>
          <w:trHeight w:val="189"/>
        </w:trPr>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4,306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250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4,556</w:t>
            </w:r>
          </w:p>
        </w:tc>
      </w:tr>
      <w:tr>
        <w:trPr>
          <w:trHeight w:val="189"/>
        </w:trPr>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(14,467)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(14,540)</w:t>
            </w:r>
          </w:p>
        </w:tc>
      </w:tr>
      <w:tr>
        <w:trPr>
          <w:trHeight w:val="189"/>
        </w:trPr>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(250)</w:t>
            </w:r>
          </w:p>
        </w:tc>
      </w:tr>
      <w:tr>
        <w:trPr>
          <w:trHeight w:val="189"/>
        </w:trPr>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28,360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323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28,683</w:t>
            </w:r>
          </w:p>
        </w:tc>
      </w:tr>
      <w:tr>
        <w:trPr>
          <w:trHeight w:val="189"/>
        </w:trPr>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1"/>
                <w:szCs w:val="11"/>
                <w:color w:val="auto"/>
              </w:rPr>
              <w:t>51,568</w:t>
            </w:r>
          </w:p>
        </w:tc>
        <w:tc>
          <w:tcPr>
            <w:tcW w:w="38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16"/>
                <w:szCs w:val="16"/>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51,641</w:t>
            </w:r>
          </w:p>
        </w:tc>
      </w:tr>
      <w:tr>
        <w:trPr>
          <w:trHeight w:val="648"/>
        </w:trPr>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915</w:t>
            </w:r>
          </w:p>
        </w:tc>
        <w:tc>
          <w:tcPr>
            <w:tcW w:w="100" w:type="dxa"/>
            <w:vAlign w:val="bottom"/>
          </w:tcPr>
          <w:p>
            <w:pPr>
              <w:spacing w:after="0"/>
              <w:rPr>
                <w:sz w:val="24"/>
                <w:szCs w:val="24"/>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915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-4262755</wp:posOffset>
            </wp:positionV>
            <wp:extent cx="713232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-4014470</wp:posOffset>
            </wp:positionV>
            <wp:extent cx="7132320" cy="12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-3774440</wp:posOffset>
            </wp:positionV>
            <wp:extent cx="7132320" cy="1200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-3534410</wp:posOffset>
            </wp:positionV>
            <wp:extent cx="7132320" cy="1200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-3294380</wp:posOffset>
            </wp:positionV>
            <wp:extent cx="71323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-3002915</wp:posOffset>
            </wp:positionV>
            <wp:extent cx="7132320" cy="1200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-2419985</wp:posOffset>
            </wp:positionV>
            <wp:extent cx="7132320"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-2171065</wp:posOffset>
            </wp:positionV>
            <wp:extent cx="7132320" cy="120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-1597025</wp:posOffset>
            </wp:positionV>
            <wp:extent cx="713232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-1348740</wp:posOffset>
            </wp:positionV>
            <wp:extent cx="7132320"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-1108075</wp:posOffset>
            </wp:positionV>
            <wp:extent cx="7132320" cy="1200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-868045</wp:posOffset>
            </wp:positionV>
            <wp:extent cx="7132320" cy="120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-628015</wp:posOffset>
            </wp:positionV>
            <wp:extent cx="7132320" cy="1200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-388620</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-96520</wp:posOffset>
            </wp:positionV>
            <wp:extent cx="7132320"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640"/>
          </w:cols>
          <w:pgMar w:left="320" w:top="337" w:right="339" w:bottom="1440" w:gutter="0" w:footer="0" w:header="0"/>
          <w:type w:val="continuous"/>
        </w:sectPr>
      </w:pPr>
    </w:p>
    <w:p>
      <w:pPr>
        <w:spacing w:after="0" w:line="1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reflect the impact of these revisions on the Company’s consolidated financial statements as of and for the year ended December 31, 2022 (</w:t>
      </w:r>
      <w:r>
        <w:rPr>
          <w:rFonts w:ascii="Arial" w:cs="Arial" w:eastAsia="Arial" w:hAnsi="Arial"/>
          <w:sz w:val="18"/>
          <w:szCs w:val="18"/>
          <w:i w:val="1"/>
          <w:iCs w:val="1"/>
          <w:color w:val="auto"/>
        </w:rPr>
        <w:t>dollars in thousands, except per share amounts</w:t>
      </w:r>
      <w:r>
        <w:rPr>
          <w:rFonts w:ascii="Arial" w:cs="Arial" w:eastAsia="Arial" w:hAnsi="Arial"/>
          <w:sz w:val="18"/>
          <w:szCs w:val="18"/>
          <w:color w:val="auto"/>
        </w:rPr>
        <w: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8"/>
              </w:rPr>
              <w:t>December 31, 2022</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36"/>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47"/>
        </w:trPr>
        <w:tc>
          <w:tcPr>
            <w:tcW w:w="6600" w:type="dxa"/>
            <w:vAlign w:val="bottom"/>
          </w:tcPr>
          <w:p>
            <w:pPr>
              <w:ind w:left="20"/>
              <w:spacing w:after="0"/>
              <w:rPr>
                <w:sz w:val="20"/>
                <w:szCs w:val="20"/>
                <w:color w:val="auto"/>
              </w:rPr>
            </w:pPr>
            <w:r>
              <w:rPr>
                <w:rFonts w:ascii="Arial" w:cs="Arial" w:eastAsia="Arial" w:hAnsi="Arial"/>
                <w:sz w:val="11"/>
                <w:szCs w:val="11"/>
                <w:b w:val="1"/>
                <w:bCs w:val="1"/>
                <w:color w:val="auto"/>
              </w:rPr>
              <w:t>Condensed Consolidated Balance Sheet</w:t>
            </w:r>
          </w:p>
        </w:tc>
        <w:tc>
          <w:tcPr>
            <w:tcW w:w="140" w:type="dxa"/>
            <w:vAlign w:val="bottom"/>
          </w:tcPr>
          <w:p>
            <w:pPr>
              <w:spacing w:after="0"/>
              <w:rPr>
                <w:sz w:val="12"/>
                <w:szCs w:val="12"/>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As Previously Reported</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2"/>
              </w:rPr>
              <w:t>Adjustment</w:t>
            </w:r>
          </w:p>
        </w:tc>
        <w:tc>
          <w:tcPr>
            <w:tcW w:w="280" w:type="dxa"/>
            <w:vAlign w:val="bottom"/>
          </w:tcPr>
          <w:p>
            <w:pPr>
              <w:spacing w:after="0"/>
              <w:rPr>
                <w:sz w:val="12"/>
                <w:szCs w:val="12"/>
                <w:color w:val="auto"/>
              </w:rPr>
            </w:pPr>
          </w:p>
        </w:tc>
        <w:tc>
          <w:tcPr>
            <w:tcW w:w="1200" w:type="dxa"/>
            <w:vAlign w:val="bottom"/>
          </w:tcPr>
          <w:p>
            <w:pPr>
              <w:jc w:val="right"/>
              <w:ind w:right="426"/>
              <w:spacing w:after="0"/>
              <w:rPr>
                <w:sz w:val="20"/>
                <w:szCs w:val="20"/>
                <w:color w:val="auto"/>
              </w:rPr>
            </w:pPr>
            <w:r>
              <w:rPr>
                <w:rFonts w:ascii="Arial" w:cs="Arial" w:eastAsia="Arial" w:hAnsi="Arial"/>
                <w:sz w:val="11"/>
                <w:szCs w:val="11"/>
                <w:b w:val="1"/>
                <w:bCs w:val="1"/>
                <w:color w:val="auto"/>
              </w:rPr>
              <w:t>As Revised</w:t>
            </w:r>
          </w:p>
        </w:tc>
      </w:tr>
      <w:tr>
        <w:trPr>
          <w:trHeight w:val="36"/>
        </w:trPr>
        <w:tc>
          <w:tcPr>
            <w:tcW w:w="6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6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non-current assets</w:t>
            </w: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1,656</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(265)</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1,391</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Total assets</w:t>
            </w:r>
          </w:p>
        </w:tc>
        <w:tc>
          <w:tcPr>
            <w:tcW w:w="140" w:type="dxa"/>
            <w:vAlign w:val="bottom"/>
          </w:tcPr>
          <w:p>
            <w:pPr>
              <w:spacing w:after="0"/>
              <w:rPr>
                <w:sz w:val="13"/>
                <w:szCs w:val="13"/>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38,251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(265)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37,986</w:t>
            </w:r>
          </w:p>
        </w:tc>
      </w:tr>
      <w:tr>
        <w:trPr>
          <w:trHeight w:val="36"/>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Accrued liabilities</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7,462</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1,075</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8,537</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Total current liabilities</w:t>
            </w:r>
          </w:p>
        </w:tc>
        <w:tc>
          <w:tcPr>
            <w:tcW w:w="140" w:type="dxa"/>
            <w:vAlign w:val="bottom"/>
          </w:tcPr>
          <w:p>
            <w:pPr>
              <w:spacing w:after="0"/>
              <w:rPr>
                <w:sz w:val="13"/>
                <w:szCs w:val="13"/>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37,496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1,075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38,571</w:t>
            </w:r>
          </w:p>
        </w:tc>
      </w:tr>
      <w:tr>
        <w:trPr>
          <w:trHeight w:val="36"/>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Additional paid-in capital</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466,857</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466,857</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Accumulated deficit</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(502,102)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(1,340)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(503,442)</w:t>
            </w:r>
          </w:p>
        </w:tc>
      </w:tr>
      <w:tr>
        <w:trPr>
          <w:trHeight w:val="36"/>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stockholders’ deficit</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(35,225)</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(1,340)</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(36,565)</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Total liabilities and stockholders’ deficit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38,251</w:t>
            </w:r>
          </w:p>
        </w:tc>
        <w:tc>
          <w:tcPr>
            <w:tcW w:w="10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(265)</w:t>
            </w:r>
          </w:p>
        </w:tc>
        <w:tc>
          <w:tcPr>
            <w:tcW w:w="100" w:type="dxa"/>
            <w:vAlign w:val="bottom"/>
          </w:tcPr>
          <w:p>
            <w:pPr>
              <w:spacing w:after="0"/>
              <w:rPr>
                <w:sz w:val="13"/>
                <w:szCs w:val="13"/>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37,986</w:t>
            </w:r>
          </w:p>
        </w:tc>
      </w:tr>
    </w:tbl>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tcPr>
          <w:p>
            <w:pPr>
              <w:ind w:left="20"/>
              <w:spacing w:after="0"/>
              <w:rPr>
                <w:sz w:val="20"/>
                <w:szCs w:val="20"/>
                <w:color w:val="auto"/>
              </w:rPr>
            </w:pPr>
            <w:r>
              <w:rPr>
                <w:rFonts w:ascii="Arial" w:cs="Arial" w:eastAsia="Arial" w:hAnsi="Arial"/>
                <w:sz w:val="11"/>
                <w:szCs w:val="11"/>
                <w:b w:val="1"/>
                <w:bCs w:val="1"/>
                <w:color w:val="auto"/>
                <w:w w:val="94"/>
              </w:rPr>
              <w:t>Year Ended December 31, 2022</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36"/>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47"/>
        </w:trPr>
        <w:tc>
          <w:tcPr>
            <w:tcW w:w="6600" w:type="dxa"/>
            <w:vAlign w:val="bottom"/>
          </w:tcPr>
          <w:p>
            <w:pPr>
              <w:ind w:left="20"/>
              <w:spacing w:after="0"/>
              <w:rPr>
                <w:sz w:val="20"/>
                <w:szCs w:val="20"/>
                <w:color w:val="auto"/>
              </w:rPr>
            </w:pPr>
            <w:r>
              <w:rPr>
                <w:rFonts w:ascii="Arial" w:cs="Arial" w:eastAsia="Arial" w:hAnsi="Arial"/>
                <w:sz w:val="11"/>
                <w:szCs w:val="11"/>
                <w:b w:val="1"/>
                <w:bCs w:val="1"/>
                <w:color w:val="auto"/>
              </w:rPr>
              <w:t>Condensed Consolidated Statements Of Operations And Comprehensive Loss</w:t>
            </w:r>
          </w:p>
        </w:tc>
        <w:tc>
          <w:tcPr>
            <w:tcW w:w="140" w:type="dxa"/>
            <w:vAlign w:val="bottom"/>
          </w:tcPr>
          <w:p>
            <w:pPr>
              <w:spacing w:after="0"/>
              <w:rPr>
                <w:sz w:val="12"/>
                <w:szCs w:val="12"/>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As Previously Reported</w:t>
            </w:r>
          </w:p>
        </w:tc>
        <w:tc>
          <w:tcPr>
            <w:tcW w:w="260" w:type="dxa"/>
            <w:vAlign w:val="bottom"/>
          </w:tcPr>
          <w:p>
            <w:pPr>
              <w:spacing w:after="0"/>
              <w:rPr>
                <w:sz w:val="12"/>
                <w:szCs w:val="12"/>
                <w:color w:val="auto"/>
              </w:rPr>
            </w:pPr>
          </w:p>
        </w:tc>
        <w:tc>
          <w:tcPr>
            <w:tcW w:w="1320" w:type="dxa"/>
            <w:vAlign w:val="bottom"/>
            <w:gridSpan w:val="2"/>
          </w:tcPr>
          <w:p>
            <w:pPr>
              <w:ind w:left="200"/>
              <w:spacing w:after="0"/>
              <w:rPr>
                <w:sz w:val="20"/>
                <w:szCs w:val="20"/>
                <w:color w:val="auto"/>
              </w:rPr>
            </w:pPr>
            <w:r>
              <w:rPr>
                <w:rFonts w:ascii="Arial" w:cs="Arial" w:eastAsia="Arial" w:hAnsi="Arial"/>
                <w:sz w:val="11"/>
                <w:szCs w:val="11"/>
                <w:b w:val="1"/>
                <w:bCs w:val="1"/>
                <w:color w:val="auto"/>
              </w:rPr>
              <w:t>Adjustment</w:t>
            </w:r>
          </w:p>
        </w:tc>
        <w:tc>
          <w:tcPr>
            <w:tcW w:w="280" w:type="dxa"/>
            <w:vAlign w:val="bottom"/>
          </w:tcPr>
          <w:p>
            <w:pPr>
              <w:spacing w:after="0"/>
              <w:rPr>
                <w:sz w:val="12"/>
                <w:szCs w:val="12"/>
                <w:color w:val="auto"/>
              </w:rPr>
            </w:pPr>
          </w:p>
        </w:tc>
        <w:tc>
          <w:tcPr>
            <w:tcW w:w="1200" w:type="dxa"/>
            <w:vAlign w:val="bottom"/>
          </w:tcPr>
          <w:p>
            <w:pPr>
              <w:jc w:val="right"/>
              <w:ind w:right="426"/>
              <w:spacing w:after="0"/>
              <w:rPr>
                <w:sz w:val="20"/>
                <w:szCs w:val="20"/>
                <w:color w:val="auto"/>
              </w:rPr>
            </w:pPr>
            <w:r>
              <w:rPr>
                <w:rFonts w:ascii="Arial" w:cs="Arial" w:eastAsia="Arial" w:hAnsi="Arial"/>
                <w:sz w:val="11"/>
                <w:szCs w:val="11"/>
                <w:b w:val="1"/>
                <w:bCs w:val="1"/>
                <w:color w:val="auto"/>
              </w:rPr>
              <w:t>As Revised</w:t>
            </w:r>
          </w:p>
        </w:tc>
      </w:tr>
      <w:tr>
        <w:trPr>
          <w:trHeight w:val="36"/>
        </w:trPr>
        <w:tc>
          <w:tcPr>
            <w:tcW w:w="6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6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30,178</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265</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30,443</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Loss from operations</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(105,407)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(265)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(105,672)</w:t>
            </w:r>
          </w:p>
        </w:tc>
      </w:tr>
      <w:tr>
        <w:trPr>
          <w:trHeight w:val="36"/>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income (expense), net</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(184)</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(1,075)</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(1,259)</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Total other expense, net</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(7,077)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(1,075)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(8,152)</w:t>
            </w:r>
          </w:p>
        </w:tc>
      </w:tr>
      <w:tr>
        <w:trPr>
          <w:trHeight w:val="36"/>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Loss before provision for income taxes</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(112,484)</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(1,340)</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(113,824)</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Net loss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(115,373)</w:t>
            </w:r>
          </w:p>
        </w:tc>
        <w:tc>
          <w:tcPr>
            <w:tcW w:w="100" w:type="dxa"/>
            <w:vAlign w:val="bottom"/>
          </w:tcPr>
          <w:p>
            <w:pPr>
              <w:spacing w:after="0"/>
              <w:rPr>
                <w:sz w:val="13"/>
                <w:szCs w:val="13"/>
                <w:color w:val="auto"/>
              </w:rPr>
            </w:pPr>
          </w:p>
        </w:tc>
        <w:tc>
          <w:tcPr>
            <w:tcW w:w="260" w:type="dxa"/>
            <w:vAlign w:val="bottom"/>
          </w:tcPr>
          <w:p>
            <w:pPr>
              <w:ind w:left="20"/>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(1,340)</w:t>
            </w:r>
          </w:p>
        </w:tc>
        <w:tc>
          <w:tcPr>
            <w:tcW w:w="100" w:type="dxa"/>
            <w:vAlign w:val="bottom"/>
          </w:tcPr>
          <w:p>
            <w:pPr>
              <w:spacing w:after="0"/>
              <w:rPr>
                <w:sz w:val="13"/>
                <w:szCs w:val="13"/>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(116,713)</w:t>
            </w:r>
          </w:p>
        </w:tc>
      </w:tr>
      <w:tr>
        <w:trPr>
          <w:trHeight w:val="36"/>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 per share:</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Basic and diluted</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(0.73)</w:t>
            </w:r>
          </w:p>
        </w:tc>
        <w:tc>
          <w:tcPr>
            <w:tcW w:w="100" w:type="dxa"/>
            <w:vAlign w:val="bottom"/>
          </w:tcPr>
          <w:p>
            <w:pPr>
              <w:spacing w:after="0"/>
              <w:rPr>
                <w:sz w:val="13"/>
                <w:szCs w:val="13"/>
                <w:color w:val="auto"/>
              </w:rPr>
            </w:pPr>
          </w:p>
        </w:tc>
        <w:tc>
          <w:tcPr>
            <w:tcW w:w="260" w:type="dxa"/>
            <w:vAlign w:val="bottom"/>
          </w:tcPr>
          <w:p>
            <w:pPr>
              <w:ind w:left="20"/>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(0.01)</w:t>
            </w:r>
          </w:p>
        </w:tc>
        <w:tc>
          <w:tcPr>
            <w:tcW w:w="100" w:type="dxa"/>
            <w:vAlign w:val="bottom"/>
          </w:tcPr>
          <w:p>
            <w:pPr>
              <w:spacing w:after="0"/>
              <w:rPr>
                <w:sz w:val="13"/>
                <w:szCs w:val="13"/>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(0.74)</w:t>
            </w: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tcPr>
          <w:p>
            <w:pPr>
              <w:ind w:left="20"/>
              <w:spacing w:after="0"/>
              <w:rPr>
                <w:sz w:val="20"/>
                <w:szCs w:val="20"/>
                <w:color w:val="auto"/>
              </w:rPr>
            </w:pPr>
            <w:r>
              <w:rPr>
                <w:rFonts w:ascii="Arial" w:cs="Arial" w:eastAsia="Arial" w:hAnsi="Arial"/>
                <w:sz w:val="11"/>
                <w:szCs w:val="11"/>
                <w:b w:val="1"/>
                <w:bCs w:val="1"/>
                <w:color w:val="auto"/>
                <w:w w:val="94"/>
              </w:rPr>
              <w:t>Year Ended December 31, 2022</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35"/>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47"/>
        </w:trPr>
        <w:tc>
          <w:tcPr>
            <w:tcW w:w="6600" w:type="dxa"/>
            <w:vAlign w:val="bottom"/>
          </w:tcPr>
          <w:p>
            <w:pPr>
              <w:ind w:left="20"/>
              <w:spacing w:after="0"/>
              <w:rPr>
                <w:sz w:val="20"/>
                <w:szCs w:val="20"/>
                <w:color w:val="auto"/>
              </w:rPr>
            </w:pPr>
            <w:r>
              <w:rPr>
                <w:rFonts w:ascii="Arial" w:cs="Arial" w:eastAsia="Arial" w:hAnsi="Arial"/>
                <w:sz w:val="11"/>
                <w:szCs w:val="11"/>
                <w:b w:val="1"/>
                <w:bCs w:val="1"/>
                <w:color w:val="auto"/>
              </w:rPr>
              <w:t>Condensed Consolidated Statement of Stockholders' Equity (Deficit)</w:t>
            </w:r>
          </w:p>
        </w:tc>
        <w:tc>
          <w:tcPr>
            <w:tcW w:w="140" w:type="dxa"/>
            <w:vAlign w:val="bottom"/>
          </w:tcPr>
          <w:p>
            <w:pPr>
              <w:spacing w:after="0"/>
              <w:rPr>
                <w:sz w:val="12"/>
                <w:szCs w:val="12"/>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As Previously Reported</w:t>
            </w:r>
          </w:p>
        </w:tc>
        <w:tc>
          <w:tcPr>
            <w:tcW w:w="260" w:type="dxa"/>
            <w:vAlign w:val="bottom"/>
          </w:tcPr>
          <w:p>
            <w:pPr>
              <w:spacing w:after="0"/>
              <w:rPr>
                <w:sz w:val="12"/>
                <w:szCs w:val="12"/>
                <w:color w:val="auto"/>
              </w:rPr>
            </w:pPr>
          </w:p>
        </w:tc>
        <w:tc>
          <w:tcPr>
            <w:tcW w:w="1320" w:type="dxa"/>
            <w:vAlign w:val="bottom"/>
            <w:gridSpan w:val="2"/>
          </w:tcPr>
          <w:p>
            <w:pPr>
              <w:ind w:left="200"/>
              <w:spacing w:after="0"/>
              <w:rPr>
                <w:sz w:val="20"/>
                <w:szCs w:val="20"/>
                <w:color w:val="auto"/>
              </w:rPr>
            </w:pPr>
            <w:r>
              <w:rPr>
                <w:rFonts w:ascii="Arial" w:cs="Arial" w:eastAsia="Arial" w:hAnsi="Arial"/>
                <w:sz w:val="11"/>
                <w:szCs w:val="11"/>
                <w:b w:val="1"/>
                <w:bCs w:val="1"/>
                <w:color w:val="auto"/>
              </w:rPr>
              <w:t>Adjustment</w:t>
            </w:r>
          </w:p>
        </w:tc>
        <w:tc>
          <w:tcPr>
            <w:tcW w:w="280" w:type="dxa"/>
            <w:vAlign w:val="bottom"/>
          </w:tcPr>
          <w:p>
            <w:pPr>
              <w:spacing w:after="0"/>
              <w:rPr>
                <w:sz w:val="12"/>
                <w:szCs w:val="12"/>
                <w:color w:val="auto"/>
              </w:rPr>
            </w:pPr>
          </w:p>
        </w:tc>
        <w:tc>
          <w:tcPr>
            <w:tcW w:w="1200" w:type="dxa"/>
            <w:vAlign w:val="bottom"/>
          </w:tcPr>
          <w:p>
            <w:pPr>
              <w:jc w:val="right"/>
              <w:ind w:right="426"/>
              <w:spacing w:after="0"/>
              <w:rPr>
                <w:sz w:val="20"/>
                <w:szCs w:val="20"/>
                <w:color w:val="auto"/>
              </w:rPr>
            </w:pPr>
            <w:r>
              <w:rPr>
                <w:rFonts w:ascii="Arial" w:cs="Arial" w:eastAsia="Arial" w:hAnsi="Arial"/>
                <w:sz w:val="11"/>
                <w:szCs w:val="11"/>
                <w:b w:val="1"/>
                <w:bCs w:val="1"/>
                <w:color w:val="auto"/>
              </w:rPr>
              <w:t>As Revised</w:t>
            </w:r>
          </w:p>
        </w:tc>
      </w:tr>
      <w:tr>
        <w:trPr>
          <w:trHeight w:val="35"/>
        </w:trPr>
        <w:tc>
          <w:tcPr>
            <w:tcW w:w="6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6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Accumulated deficit</w:t>
            </w: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(502,102)</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(1,340)</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(503,442)</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Net loss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(115,373)</w:t>
            </w:r>
          </w:p>
        </w:tc>
        <w:tc>
          <w:tcPr>
            <w:tcW w:w="100" w:type="dxa"/>
            <w:vAlign w:val="bottom"/>
          </w:tcPr>
          <w:p>
            <w:pPr>
              <w:spacing w:after="0"/>
              <w:rPr>
                <w:sz w:val="13"/>
                <w:szCs w:val="13"/>
                <w:color w:val="auto"/>
              </w:rPr>
            </w:pPr>
          </w:p>
        </w:tc>
        <w:tc>
          <w:tcPr>
            <w:tcW w:w="260" w:type="dxa"/>
            <w:vAlign w:val="bottom"/>
          </w:tcPr>
          <w:p>
            <w:pPr>
              <w:ind w:left="20"/>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(1,340)</w:t>
            </w:r>
          </w:p>
        </w:tc>
        <w:tc>
          <w:tcPr>
            <w:tcW w:w="100" w:type="dxa"/>
            <w:vAlign w:val="bottom"/>
          </w:tcPr>
          <w:p>
            <w:pPr>
              <w:spacing w:after="0"/>
              <w:rPr>
                <w:sz w:val="13"/>
                <w:szCs w:val="13"/>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(116,713)</w:t>
            </w:r>
          </w:p>
        </w:tc>
      </w:tr>
      <w:tr>
        <w:trPr>
          <w:trHeight w:val="527"/>
        </w:trPr>
        <w:tc>
          <w:tcPr>
            <w:tcW w:w="6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ind w:left="20"/>
              <w:spacing w:after="0"/>
              <w:rPr>
                <w:sz w:val="20"/>
                <w:szCs w:val="20"/>
                <w:color w:val="auto"/>
              </w:rPr>
            </w:pPr>
            <w:r>
              <w:rPr>
                <w:rFonts w:ascii="Arial" w:cs="Arial" w:eastAsia="Arial" w:hAnsi="Arial"/>
                <w:sz w:val="11"/>
                <w:szCs w:val="11"/>
                <w:b w:val="1"/>
                <w:bCs w:val="1"/>
                <w:color w:val="auto"/>
                <w:w w:val="94"/>
              </w:rPr>
              <w:t>Year Ended December 31, 2022</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5"/>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47"/>
        </w:trPr>
        <w:tc>
          <w:tcPr>
            <w:tcW w:w="6600" w:type="dxa"/>
            <w:vAlign w:val="bottom"/>
          </w:tcPr>
          <w:p>
            <w:pPr>
              <w:ind w:left="20"/>
              <w:spacing w:after="0"/>
              <w:rPr>
                <w:sz w:val="20"/>
                <w:szCs w:val="20"/>
                <w:color w:val="auto"/>
              </w:rPr>
            </w:pPr>
            <w:r>
              <w:rPr>
                <w:rFonts w:ascii="Arial" w:cs="Arial" w:eastAsia="Arial" w:hAnsi="Arial"/>
                <w:sz w:val="11"/>
                <w:szCs w:val="11"/>
                <w:b w:val="1"/>
                <w:bCs w:val="1"/>
                <w:color w:val="auto"/>
              </w:rPr>
              <w:t>Condensed Consolidated Statements of Cash Flows</w:t>
            </w:r>
          </w:p>
        </w:tc>
        <w:tc>
          <w:tcPr>
            <w:tcW w:w="140" w:type="dxa"/>
            <w:vAlign w:val="bottom"/>
          </w:tcPr>
          <w:p>
            <w:pPr>
              <w:spacing w:after="0"/>
              <w:rPr>
                <w:sz w:val="12"/>
                <w:szCs w:val="12"/>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As Previously Reported</w:t>
            </w:r>
          </w:p>
        </w:tc>
        <w:tc>
          <w:tcPr>
            <w:tcW w:w="260" w:type="dxa"/>
            <w:vAlign w:val="bottom"/>
          </w:tcPr>
          <w:p>
            <w:pPr>
              <w:spacing w:after="0"/>
              <w:rPr>
                <w:sz w:val="12"/>
                <w:szCs w:val="12"/>
                <w:color w:val="auto"/>
              </w:rPr>
            </w:pPr>
          </w:p>
        </w:tc>
        <w:tc>
          <w:tcPr>
            <w:tcW w:w="1320" w:type="dxa"/>
            <w:vAlign w:val="bottom"/>
            <w:gridSpan w:val="2"/>
          </w:tcPr>
          <w:p>
            <w:pPr>
              <w:ind w:left="200"/>
              <w:spacing w:after="0"/>
              <w:rPr>
                <w:sz w:val="20"/>
                <w:szCs w:val="20"/>
                <w:color w:val="auto"/>
              </w:rPr>
            </w:pPr>
            <w:r>
              <w:rPr>
                <w:rFonts w:ascii="Arial" w:cs="Arial" w:eastAsia="Arial" w:hAnsi="Arial"/>
                <w:sz w:val="11"/>
                <w:szCs w:val="11"/>
                <w:b w:val="1"/>
                <w:bCs w:val="1"/>
                <w:color w:val="auto"/>
              </w:rPr>
              <w:t>Adjustment</w:t>
            </w:r>
          </w:p>
        </w:tc>
        <w:tc>
          <w:tcPr>
            <w:tcW w:w="280" w:type="dxa"/>
            <w:vAlign w:val="bottom"/>
          </w:tcPr>
          <w:p>
            <w:pPr>
              <w:spacing w:after="0"/>
              <w:rPr>
                <w:sz w:val="12"/>
                <w:szCs w:val="12"/>
                <w:color w:val="auto"/>
              </w:rPr>
            </w:pPr>
          </w:p>
        </w:tc>
        <w:tc>
          <w:tcPr>
            <w:tcW w:w="1200" w:type="dxa"/>
            <w:vAlign w:val="bottom"/>
          </w:tcPr>
          <w:p>
            <w:pPr>
              <w:jc w:val="right"/>
              <w:ind w:right="426"/>
              <w:spacing w:after="0"/>
              <w:rPr>
                <w:sz w:val="20"/>
                <w:szCs w:val="20"/>
                <w:color w:val="auto"/>
              </w:rPr>
            </w:pPr>
            <w:r>
              <w:rPr>
                <w:rFonts w:ascii="Arial" w:cs="Arial" w:eastAsia="Arial" w:hAnsi="Arial"/>
                <w:sz w:val="11"/>
                <w:szCs w:val="11"/>
                <w:b w:val="1"/>
                <w:bCs w:val="1"/>
                <w:color w:val="auto"/>
              </w:rPr>
              <w:t>As Revised</w:t>
            </w:r>
          </w:p>
        </w:tc>
      </w:tr>
      <w:tr>
        <w:trPr>
          <w:trHeight w:val="35"/>
        </w:trPr>
        <w:tc>
          <w:tcPr>
            <w:tcW w:w="6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6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(115,373)</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(1,340)</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(116,713)</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Adjustments to reconcile net loss to net cash used in operating activities:</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5"/>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Loss on change in fair value of ELOC program</w:t>
            </w:r>
          </w:p>
        </w:tc>
        <w:tc>
          <w:tcPr>
            <w:tcW w:w="14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1,075</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1,075</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Changes in operating assets and liabilities</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5"/>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non-current assets</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(539)</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265</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(274)</w:t>
            </w:r>
          </w:p>
        </w:tc>
      </w:tr>
      <w:tr>
        <w:trPr>
          <w:trHeight w:val="154"/>
        </w:trPr>
        <w:tc>
          <w:tcPr>
            <w:tcW w:w="6600" w:type="dxa"/>
            <w:vAlign w:val="bottom"/>
          </w:tcPr>
          <w:p>
            <w:pPr>
              <w:ind w:left="20"/>
              <w:spacing w:after="0"/>
              <w:rPr>
                <w:sz w:val="20"/>
                <w:szCs w:val="20"/>
                <w:color w:val="auto"/>
              </w:rPr>
            </w:pPr>
            <w:r>
              <w:rPr>
                <w:rFonts w:ascii="Arial" w:cs="Arial" w:eastAsia="Arial" w:hAnsi="Arial"/>
                <w:sz w:val="11"/>
                <w:szCs w:val="11"/>
                <w:color w:val="auto"/>
              </w:rPr>
              <w:t>Net cash used in operating activities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(94,019)</w:t>
            </w:r>
          </w:p>
        </w:tc>
        <w:tc>
          <w:tcPr>
            <w:tcW w:w="100" w:type="dxa"/>
            <w:vAlign w:val="bottom"/>
          </w:tcPr>
          <w:p>
            <w:pPr>
              <w:spacing w:after="0"/>
              <w:rPr>
                <w:sz w:val="13"/>
                <w:szCs w:val="13"/>
                <w:color w:val="auto"/>
              </w:rPr>
            </w:pPr>
          </w:p>
        </w:tc>
        <w:tc>
          <w:tcPr>
            <w:tcW w:w="260" w:type="dxa"/>
            <w:vAlign w:val="bottom"/>
          </w:tcPr>
          <w:p>
            <w:pPr>
              <w:ind w:left="20"/>
              <w:spacing w:after="0"/>
              <w:rPr>
                <w:sz w:val="20"/>
                <w:szCs w:val="20"/>
                <w:color w:val="auto"/>
              </w:rPr>
            </w:pPr>
            <w:r>
              <w:rPr>
                <w:rFonts w:ascii="Arial" w:cs="Arial" w:eastAsia="Arial" w:hAnsi="Arial"/>
                <w:sz w:val="11"/>
                <w:szCs w:val="11"/>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(94,019)</w:t>
            </w:r>
          </w:p>
        </w:tc>
      </w:tr>
    </w:tbl>
    <w:p>
      <w:pPr>
        <w:spacing w:after="0" w:line="3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reflect the impact of these revisions on the Company’s condensed consolidated financial statements as of and for the three and nine months ended September 30, 2022 (</w:t>
      </w:r>
      <w:r>
        <w:rPr>
          <w:rFonts w:ascii="Arial" w:cs="Arial" w:eastAsia="Arial" w:hAnsi="Arial"/>
          <w:sz w:val="18"/>
          <w:szCs w:val="18"/>
          <w:i w:val="1"/>
          <w:iCs w:val="1"/>
          <w:color w:val="auto"/>
        </w:rPr>
        <w:t>dollars in thousands, except per share amounts</w:t>
      </w:r>
      <w:r>
        <w:rPr>
          <w:rFonts w:ascii="Arial" w:cs="Arial" w:eastAsia="Arial" w:hAnsi="Arial"/>
          <w:sz w:val="18"/>
          <w:szCs w:val="18"/>
          <w:color w:val="auto"/>
        </w:rPr>
        <w: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7"/>
              </w:rPr>
              <w:t>September 30, 2022</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36"/>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47"/>
        </w:trPr>
        <w:tc>
          <w:tcPr>
            <w:tcW w:w="6600" w:type="dxa"/>
            <w:vAlign w:val="bottom"/>
          </w:tcPr>
          <w:p>
            <w:pPr>
              <w:ind w:left="20"/>
              <w:spacing w:after="0"/>
              <w:rPr>
                <w:sz w:val="20"/>
                <w:szCs w:val="20"/>
                <w:color w:val="auto"/>
              </w:rPr>
            </w:pPr>
            <w:r>
              <w:rPr>
                <w:rFonts w:ascii="Arial" w:cs="Arial" w:eastAsia="Arial" w:hAnsi="Arial"/>
                <w:sz w:val="11"/>
                <w:szCs w:val="11"/>
                <w:b w:val="1"/>
                <w:bCs w:val="1"/>
                <w:color w:val="auto"/>
              </w:rPr>
              <w:t>Condensed Consolidated Balance Sheet</w:t>
            </w:r>
          </w:p>
        </w:tc>
        <w:tc>
          <w:tcPr>
            <w:tcW w:w="140" w:type="dxa"/>
            <w:vAlign w:val="bottom"/>
          </w:tcPr>
          <w:p>
            <w:pPr>
              <w:spacing w:after="0"/>
              <w:rPr>
                <w:sz w:val="12"/>
                <w:szCs w:val="12"/>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As Previously Reported</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2"/>
              </w:rPr>
              <w:t>Adjustment</w:t>
            </w:r>
          </w:p>
        </w:tc>
        <w:tc>
          <w:tcPr>
            <w:tcW w:w="280" w:type="dxa"/>
            <w:vAlign w:val="bottom"/>
          </w:tcPr>
          <w:p>
            <w:pPr>
              <w:spacing w:after="0"/>
              <w:rPr>
                <w:sz w:val="12"/>
                <w:szCs w:val="12"/>
                <w:color w:val="auto"/>
              </w:rPr>
            </w:pPr>
          </w:p>
        </w:tc>
        <w:tc>
          <w:tcPr>
            <w:tcW w:w="1200" w:type="dxa"/>
            <w:vAlign w:val="bottom"/>
          </w:tcPr>
          <w:p>
            <w:pPr>
              <w:jc w:val="right"/>
              <w:ind w:right="426"/>
              <w:spacing w:after="0"/>
              <w:rPr>
                <w:sz w:val="20"/>
                <w:szCs w:val="20"/>
                <w:color w:val="auto"/>
              </w:rPr>
            </w:pPr>
            <w:r>
              <w:rPr>
                <w:rFonts w:ascii="Arial" w:cs="Arial" w:eastAsia="Arial" w:hAnsi="Arial"/>
                <w:sz w:val="11"/>
                <w:szCs w:val="11"/>
                <w:b w:val="1"/>
                <w:bCs w:val="1"/>
                <w:color w:val="auto"/>
              </w:rPr>
              <w:t>As Revised</w:t>
            </w:r>
          </w:p>
        </w:tc>
      </w:tr>
      <w:tr>
        <w:trPr>
          <w:trHeight w:val="36"/>
        </w:trPr>
        <w:tc>
          <w:tcPr>
            <w:tcW w:w="6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6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non-current assets</w:t>
            </w: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1,071</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(64)</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1,007</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Total assets</w:t>
            </w:r>
          </w:p>
        </w:tc>
        <w:tc>
          <w:tcPr>
            <w:tcW w:w="140" w:type="dxa"/>
            <w:vAlign w:val="bottom"/>
          </w:tcPr>
          <w:p>
            <w:pPr>
              <w:spacing w:after="0"/>
              <w:rPr>
                <w:sz w:val="13"/>
                <w:szCs w:val="13"/>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63,841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(64)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63,777</w:t>
            </w:r>
          </w:p>
        </w:tc>
      </w:tr>
      <w:tr>
        <w:trPr>
          <w:trHeight w:val="36"/>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Accrued liabilities</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7,242</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1,075</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8,317</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Total current liabilities</w:t>
            </w:r>
          </w:p>
        </w:tc>
        <w:tc>
          <w:tcPr>
            <w:tcW w:w="140" w:type="dxa"/>
            <w:vAlign w:val="bottom"/>
          </w:tcPr>
          <w:p>
            <w:pPr>
              <w:spacing w:after="0"/>
              <w:rPr>
                <w:sz w:val="13"/>
                <w:szCs w:val="13"/>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38,299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1,075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39,374</w:t>
            </w:r>
          </w:p>
        </w:tc>
      </w:tr>
      <w:tr>
        <w:trPr>
          <w:trHeight w:val="36"/>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Additional paid-in capital</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457,025</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457,025</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Accumulated deficit</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(471,422)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(1,139)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(472,561)</w:t>
            </w:r>
          </w:p>
        </w:tc>
      </w:tr>
      <w:tr>
        <w:trPr>
          <w:trHeight w:val="36"/>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stockholders’ deficit</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(14,377)</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(1,139)</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(15,516)</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Total liabilities and stockholders’ deficit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63,841</w:t>
            </w:r>
          </w:p>
        </w:tc>
        <w:tc>
          <w:tcPr>
            <w:tcW w:w="10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(64)</w:t>
            </w:r>
          </w:p>
        </w:tc>
        <w:tc>
          <w:tcPr>
            <w:tcW w:w="100" w:type="dxa"/>
            <w:vAlign w:val="bottom"/>
          </w:tcPr>
          <w:p>
            <w:pPr>
              <w:spacing w:after="0"/>
              <w:rPr>
                <w:sz w:val="13"/>
                <w:szCs w:val="13"/>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63,777</w:t>
            </w:r>
          </w:p>
        </w:tc>
      </w:tr>
    </w:tbl>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20" w:type="dxa"/>
            <w:vAlign w:val="bottom"/>
            <w:gridSpan w:val="6"/>
          </w:tcPr>
          <w:p>
            <w:pPr>
              <w:jc w:val="center"/>
              <w:ind w:left="986"/>
              <w:spacing w:after="0"/>
              <w:rPr>
                <w:sz w:val="20"/>
                <w:szCs w:val="20"/>
                <w:color w:val="auto"/>
              </w:rPr>
            </w:pPr>
            <w:r>
              <w:rPr>
                <w:rFonts w:ascii="Arial" w:cs="Arial" w:eastAsia="Arial" w:hAnsi="Arial"/>
                <w:sz w:val="11"/>
                <w:szCs w:val="11"/>
                <w:b w:val="1"/>
                <w:bCs w:val="1"/>
                <w:color w:val="auto"/>
                <w:w w:val="89"/>
              </w:rPr>
              <w:t>Three Months Ended September 30, 2022</w:t>
            </w:r>
          </w:p>
        </w:tc>
        <w:tc>
          <w:tcPr>
            <w:tcW w:w="1180" w:type="dxa"/>
            <w:vAlign w:val="bottom"/>
          </w:tcPr>
          <w:p>
            <w:pPr>
              <w:spacing w:after="0"/>
              <w:rPr>
                <w:sz w:val="12"/>
                <w:szCs w:val="12"/>
                <w:color w:val="auto"/>
              </w:rPr>
            </w:pPr>
          </w:p>
        </w:tc>
      </w:tr>
      <w:tr>
        <w:trPr>
          <w:trHeight w:val="36"/>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47"/>
        </w:trPr>
        <w:tc>
          <w:tcPr>
            <w:tcW w:w="6600" w:type="dxa"/>
            <w:vAlign w:val="bottom"/>
          </w:tcPr>
          <w:p>
            <w:pPr>
              <w:ind w:left="20"/>
              <w:spacing w:after="0"/>
              <w:rPr>
                <w:sz w:val="20"/>
                <w:szCs w:val="20"/>
                <w:color w:val="auto"/>
              </w:rPr>
            </w:pPr>
            <w:r>
              <w:rPr>
                <w:rFonts w:ascii="Arial" w:cs="Arial" w:eastAsia="Arial" w:hAnsi="Arial"/>
                <w:sz w:val="11"/>
                <w:szCs w:val="11"/>
                <w:b w:val="1"/>
                <w:bCs w:val="1"/>
                <w:color w:val="auto"/>
              </w:rPr>
              <w:t>Condensed Consolidated Statements Of Operations And Comprehensive Loss</w:t>
            </w:r>
          </w:p>
        </w:tc>
        <w:tc>
          <w:tcPr>
            <w:tcW w:w="140" w:type="dxa"/>
            <w:vAlign w:val="bottom"/>
          </w:tcPr>
          <w:p>
            <w:pPr>
              <w:spacing w:after="0"/>
              <w:rPr>
                <w:sz w:val="12"/>
                <w:szCs w:val="12"/>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As Previously Reported</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2"/>
              </w:rPr>
              <w:t>Adjustment</w:t>
            </w:r>
          </w:p>
        </w:tc>
        <w:tc>
          <w:tcPr>
            <w:tcW w:w="300" w:type="dxa"/>
            <w:vAlign w:val="bottom"/>
          </w:tcPr>
          <w:p>
            <w:pPr>
              <w:spacing w:after="0"/>
              <w:rPr>
                <w:sz w:val="12"/>
                <w:szCs w:val="12"/>
                <w:color w:val="auto"/>
              </w:rPr>
            </w:pPr>
          </w:p>
        </w:tc>
        <w:tc>
          <w:tcPr>
            <w:tcW w:w="1180" w:type="dxa"/>
            <w:vAlign w:val="bottom"/>
          </w:tcPr>
          <w:p>
            <w:pPr>
              <w:jc w:val="right"/>
              <w:ind w:right="426"/>
              <w:spacing w:after="0"/>
              <w:rPr>
                <w:sz w:val="20"/>
                <w:szCs w:val="20"/>
                <w:color w:val="auto"/>
              </w:rPr>
            </w:pPr>
            <w:r>
              <w:rPr>
                <w:rFonts w:ascii="Arial" w:cs="Arial" w:eastAsia="Arial" w:hAnsi="Arial"/>
                <w:sz w:val="11"/>
                <w:szCs w:val="11"/>
                <w:b w:val="1"/>
                <w:bCs w:val="1"/>
                <w:color w:val="auto"/>
              </w:rPr>
              <w:t>As Revised</w:t>
            </w:r>
          </w:p>
        </w:tc>
      </w:tr>
      <w:tr>
        <w:trPr>
          <w:trHeight w:val="36"/>
        </w:trPr>
        <w:tc>
          <w:tcPr>
            <w:tcW w:w="6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6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9,587</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64</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9,651</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Loss from operations</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(27,008)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(64)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(27,072)</w:t>
            </w:r>
          </w:p>
        </w:tc>
      </w:tr>
      <w:tr>
        <w:trPr>
          <w:trHeight w:val="36"/>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income (expense), net</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116</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(1,075)</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(959)</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Total other expense, net</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(1,050)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(1,075)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(2,125)</w:t>
            </w:r>
          </w:p>
        </w:tc>
      </w:tr>
      <w:tr>
        <w:trPr>
          <w:trHeight w:val="36"/>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Loss before provision for income taxes</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(28,058)</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(1,139)</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(29,197)</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Net loss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(28,922)</w:t>
            </w:r>
          </w:p>
        </w:tc>
        <w:tc>
          <w:tcPr>
            <w:tcW w:w="100" w:type="dxa"/>
            <w:vAlign w:val="bottom"/>
          </w:tcPr>
          <w:p>
            <w:pPr>
              <w:spacing w:after="0"/>
              <w:rPr>
                <w:sz w:val="13"/>
                <w:szCs w:val="13"/>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(1,139)</w:t>
            </w:r>
          </w:p>
        </w:tc>
        <w:tc>
          <w:tcPr>
            <w:tcW w:w="100" w:type="dxa"/>
            <w:vAlign w:val="bottom"/>
          </w:tcPr>
          <w:p>
            <w:pPr>
              <w:spacing w:after="0"/>
              <w:rPr>
                <w:sz w:val="13"/>
                <w:szCs w:val="13"/>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(30,061)</w:t>
            </w:r>
          </w:p>
        </w:tc>
      </w:tr>
      <w:tr>
        <w:trPr>
          <w:trHeight w:val="36"/>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 per share:</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Basic and diluted</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(0.15)</w:t>
            </w:r>
          </w:p>
        </w:tc>
        <w:tc>
          <w:tcPr>
            <w:tcW w:w="100" w:type="dxa"/>
            <w:vAlign w:val="bottom"/>
          </w:tcPr>
          <w:p>
            <w:pPr>
              <w:spacing w:after="0"/>
              <w:rPr>
                <w:sz w:val="13"/>
                <w:szCs w:val="13"/>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(0.15)</w:t>
            </w: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00" w:type="dxa"/>
            <w:vAlign w:val="bottom"/>
            <w:gridSpan w:val="6"/>
          </w:tcPr>
          <w:p>
            <w:pPr>
              <w:jc w:val="center"/>
              <w:ind w:left="1006"/>
              <w:spacing w:after="0"/>
              <w:rPr>
                <w:sz w:val="20"/>
                <w:szCs w:val="20"/>
                <w:color w:val="auto"/>
              </w:rPr>
            </w:pPr>
            <w:r>
              <w:rPr>
                <w:rFonts w:ascii="Arial" w:cs="Arial" w:eastAsia="Arial" w:hAnsi="Arial"/>
                <w:sz w:val="11"/>
                <w:szCs w:val="11"/>
                <w:b w:val="1"/>
                <w:bCs w:val="1"/>
                <w:color w:val="auto"/>
                <w:w w:val="88"/>
              </w:rPr>
              <w:t>Nine Months Ended September 30, 2022</w:t>
            </w:r>
          </w:p>
        </w:tc>
        <w:tc>
          <w:tcPr>
            <w:tcW w:w="1200" w:type="dxa"/>
            <w:vAlign w:val="bottom"/>
          </w:tcPr>
          <w:p>
            <w:pPr>
              <w:spacing w:after="0"/>
              <w:rPr>
                <w:sz w:val="12"/>
                <w:szCs w:val="12"/>
                <w:color w:val="auto"/>
              </w:rPr>
            </w:pPr>
          </w:p>
        </w:tc>
      </w:tr>
      <w:tr>
        <w:trPr>
          <w:trHeight w:val="35"/>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47"/>
        </w:trPr>
        <w:tc>
          <w:tcPr>
            <w:tcW w:w="6600" w:type="dxa"/>
            <w:vAlign w:val="bottom"/>
          </w:tcPr>
          <w:p>
            <w:pPr>
              <w:ind w:left="20"/>
              <w:spacing w:after="0"/>
              <w:rPr>
                <w:sz w:val="20"/>
                <w:szCs w:val="20"/>
                <w:color w:val="auto"/>
              </w:rPr>
            </w:pPr>
            <w:r>
              <w:rPr>
                <w:rFonts w:ascii="Arial" w:cs="Arial" w:eastAsia="Arial" w:hAnsi="Arial"/>
                <w:sz w:val="11"/>
                <w:szCs w:val="11"/>
                <w:b w:val="1"/>
                <w:bCs w:val="1"/>
                <w:color w:val="auto"/>
              </w:rPr>
              <w:t>Condensed Consolidated Statements Of Operations And Comprehensive Loss</w:t>
            </w:r>
          </w:p>
        </w:tc>
        <w:tc>
          <w:tcPr>
            <w:tcW w:w="140" w:type="dxa"/>
            <w:vAlign w:val="bottom"/>
          </w:tcPr>
          <w:p>
            <w:pPr>
              <w:spacing w:after="0"/>
              <w:rPr>
                <w:sz w:val="12"/>
                <w:szCs w:val="12"/>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As Previously Reported</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2"/>
              </w:rPr>
              <w:t>Adjustment</w:t>
            </w:r>
          </w:p>
        </w:tc>
        <w:tc>
          <w:tcPr>
            <w:tcW w:w="280" w:type="dxa"/>
            <w:vAlign w:val="bottom"/>
          </w:tcPr>
          <w:p>
            <w:pPr>
              <w:spacing w:after="0"/>
              <w:rPr>
                <w:sz w:val="12"/>
                <w:szCs w:val="12"/>
                <w:color w:val="auto"/>
              </w:rPr>
            </w:pPr>
          </w:p>
        </w:tc>
        <w:tc>
          <w:tcPr>
            <w:tcW w:w="1200" w:type="dxa"/>
            <w:vAlign w:val="bottom"/>
          </w:tcPr>
          <w:p>
            <w:pPr>
              <w:jc w:val="right"/>
              <w:ind w:right="426"/>
              <w:spacing w:after="0"/>
              <w:rPr>
                <w:sz w:val="20"/>
                <w:szCs w:val="20"/>
                <w:color w:val="auto"/>
              </w:rPr>
            </w:pPr>
            <w:r>
              <w:rPr>
                <w:rFonts w:ascii="Arial" w:cs="Arial" w:eastAsia="Arial" w:hAnsi="Arial"/>
                <w:sz w:val="11"/>
                <w:szCs w:val="11"/>
                <w:b w:val="1"/>
                <w:bCs w:val="1"/>
                <w:color w:val="auto"/>
              </w:rPr>
              <w:t>As Revised</w:t>
            </w:r>
          </w:p>
        </w:tc>
      </w:tr>
      <w:tr>
        <w:trPr>
          <w:trHeight w:val="35"/>
        </w:trPr>
        <w:tc>
          <w:tcPr>
            <w:tcW w:w="6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6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22,952</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64</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23,016</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Loss from operations</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(76,655)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(64)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(76,719)</w:t>
            </w:r>
          </w:p>
        </w:tc>
      </w:tr>
      <w:tr>
        <w:trPr>
          <w:trHeight w:val="35"/>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income (expense), net</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(718)</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(1,075)</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(1,793)</w:t>
            </w:r>
          </w:p>
        </w:tc>
      </w:tr>
      <w:tr>
        <w:trPr>
          <w:trHeight w:val="154"/>
        </w:trPr>
        <w:tc>
          <w:tcPr>
            <w:tcW w:w="6600" w:type="dxa"/>
            <w:vAlign w:val="bottom"/>
          </w:tcPr>
          <w:p>
            <w:pPr>
              <w:ind w:left="20"/>
              <w:spacing w:after="0"/>
              <w:rPr>
                <w:sz w:val="20"/>
                <w:szCs w:val="20"/>
                <w:color w:val="auto"/>
              </w:rPr>
            </w:pPr>
            <w:r>
              <w:rPr>
                <w:rFonts w:ascii="Arial" w:cs="Arial" w:eastAsia="Arial" w:hAnsi="Arial"/>
                <w:sz w:val="11"/>
                <w:szCs w:val="11"/>
                <w:color w:val="auto"/>
              </w:rPr>
              <w:t>Total other expense, net</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(6,433)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(1,075)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(7,508)</w:t>
            </w:r>
          </w:p>
        </w:tc>
      </w:tr>
      <w:tr>
        <w:trPr>
          <w:trHeight w:val="35"/>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Loss before provision for income taxes</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(83,088)</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(1,139)</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(84,227)</w:t>
            </w:r>
          </w:p>
        </w:tc>
      </w:tr>
      <w:tr>
        <w:trPr>
          <w:trHeight w:val="154"/>
        </w:trPr>
        <w:tc>
          <w:tcPr>
            <w:tcW w:w="6600" w:type="dxa"/>
            <w:vAlign w:val="bottom"/>
          </w:tcPr>
          <w:p>
            <w:pPr>
              <w:ind w:left="20"/>
              <w:spacing w:after="0"/>
              <w:rPr>
                <w:sz w:val="20"/>
                <w:szCs w:val="20"/>
                <w:color w:val="auto"/>
              </w:rPr>
            </w:pPr>
            <w:r>
              <w:rPr>
                <w:rFonts w:ascii="Arial" w:cs="Arial" w:eastAsia="Arial" w:hAnsi="Arial"/>
                <w:sz w:val="11"/>
                <w:szCs w:val="11"/>
                <w:color w:val="auto"/>
              </w:rPr>
              <w:t>Net loss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(84,693)</w:t>
            </w:r>
          </w:p>
        </w:tc>
        <w:tc>
          <w:tcPr>
            <w:tcW w:w="100" w:type="dxa"/>
            <w:vAlign w:val="bottom"/>
          </w:tcPr>
          <w:p>
            <w:pPr>
              <w:spacing w:after="0"/>
              <w:rPr>
                <w:sz w:val="13"/>
                <w:szCs w:val="13"/>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(1,139)</w:t>
            </w:r>
          </w:p>
        </w:tc>
        <w:tc>
          <w:tcPr>
            <w:tcW w:w="100" w:type="dxa"/>
            <w:vAlign w:val="bottom"/>
          </w:tcPr>
          <w:p>
            <w:pPr>
              <w:spacing w:after="0"/>
              <w:rPr>
                <w:sz w:val="13"/>
                <w:szCs w:val="13"/>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(85,832)</w:t>
            </w:r>
          </w:p>
        </w:tc>
      </w:tr>
      <w:tr>
        <w:trPr>
          <w:trHeight w:val="35"/>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 per share:</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r>
      <w:tr>
        <w:trPr>
          <w:trHeight w:val="154"/>
        </w:trPr>
        <w:tc>
          <w:tcPr>
            <w:tcW w:w="6600" w:type="dxa"/>
            <w:vAlign w:val="bottom"/>
          </w:tcPr>
          <w:p>
            <w:pPr>
              <w:ind w:left="20"/>
              <w:spacing w:after="0"/>
              <w:rPr>
                <w:sz w:val="20"/>
                <w:szCs w:val="20"/>
                <w:color w:val="auto"/>
              </w:rPr>
            </w:pPr>
            <w:r>
              <w:rPr>
                <w:rFonts w:ascii="Arial" w:cs="Arial" w:eastAsia="Arial" w:hAnsi="Arial"/>
                <w:sz w:val="11"/>
                <w:szCs w:val="11"/>
                <w:color w:val="auto"/>
              </w:rPr>
              <w:t>Basic and diluted</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(0.59)</w:t>
            </w:r>
          </w:p>
        </w:tc>
        <w:tc>
          <w:tcPr>
            <w:tcW w:w="100" w:type="dxa"/>
            <w:vAlign w:val="bottom"/>
          </w:tcPr>
          <w:p>
            <w:pPr>
              <w:spacing w:after="0"/>
              <w:rPr>
                <w:sz w:val="13"/>
                <w:szCs w:val="13"/>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(0.01)</w:t>
            </w:r>
          </w:p>
        </w:tc>
        <w:tc>
          <w:tcPr>
            <w:tcW w:w="100" w:type="dxa"/>
            <w:vAlign w:val="bottom"/>
          </w:tcPr>
          <w:p>
            <w:pPr>
              <w:spacing w:after="0"/>
              <w:rPr>
                <w:sz w:val="13"/>
                <w:szCs w:val="13"/>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(0.60)</w:t>
            </w:r>
          </w:p>
        </w:tc>
      </w:tr>
    </w:tbl>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20" w:type="dxa"/>
            <w:vAlign w:val="bottom"/>
            <w:gridSpan w:val="6"/>
          </w:tcPr>
          <w:p>
            <w:pPr>
              <w:jc w:val="center"/>
              <w:ind w:left="986"/>
              <w:spacing w:after="0"/>
              <w:rPr>
                <w:sz w:val="20"/>
                <w:szCs w:val="20"/>
                <w:color w:val="auto"/>
              </w:rPr>
            </w:pPr>
            <w:r>
              <w:rPr>
                <w:rFonts w:ascii="Arial" w:cs="Arial" w:eastAsia="Arial" w:hAnsi="Arial"/>
                <w:sz w:val="11"/>
                <w:szCs w:val="11"/>
                <w:b w:val="1"/>
                <w:bCs w:val="1"/>
                <w:color w:val="auto"/>
                <w:w w:val="89"/>
              </w:rPr>
              <w:t>Three Months Ended September 30, 2022</w:t>
            </w:r>
          </w:p>
        </w:tc>
        <w:tc>
          <w:tcPr>
            <w:tcW w:w="1180" w:type="dxa"/>
            <w:vAlign w:val="bottom"/>
          </w:tcPr>
          <w:p>
            <w:pPr>
              <w:spacing w:after="0"/>
              <w:rPr>
                <w:sz w:val="12"/>
                <w:szCs w:val="12"/>
                <w:color w:val="auto"/>
              </w:rPr>
            </w:pPr>
          </w:p>
        </w:tc>
      </w:tr>
      <w:tr>
        <w:trPr>
          <w:trHeight w:val="35"/>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47"/>
        </w:trPr>
        <w:tc>
          <w:tcPr>
            <w:tcW w:w="6600" w:type="dxa"/>
            <w:vAlign w:val="bottom"/>
          </w:tcPr>
          <w:p>
            <w:pPr>
              <w:ind w:left="20"/>
              <w:spacing w:after="0"/>
              <w:rPr>
                <w:sz w:val="20"/>
                <w:szCs w:val="20"/>
                <w:color w:val="auto"/>
              </w:rPr>
            </w:pPr>
            <w:r>
              <w:rPr>
                <w:rFonts w:ascii="Arial" w:cs="Arial" w:eastAsia="Arial" w:hAnsi="Arial"/>
                <w:sz w:val="11"/>
                <w:szCs w:val="11"/>
                <w:b w:val="1"/>
                <w:bCs w:val="1"/>
                <w:color w:val="auto"/>
              </w:rPr>
              <w:t>Condensed Consolidated Statement of Stockholders' Equity (Deficit)</w:t>
            </w:r>
          </w:p>
        </w:tc>
        <w:tc>
          <w:tcPr>
            <w:tcW w:w="140" w:type="dxa"/>
            <w:vAlign w:val="bottom"/>
          </w:tcPr>
          <w:p>
            <w:pPr>
              <w:spacing w:after="0"/>
              <w:rPr>
                <w:sz w:val="12"/>
                <w:szCs w:val="12"/>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As Previously Reported</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2"/>
              </w:rPr>
              <w:t>Adjustment</w:t>
            </w:r>
          </w:p>
        </w:tc>
        <w:tc>
          <w:tcPr>
            <w:tcW w:w="300" w:type="dxa"/>
            <w:vAlign w:val="bottom"/>
          </w:tcPr>
          <w:p>
            <w:pPr>
              <w:spacing w:after="0"/>
              <w:rPr>
                <w:sz w:val="12"/>
                <w:szCs w:val="12"/>
                <w:color w:val="auto"/>
              </w:rPr>
            </w:pPr>
          </w:p>
        </w:tc>
        <w:tc>
          <w:tcPr>
            <w:tcW w:w="1180" w:type="dxa"/>
            <w:vAlign w:val="bottom"/>
          </w:tcPr>
          <w:p>
            <w:pPr>
              <w:jc w:val="right"/>
              <w:ind w:right="426"/>
              <w:spacing w:after="0"/>
              <w:rPr>
                <w:sz w:val="20"/>
                <w:szCs w:val="20"/>
                <w:color w:val="auto"/>
              </w:rPr>
            </w:pPr>
            <w:r>
              <w:rPr>
                <w:rFonts w:ascii="Arial" w:cs="Arial" w:eastAsia="Arial" w:hAnsi="Arial"/>
                <w:sz w:val="11"/>
                <w:szCs w:val="11"/>
                <w:b w:val="1"/>
                <w:bCs w:val="1"/>
                <w:color w:val="auto"/>
              </w:rPr>
              <w:t>As Revised</w:t>
            </w:r>
          </w:p>
        </w:tc>
      </w:tr>
      <w:tr>
        <w:trPr>
          <w:trHeight w:val="35"/>
        </w:trPr>
        <w:tc>
          <w:tcPr>
            <w:tcW w:w="6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6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Accumulated deficit</w:t>
            </w: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(471,422)</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(1,139)</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(472,561)</w:t>
            </w:r>
          </w:p>
        </w:tc>
      </w:tr>
      <w:tr>
        <w:trPr>
          <w:trHeight w:val="154"/>
        </w:trPr>
        <w:tc>
          <w:tcPr>
            <w:tcW w:w="6600" w:type="dxa"/>
            <w:vAlign w:val="bottom"/>
          </w:tcPr>
          <w:p>
            <w:pPr>
              <w:ind w:left="20"/>
              <w:spacing w:after="0"/>
              <w:rPr>
                <w:sz w:val="20"/>
                <w:szCs w:val="20"/>
                <w:color w:val="auto"/>
              </w:rPr>
            </w:pPr>
            <w:r>
              <w:rPr>
                <w:rFonts w:ascii="Arial" w:cs="Arial" w:eastAsia="Arial" w:hAnsi="Arial"/>
                <w:sz w:val="11"/>
                <w:szCs w:val="11"/>
                <w:color w:val="auto"/>
              </w:rPr>
              <w:t>Net loss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(28,922)</w:t>
            </w:r>
          </w:p>
        </w:tc>
        <w:tc>
          <w:tcPr>
            <w:tcW w:w="100" w:type="dxa"/>
            <w:vAlign w:val="bottom"/>
          </w:tcPr>
          <w:p>
            <w:pPr>
              <w:spacing w:after="0"/>
              <w:rPr>
                <w:sz w:val="13"/>
                <w:szCs w:val="13"/>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(1,139)</w:t>
            </w:r>
          </w:p>
        </w:tc>
        <w:tc>
          <w:tcPr>
            <w:tcW w:w="100" w:type="dxa"/>
            <w:vAlign w:val="bottom"/>
          </w:tcPr>
          <w:p>
            <w:pPr>
              <w:spacing w:after="0"/>
              <w:rPr>
                <w:sz w:val="13"/>
                <w:szCs w:val="13"/>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(30,061)</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00" w:type="dxa"/>
            <w:vAlign w:val="bottom"/>
            <w:gridSpan w:val="6"/>
          </w:tcPr>
          <w:p>
            <w:pPr>
              <w:jc w:val="center"/>
              <w:ind w:left="1006"/>
              <w:spacing w:after="0"/>
              <w:rPr>
                <w:sz w:val="20"/>
                <w:szCs w:val="20"/>
                <w:color w:val="auto"/>
              </w:rPr>
            </w:pPr>
            <w:r>
              <w:rPr>
                <w:rFonts w:ascii="Arial" w:cs="Arial" w:eastAsia="Arial" w:hAnsi="Arial"/>
                <w:sz w:val="11"/>
                <w:szCs w:val="11"/>
                <w:b w:val="1"/>
                <w:bCs w:val="1"/>
                <w:color w:val="auto"/>
                <w:w w:val="88"/>
              </w:rPr>
              <w:t>Nine Months Ended September 30, 2022</w:t>
            </w:r>
          </w:p>
        </w:tc>
        <w:tc>
          <w:tcPr>
            <w:tcW w:w="1200" w:type="dxa"/>
            <w:vAlign w:val="bottom"/>
          </w:tcPr>
          <w:p>
            <w:pPr>
              <w:spacing w:after="0"/>
              <w:rPr>
                <w:sz w:val="12"/>
                <w:szCs w:val="12"/>
                <w:color w:val="auto"/>
              </w:rPr>
            </w:pPr>
          </w:p>
        </w:tc>
      </w:tr>
      <w:tr>
        <w:trPr>
          <w:trHeight w:val="36"/>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47"/>
        </w:trPr>
        <w:tc>
          <w:tcPr>
            <w:tcW w:w="6600" w:type="dxa"/>
            <w:vAlign w:val="bottom"/>
          </w:tcPr>
          <w:p>
            <w:pPr>
              <w:ind w:left="20"/>
              <w:spacing w:after="0"/>
              <w:rPr>
                <w:sz w:val="20"/>
                <w:szCs w:val="20"/>
                <w:color w:val="auto"/>
              </w:rPr>
            </w:pPr>
            <w:r>
              <w:rPr>
                <w:rFonts w:ascii="Arial" w:cs="Arial" w:eastAsia="Arial" w:hAnsi="Arial"/>
                <w:sz w:val="11"/>
                <w:szCs w:val="11"/>
                <w:b w:val="1"/>
                <w:bCs w:val="1"/>
                <w:color w:val="auto"/>
              </w:rPr>
              <w:t>Condensed Consolidated Statement of Stockholders' Equity (Deficit)</w:t>
            </w:r>
          </w:p>
        </w:tc>
        <w:tc>
          <w:tcPr>
            <w:tcW w:w="140" w:type="dxa"/>
            <w:vAlign w:val="bottom"/>
          </w:tcPr>
          <w:p>
            <w:pPr>
              <w:spacing w:after="0"/>
              <w:rPr>
                <w:sz w:val="12"/>
                <w:szCs w:val="12"/>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As Previously Reported</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2"/>
              </w:rPr>
              <w:t>Adjustment</w:t>
            </w:r>
          </w:p>
        </w:tc>
        <w:tc>
          <w:tcPr>
            <w:tcW w:w="280" w:type="dxa"/>
            <w:vAlign w:val="bottom"/>
          </w:tcPr>
          <w:p>
            <w:pPr>
              <w:spacing w:after="0"/>
              <w:rPr>
                <w:sz w:val="12"/>
                <w:szCs w:val="12"/>
                <w:color w:val="auto"/>
              </w:rPr>
            </w:pPr>
          </w:p>
        </w:tc>
        <w:tc>
          <w:tcPr>
            <w:tcW w:w="1200" w:type="dxa"/>
            <w:vAlign w:val="bottom"/>
          </w:tcPr>
          <w:p>
            <w:pPr>
              <w:jc w:val="right"/>
              <w:ind w:right="426"/>
              <w:spacing w:after="0"/>
              <w:rPr>
                <w:sz w:val="20"/>
                <w:szCs w:val="20"/>
                <w:color w:val="auto"/>
              </w:rPr>
            </w:pPr>
            <w:r>
              <w:rPr>
                <w:rFonts w:ascii="Arial" w:cs="Arial" w:eastAsia="Arial" w:hAnsi="Arial"/>
                <w:sz w:val="11"/>
                <w:szCs w:val="11"/>
                <w:b w:val="1"/>
                <w:bCs w:val="1"/>
                <w:color w:val="auto"/>
              </w:rPr>
              <w:t>As Revised</w:t>
            </w:r>
          </w:p>
        </w:tc>
      </w:tr>
      <w:tr>
        <w:trPr>
          <w:trHeight w:val="36"/>
        </w:trPr>
        <w:tc>
          <w:tcPr>
            <w:tcW w:w="6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6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Accumulated deficit</w:t>
            </w: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(471,422)</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(1,139)</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(472,561)</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Net loss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(84,693)</w:t>
            </w:r>
          </w:p>
        </w:tc>
        <w:tc>
          <w:tcPr>
            <w:tcW w:w="100" w:type="dxa"/>
            <w:vAlign w:val="bottom"/>
          </w:tcPr>
          <w:p>
            <w:pPr>
              <w:spacing w:after="0"/>
              <w:rPr>
                <w:sz w:val="13"/>
                <w:szCs w:val="13"/>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(1,139)</w:t>
            </w:r>
          </w:p>
        </w:tc>
        <w:tc>
          <w:tcPr>
            <w:tcW w:w="100" w:type="dxa"/>
            <w:vAlign w:val="bottom"/>
          </w:tcPr>
          <w:p>
            <w:pPr>
              <w:spacing w:after="0"/>
              <w:rPr>
                <w:sz w:val="13"/>
                <w:szCs w:val="13"/>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(85,832)</w:t>
            </w:r>
          </w:p>
        </w:tc>
      </w:tr>
      <w:tr>
        <w:trPr>
          <w:trHeight w:val="526"/>
        </w:trPr>
        <w:tc>
          <w:tcPr>
            <w:tcW w:w="6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gridSpan w:val="6"/>
          </w:tcPr>
          <w:p>
            <w:pPr>
              <w:jc w:val="center"/>
              <w:ind w:left="1006"/>
              <w:spacing w:after="0"/>
              <w:rPr>
                <w:sz w:val="20"/>
                <w:szCs w:val="20"/>
                <w:color w:val="auto"/>
              </w:rPr>
            </w:pPr>
            <w:r>
              <w:rPr>
                <w:rFonts w:ascii="Arial" w:cs="Arial" w:eastAsia="Arial" w:hAnsi="Arial"/>
                <w:sz w:val="11"/>
                <w:szCs w:val="11"/>
                <w:b w:val="1"/>
                <w:bCs w:val="1"/>
                <w:color w:val="auto"/>
                <w:w w:val="88"/>
              </w:rPr>
              <w:t>Nine Months Ended September 30, 2022</w:t>
            </w:r>
          </w:p>
        </w:tc>
        <w:tc>
          <w:tcPr>
            <w:tcW w:w="1200" w:type="dxa"/>
            <w:vAlign w:val="bottom"/>
          </w:tcPr>
          <w:p>
            <w:pPr>
              <w:spacing w:after="0"/>
              <w:rPr>
                <w:sz w:val="24"/>
                <w:szCs w:val="24"/>
                <w:color w:val="auto"/>
              </w:rPr>
            </w:pPr>
          </w:p>
        </w:tc>
      </w:tr>
      <w:tr>
        <w:trPr>
          <w:trHeight w:val="36"/>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47"/>
        </w:trPr>
        <w:tc>
          <w:tcPr>
            <w:tcW w:w="6600" w:type="dxa"/>
            <w:vAlign w:val="bottom"/>
          </w:tcPr>
          <w:p>
            <w:pPr>
              <w:ind w:left="20"/>
              <w:spacing w:after="0"/>
              <w:rPr>
                <w:sz w:val="20"/>
                <w:szCs w:val="20"/>
                <w:color w:val="auto"/>
              </w:rPr>
            </w:pPr>
            <w:r>
              <w:rPr>
                <w:rFonts w:ascii="Arial" w:cs="Arial" w:eastAsia="Arial" w:hAnsi="Arial"/>
                <w:sz w:val="11"/>
                <w:szCs w:val="11"/>
                <w:b w:val="1"/>
                <w:bCs w:val="1"/>
                <w:color w:val="auto"/>
              </w:rPr>
              <w:t>Condensed Consolidated Statements of Cash Flows</w:t>
            </w:r>
          </w:p>
        </w:tc>
        <w:tc>
          <w:tcPr>
            <w:tcW w:w="140" w:type="dxa"/>
            <w:vAlign w:val="bottom"/>
          </w:tcPr>
          <w:p>
            <w:pPr>
              <w:spacing w:after="0"/>
              <w:rPr>
                <w:sz w:val="12"/>
                <w:szCs w:val="12"/>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As Previously Reported</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2"/>
              </w:rPr>
              <w:t>Adjustment</w:t>
            </w:r>
          </w:p>
        </w:tc>
        <w:tc>
          <w:tcPr>
            <w:tcW w:w="280" w:type="dxa"/>
            <w:vAlign w:val="bottom"/>
          </w:tcPr>
          <w:p>
            <w:pPr>
              <w:spacing w:after="0"/>
              <w:rPr>
                <w:sz w:val="12"/>
                <w:szCs w:val="12"/>
                <w:color w:val="auto"/>
              </w:rPr>
            </w:pPr>
          </w:p>
        </w:tc>
        <w:tc>
          <w:tcPr>
            <w:tcW w:w="1200" w:type="dxa"/>
            <w:vAlign w:val="bottom"/>
          </w:tcPr>
          <w:p>
            <w:pPr>
              <w:jc w:val="right"/>
              <w:ind w:right="426"/>
              <w:spacing w:after="0"/>
              <w:rPr>
                <w:sz w:val="20"/>
                <w:szCs w:val="20"/>
                <w:color w:val="auto"/>
              </w:rPr>
            </w:pPr>
            <w:r>
              <w:rPr>
                <w:rFonts w:ascii="Arial" w:cs="Arial" w:eastAsia="Arial" w:hAnsi="Arial"/>
                <w:sz w:val="11"/>
                <w:szCs w:val="11"/>
                <w:b w:val="1"/>
                <w:bCs w:val="1"/>
                <w:color w:val="auto"/>
              </w:rPr>
              <w:t>As Revised</w:t>
            </w:r>
          </w:p>
        </w:tc>
      </w:tr>
      <w:tr>
        <w:trPr>
          <w:trHeight w:val="36"/>
        </w:trPr>
        <w:tc>
          <w:tcPr>
            <w:tcW w:w="6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6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(84,693)</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(1,139)</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(85,832)</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Adjustments to reconcile net loss to net cash used in operating activities:</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6"/>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Loss on change in fair value of ELOC program</w:t>
            </w:r>
          </w:p>
        </w:tc>
        <w:tc>
          <w:tcPr>
            <w:tcW w:w="14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1,075</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1,075</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Changes in operating assets and liabilities</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6"/>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6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non-current assets</w:t>
            </w: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1"/>
                <w:szCs w:val="11"/>
                <w:color w:val="auto"/>
              </w:rPr>
              <w:t>46</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64</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110</w:t>
            </w:r>
          </w:p>
        </w:tc>
      </w:tr>
      <w:tr>
        <w:trPr>
          <w:trHeight w:val="153"/>
        </w:trPr>
        <w:tc>
          <w:tcPr>
            <w:tcW w:w="6600" w:type="dxa"/>
            <w:vAlign w:val="bottom"/>
          </w:tcPr>
          <w:p>
            <w:pPr>
              <w:ind w:left="20"/>
              <w:spacing w:after="0"/>
              <w:rPr>
                <w:sz w:val="20"/>
                <w:szCs w:val="20"/>
                <w:color w:val="auto"/>
              </w:rPr>
            </w:pPr>
            <w:r>
              <w:rPr>
                <w:rFonts w:ascii="Arial" w:cs="Arial" w:eastAsia="Arial" w:hAnsi="Arial"/>
                <w:sz w:val="11"/>
                <w:szCs w:val="11"/>
                <w:color w:val="auto"/>
              </w:rPr>
              <w:t>Net cash used in operating activities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(73,605)</w:t>
            </w:r>
          </w:p>
        </w:tc>
        <w:tc>
          <w:tcPr>
            <w:tcW w:w="100" w:type="dxa"/>
            <w:vAlign w:val="bottom"/>
          </w:tcPr>
          <w:p>
            <w:pPr>
              <w:spacing w:after="0"/>
              <w:rPr>
                <w:sz w:val="13"/>
                <w:szCs w:val="13"/>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(73,605)</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7"/>
          <w:szCs w:val="17"/>
          <w:i w:val="1"/>
          <w:iCs w:val="1"/>
          <w:color w:val="auto"/>
        </w:rPr>
        <w:t>The following discussion and analysis of the financial condition and results of operations of SoundHound should be read together with our unaudited interim condensed consolidated financial statements as of September 30, 2023 and for the three and nine months ended September 30, 2023 and 2022, together with related notes thereto, and our audited financial statements included in Form 10-K, which was filed with the SEC on March 28, 2023. Some of the information contained in this discussion and analysis or set forth elsewhere in this report, including information with respect to SoundHound’s plans and strategy for its business and related financing, includes forward-looking statements that involve risks and uncertainties. As a result of many factors, including those factors set forth in the “Risk Factors” and “Cautionary Statement Regarding Forward Looking Statements” section of this report,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SoundHound AI, Inc.</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i w:val="1"/>
          <w:iCs w:val="1"/>
          <w:color w:val="auto"/>
        </w:rPr>
        <w:t>The Company has revised the previously issued consolidated statements of operations and comprehensive loss, consolidated balance sheets, consolidated statements of cash flows and redeemable convertible preferred stock and stockholders’ deficit tables as of and for the year ended December 31, 2022, as of and for the three and nine months ended September 30, 2022, as of and for the three months ended March 31, 2023, and as of and for the three and six months ended June 30, 2023 to correct for such errors. All relevant prior period amounts affected by these revisions have been corrected in the Management’s Discussion and Analysis of Financial Condition and Results of Operation in this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 real-time, multimodal customer service interface. Along with SoundHound Chat AI, a powerful voice assistant with integrated Generative AI, SoundHound powers millions of products and services, and processes billions of interactions each year for world class businesses.</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market position is strengthened by the technical barriers to entry in the Voice AI space, which tend to discourage new market participants. Furthermore, our technology is backed by significant investments in intellectual property, with over 120 patents granted and over 140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 which is estimated to grow to $160 billion per year by 2026.</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14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1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 to your coffee machine and asking for a triple shot extra hot latte. While you are waiting for your drink, you can ask for weather and sports scores, and if you desire, you can even order bagels from your favorite nearby bakery.</w:t>
      </w:r>
    </w:p>
    <w:p>
      <w:pPr>
        <w:spacing w:after="0" w:line="17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There are three pillars to our revenue model. The first pillar is Product Royalties, where we voice enable a product and the product creator pays us a royalty based on volume, usage or duration. SoundHound collects royalties when Houndify is placed in a car, smart speaker or an appliance, for example.</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second pillar is Service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18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third pillar creates a monetization ecosystem that brings the services from pillar two to the products in pillar one. When the users of a voice-enabled product in pillar one access the voice-enabled services of pillar two, these services generate new leads and transactions. SoundHound generates monetization revenue from the services for generating these leads and transactions, and we will share the revenue with the product creators of pillar one. For example, when the driver of a voice-enabled car places an order to a restaurant that is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During the periods presented in the condensed consolidated financial statements,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from leads and transactions on voice-enabled products from voice-enabled services.</w:t>
      </w:r>
    </w:p>
    <w:p>
      <w:pPr>
        <w:spacing w:after="0" w:line="1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All three pillars contribute to our revenues today in 2023. While the majority of the contribution is currently from our first pillar of royalties, over time, the subscription and monetization portions are expected to grow and make a bigger contribution to our overall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Demands, Commitments, Events or Uncertainties Impacting Our Business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SoundHound believes that its performance and future success depend on many factors that present significant opportunities for us but also pose risks and challenges, including the following:</w:t>
      </w:r>
    </w:p>
    <w:p>
      <w:pPr>
        <w:spacing w:after="0" w:line="170" w:lineRule="exact"/>
        <w:rPr>
          <w:sz w:val="20"/>
          <w:szCs w:val="20"/>
          <w:color w:val="auto"/>
        </w:rPr>
      </w:pPr>
    </w:p>
    <w:p>
      <w:pPr>
        <w:jc w:val="both"/>
        <w:ind w:left="660" w:hanging="328"/>
        <w:spacing w:after="0" w:line="279"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Investments in Technology. </w:t>
      </w:r>
      <w:r>
        <w:rPr>
          <w:rFonts w:ascii="Arial" w:cs="Arial" w:eastAsia="Arial" w:hAnsi="Arial"/>
          <w:sz w:val="17"/>
          <w:szCs w:val="17"/>
          <w:color w:val="auto"/>
        </w:rPr>
        <w:t>Our business model since inception has been to invest significantly in our Houndify platform technology in the 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dedicated research and development. We will continue to invest in the development of our software platform to deliver consumers with continually improving value and delight. Our investments include continuous enhancements to our ASR and NLU models, investments in data to help refine and improve our underlying algorithms, and other costs to attract and retain a world-class technical workforce.</w:t>
      </w:r>
    </w:p>
    <w:p>
      <w:pPr>
        <w:spacing w:after="0" w:line="171" w:lineRule="exact"/>
        <w:rPr>
          <w:rFonts w:ascii="Arial" w:cs="Arial" w:eastAsia="Arial" w:hAnsi="Arial"/>
          <w:sz w:val="17"/>
          <w:szCs w:val="17"/>
          <w:color w:val="auto"/>
        </w:rPr>
      </w:pPr>
    </w:p>
    <w:p>
      <w:pPr>
        <w:jc w:val="both"/>
        <w:ind w:left="660" w:hanging="328"/>
        <w:spacing w:after="0" w:line="25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Revenue Growth. </w:t>
      </w:r>
      <w:r>
        <w:rPr>
          <w:rFonts w:ascii="Arial" w:cs="Arial" w:eastAsia="Arial" w:hAnsi="Arial"/>
          <w:sz w:val="18"/>
          <w:szCs w:val="18"/>
          <w:color w:val="auto"/>
        </w:rPr>
        <w:t>Our commercial success, including acceptance and use of our applications, will depend on a number of factors, some of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Additionally, as we build new customer relationships, we continually focus on maintaining and growing our existing relationships through long-term partnerships through significant upfront investment in customer specific engineering projects.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660" w:hanging="328"/>
        <w:spacing w:after="0" w:line="25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 of Revenues. </w:t>
      </w:r>
      <w:r>
        <w:rPr>
          <w:rFonts w:ascii="Arial" w:cs="Arial" w:eastAsia="Arial" w:hAnsi="Arial"/>
          <w:sz w:val="18"/>
          <w:szCs w:val="18"/>
          <w:color w:val="auto"/>
        </w:rPr>
        <w:t>The results of our business will depend in part on our ability to establish and increase our gross margins by scaling our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87"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Seasonality. </w:t>
      </w:r>
      <w:r>
        <w:rPr>
          <w:rFonts w:ascii="Arial" w:cs="Arial" w:eastAsia="Arial" w:hAnsi="Arial"/>
          <w:sz w:val="17"/>
          <w:szCs w:val="17"/>
          <w:color w:val="auto"/>
        </w:rPr>
        <w:t>Our ability to accurately forecast demand for our technology could be negatively affected by many factors, including seasonal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demand. We anticipate that we will experience fluctuations in customer and user demand based on seasonality. Given that we address markets across several different industry verticals, the associated overall seasonality impact to us may not be consistent year-to-year.</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of International Markets. </w:t>
      </w:r>
      <w:r>
        <w:rPr>
          <w:rFonts w:ascii="Arial" w:cs="Arial" w:eastAsia="Arial" w:hAnsi="Arial"/>
          <w:sz w:val="18"/>
          <w:szCs w:val="18"/>
          <w:color w:val="auto"/>
        </w:rPr>
        <w:t>We have rapidly expanded our capabilities and global reach. We have globalized our solution from 1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 languages. We view opportunities for conversational Voice AI to be global in reach, and we expect our growth to be fueled across multiple geographies.</w:t>
      </w:r>
    </w:p>
    <w:p>
      <w:pPr>
        <w:spacing w:after="0" w:line="183"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Industry Risks. </w:t>
      </w:r>
      <w:r>
        <w:rPr>
          <w:rFonts w:ascii="Arial" w:cs="Arial" w:eastAsia="Arial" w:hAnsi="Arial"/>
          <w:sz w:val="17"/>
          <w:szCs w:val="17"/>
          <w:color w:val="auto"/>
        </w:rPr>
        <w:t>The military conflict between Russia and Ukraine and the Israel-Hamas war have had an adverse impact on the global economy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financial markets. Although our business has not been materially impacted by the Russia-Ukraine conflict or the Israel-Hamas war, it is impossible to predict the extent to which our operations, or those of our customers’ suppliers and manufacturers, will be impacted in the short and long term, or the ways in which the conflicts may impact our business. The extent and duration of the military action, sanctions and resulting market disruptions are impossible to predict but could be substantial. 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accompanying unaudited condensed consolidated financial statements were prepared in accordance with U.S. GAAP for the three and nine months ended September 30, 2023 and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SoundHound generates revenues through: (1) “Product Royalties,” meaning royalties from voice-enabled products which are driven by volume, usage or life of applicable products and are affected by number of devices, users and units of usage time, (2) “Service Subscriptions,” meaning subscription revenues, derived from monthly fees based on usage-based revenue, revenue per query or revenue per user, and (3) “Monetization,” meaning revenues generated from focused ad targeting to users of products and services that employ our technologies. Currently, our monetization revenue is derived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16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and may continue to experience volatility for our remaining performance obligations and deferred revenue as a result of the timing for completing our performance obligations. We had remaining performance obligations in the amount of $13.9 million as of September 30, 2023, consisting of both billed and unbilled consideration. Deferred revenue consists of billings or payments received in advance of revenue being recognized and can fluctuate with changes in billing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 See Note 4 to our unaudited condensed consolidated financial statements included within this report for more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classify our operating expenses into the following four categories, which are cost of revenues, sales and marketing, research and development, and general and administrative. Excluding cost of revenues, each expense category includes overhead, including rent and related occupancy costs, which is allocated based on headcount. We plan to continue investing to support our go-to-market strategies and customer engagement, develop our current and future applications and support our operations as a public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SoundHound’s cost of revenues are comprised of direct costs associated directly with SoundHound’s revenue streams as described above. This primarily includes costs and depreciation related to hosting for cloud-based services, such as data centers, electricity charges, content fees and certain personnel-related expenses that are directly related to these revenue streams. While our gross margin may continue to fluctuate in the near-term due to revenue contributions from varying product mixes, we expect it will stabilize as we continue to scale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Sales and marketing expenses consist of personnel-related expenses related costs of the sales and marketing team, promotional campaigns, advertising fees and other marketing related costs. Advertising costs are expensed to sales and marketing when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research and development expenses are our largest operating expense as we continue to develop our software platforms and produce new technological capabilities.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in the periods in which they are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expenses consist of personnel-related costs, accounting and legal expenses, third-party consulting costs, insurance and allocated overhead including rent, depreciation and utilities.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consists of stated interest incurred on our outstanding convertible notes and debt during the relevant periods, as well as the amortization of debt discounts and issuance costs over the life of the instruments or a shorter period if a lender can demand payment in the event certain events occur that are outside of the control of the Company.</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issuance of debt instruments with direct transaction costs and the bifurcation of embedded derivatives and warrant instruments has resulted in debt discounts. Direct transaction costs consist of various transaction fees, such as bank and legal fees, that are incurred upon issuance. Overall, the discounts from debt issuance costs result in an increased amount of interest expense over the amortization period.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income (expense), net consists of the change in fair value related to our derivative liability, interest income and other income (expense), net.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Income tax expense includes federal, state and foreign taxes and is based on reported income before income taxes. We are in a cumulative loss position for tax purposes based on historical earnings. As of December 31, 2022, the Company had net operating loss carry forwards of approximately $344.6 million and $106.9 million available to reduce future taxable income, if any, for both federal and state income tax purposes, respectively. The federal and state net operating loss carry forwards will start to expire in 2025 and 2028, respectively, with the exception of $256.0 million in federal net operating loss carryforwards, which can be carried forward indefinitely.</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also had federal and state research and development credit carry forwards of approximately $11.4 million and $9.1 million, respectively, at December 31, 2022. The federal credits will expire starting in 2029 if not utilized. State research and development tax credits can be carried forward indefinitely.</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Sections 382 and 383 of the Internal Revenue Code of 1986 and similar state tax laws, utilization of net operating loss carryforwards and tax credits may be subject to annual limitations due to certain ownership changes. The Company’s net operating loss carryforwards and tax credits could expire before utilization if subject to annual limitations.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set forth the significant components of our results of operations for the three and nine months ended September 30, 2023 and 2022 ($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13,268</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4,471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12,806</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6,931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27,798</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38,258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(14,530)</w:t>
            </w: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(27,072)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4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367 %</w:t>
            </w: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1,336</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(18,636)</w:t>
            </w: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(29,197)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64"/>
        </w:trPr>
        <w:tc>
          <w:tcPr>
            <w:tcW w:w="4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(20,197)</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(30,061)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9,864</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4980" w:type="dxa"/>
            <w:vAlign w:val="bottom"/>
            <w:gridSpan w:val="2"/>
          </w:tcPr>
          <w:p>
            <w:pPr>
              <w:spacing w:after="0"/>
              <w:rPr>
                <w:sz w:val="20"/>
                <w:szCs w:val="20"/>
                <w:color w:val="auto"/>
              </w:rPr>
            </w:pPr>
            <w:r>
              <w:rPr>
                <w:rFonts w:ascii="Arial" w:cs="Arial" w:eastAsia="Arial" w:hAnsi="Arial"/>
                <w:sz w:val="18"/>
                <w:szCs w:val="18"/>
                <w:b w:val="1"/>
                <w:bCs w:val="1"/>
                <w:color w:val="0000FF"/>
              </w:rPr>
              <w:t>Table of Contents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6"/>
        </w:trPr>
        <w:tc>
          <w:tcPr>
            <w:tcW w:w="1360" w:type="dxa"/>
            <w:vAlign w:val="bottom"/>
            <w:tcBorders>
              <w:top w:val="single" w:sz="8" w:color="0000FF"/>
            </w:tcBorders>
          </w:tcPr>
          <w:p>
            <w:pPr>
              <w:spacing w:after="0"/>
              <w:rPr>
                <w:sz w:val="24"/>
                <w:szCs w:val="24"/>
                <w:color w:val="auto"/>
              </w:rPr>
            </w:pPr>
          </w:p>
        </w:tc>
        <w:tc>
          <w:tcPr>
            <w:tcW w:w="3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ind w:left="420"/>
              <w:spacing w:after="0"/>
              <w:rPr>
                <w:sz w:val="20"/>
                <w:szCs w:val="20"/>
                <w:color w:val="auto"/>
              </w:rPr>
            </w:pPr>
            <w:r>
              <w:rPr>
                <w:rFonts w:ascii="Arial" w:cs="Arial" w:eastAsia="Arial" w:hAnsi="Arial"/>
                <w:sz w:val="18"/>
                <w:szCs w:val="18"/>
                <w:b w:val="1"/>
                <w:bCs w:val="1"/>
                <w:color w:val="auto"/>
              </w:rPr>
              <w:t>Nine Months Ended</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28,726</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21,628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23"/>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9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498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14,424</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49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38,726</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98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20,644</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9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8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84,941</w:t>
            </w: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98,347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(56,215)</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20,504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0"/>
        </w:trPr>
        <w:tc>
          <w:tcPr>
            <w:tcW w:w="136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(12,110)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(6,395)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7"/>
        </w:trPr>
        <w:tc>
          <w:tcPr>
            <w:tcW w:w="49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7"/>
        </w:trPr>
        <w:tc>
          <w:tcPr>
            <w:tcW w:w="4980" w:type="dxa"/>
            <w:vAlign w:val="bottom"/>
            <w:gridSpan w:val="2"/>
          </w:tcPr>
          <w:p>
            <w:pPr>
              <w:ind w:left="36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(12,412)</w:t>
            </w: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(68,627)</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2,307</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(70,934)</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(85,832)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14,898</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  Not meaningful</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9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summarize our revenues by type and geographic regions for the three and nine months ended September 30, 2023 and 2022 ($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royalties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12,616</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Service subscriptions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Monetization</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63"/>
        </w:trPr>
        <w:tc>
          <w:tcPr>
            <w:tcW w:w="4980" w:type="dxa"/>
            <w:vAlign w:val="bottom"/>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13,268</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19 %</w:t>
            </w:r>
          </w:p>
        </w:tc>
      </w:tr>
      <w:tr>
        <w:trPr>
          <w:trHeight w:val="21"/>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Arial" w:cs="Arial" w:eastAsia="Arial" w:hAnsi="Arial"/>
                <w:sz w:val="18"/>
                <w:szCs w:val="18"/>
                <w:b w:val="1"/>
                <w:bCs w:val="1"/>
                <w:color w:val="auto"/>
              </w:rPr>
              <w:t>Nine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royalties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26,972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Service subscriptions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Monetization</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4980" w:type="dxa"/>
            <w:vAlign w:val="bottom"/>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28,726</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21,628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7,098</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33 %</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98"/>
        </w:trPr>
        <w:tc>
          <w:tcPr>
            <w:tcW w:w="4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63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Korea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9,550</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Germany</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France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485 %</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13,268</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Arial" w:cs="Arial" w:eastAsia="Arial" w:hAnsi="Arial"/>
                <w:sz w:val="18"/>
                <w:szCs w:val="18"/>
                <w:b w:val="1"/>
                <w:bCs w:val="1"/>
                <w:color w:val="auto"/>
              </w:rPr>
              <w:t>Nine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Korea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Germany</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5,797</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France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2,589</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28,726</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Total revenues increased by $2.1 million, or 19%, in the three months ended September 30, 2023 compared to the same period in 2022. The increase was primarily attributable to an increase in product royalty revenue in connection with royalty increases from customers in Korea and professional services completed for a customer in Turkey. The increase was partially offset by a decrease in product royalty revenue due to a contract modification with a large automotive company in Germany during the three months ended September 30, 2023. In the three months ended September 30, 2023 and 2022, licensing revenues of $5.5 million and $5.3 million, respectively, were recognized for the delivered Houndify Edge solution related to minimum guarantee units to be utilized over the life of the contract and resulted in a corresponding increase in our Contract assets balance.</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revenues increased by $7.1 million, or 33%, in the nine months ended September 30, 2023 compared to the same period in 2022. The increase was primarily attributable to an increase in product royalty revenue in connection with the contract modification of a customer in Germany and royalty increases from customers in Korea. The increase was partially offset by a decrease in product royalty revenue due to a distinct customization service sold to a large automotive company in France during the nine months ended September 30, 2022.</w:t>
      </w:r>
    </w:p>
    <w:p>
      <w:pPr>
        <w:spacing w:after="0" w:line="1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June 2023, the Company and a customer in Germany finalized an agreement to modify the scope of an existing hosting services contract without changing the contract price. This modification involved the addition of new professional services in lieu of a tail support obligation beyond the contractual period ending on December 31, 2023. On the modification date, the estimated remaining transaction price including the tail support fee of $1.9 million that was scheduled to be recognized after 2023, was reallocated to the remaining performance obligations and will be fully recognized as revenue in 2023 either at a point in time or over time depending on the nature of each performance obligation.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Cost of revenues increased by $1.0 million, or 39%, in the three months ended September 30, 2023 compared to the same period in 2022. The increase was primarily related to increased revenue during the three months ended September 30, 2023 and partially offset by incurring additional data center and hosting costs due to system migrations in the three months ended September 30, 2022 in order to support our revenue growth. Gross margin decreased to 73% during the three months ended September 30, 2023 from 77% during the same period in 2022 largely due to elevated margins recognized on Houndify Edge licensing revenue during the three months ended September 30, 2022.</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Cost of revenues increased by $0.6 million, or 8%, in the nine months ended September 30, 2023 compared to the same period in 2022. The increase was primarily related to increased revenue during the nine months ended September 30, 2023 and partially offset by incurring additional data center and hosting costs due to system migrations in the nine months ended September 30, 2022 in order to support our revenue growth. Gross margin increased to 74% during the nine months ended September 30, 2023 from 68% during the same period in 2022 as our revenue continues to scale and we begin to benefit from efficiencies related to our data center and hosting migrations. The increase in gross margin during the nine months ended September 30, 2023 was partially offset by elevated margins recognized on Houndify Edge licensing revenue during the nine months ended September 30,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and marketing expenses decreased by $2.2 million, or 33%, in the three months ended September 30, 2023 compared to the same period in 2022. The decrease during the three months ended September 30, 2023 was primarily due to our restructuring efforts as we reduced sales and marketing headcount by approximately 30% during the first quarter of 2023, which led to reduced compensation and other benefits expense of approximately $1.6 million in the three months ended September 30, 2023 compared to the same period in 2022.</w:t>
      </w:r>
    </w:p>
    <w:p>
      <w:pPr>
        <w:spacing w:after="0" w:line="18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Sales and marketing expenses increased by $0.8 million, or 6%, in the nine months ended September 30, 2023 compared to the same period in 2022. The increase during the nine months ended September 30, 2023 was primarily due to increased compensation and other benefits expense of approximately $0.5 million and increased program spend to support a greater investment in go-to-market strategies and customer engagement and drive growth in our revenue from subscriptions and monetization in the nine months ended September 30, 2023 compared to the same period in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Research and development expenses decreased by $6.5 million, or 34%, in the three months ended September 30, 2023 compared to the same period in 2022. The decrease in research and development expenses was primarily due to our restructuring efforts as we reduced research and development headcount by approximately 40% during the first quarter of 2023, which led to reduced compensation and other benefits expense of approximately $5.7 million and was accompanied by reduced consulting fees of approximately $0.7 million in the three months ended September 30, 2023 compared to the same period in 2022.</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Research and development expenses decreased by $16.1 million, or 29%, in the nine months ended September 30, 2023 compared to the same period in 2022. The decrease in research and development expenses was primarily due to our restructuring efforts as we reduced research and development headcount by approximately 40% during the first quarter of 2023, which led to reduced compensation and other benefits expense of approximately $13.2 million and was accompanied by reduced consulting fees of approximately $3.0 million in the nine months ended September 30, 2023 compared to the same period in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expenses decreased by $2.7 million, or 28%, in the three months ended September 30, 2023 compared to the same period in 2022. The decrease in general and administrative expenses was primarily due to our restructuring efforts as we reduced general and administrative headcount by approximately 35% during the first quarter of 2023, which led to reduced compensation and other benefits expense of approximately $2.8 million in the three months ended September 30, 2023 compared to the same period in 2022.</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expenses decreased by $2.4 million, or 10%, in the nine months ended September 30, 2023 compared to the same period in 2022. The decrease in general and administrative expenses was primarily due to our restructuring efforts as we reduced general and administrative headcount by approximately 35% during the first quarter of 2023, which led to reduced compensation and other benefits expense of approximately $2.7 million in the nine months ended September 30, 2023 compared to the same period in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Restructuring expense was $3.8 million in the nine months ended September 30, 2023 as a result of the Restructuring Plan. See "Liquidity and Capital Resources - Restructuring</w:t>
      </w:r>
      <w:r>
        <w:rPr>
          <w:rFonts w:ascii="Arial" w:cs="Arial" w:eastAsia="Arial" w:hAnsi="Arial"/>
          <w:sz w:val="18"/>
          <w:szCs w:val="18"/>
          <w:i w:val="1"/>
          <w:iCs w:val="1"/>
          <w:color w:val="auto"/>
        </w:rPr>
        <w:t>"</w:t>
      </w:r>
      <w:r>
        <w:rPr>
          <w:rFonts w:ascii="Arial" w:cs="Arial" w:eastAsia="Arial" w:hAnsi="Arial"/>
          <w:sz w:val="18"/>
          <w:szCs w:val="18"/>
          <w:color w:val="auto"/>
        </w:rPr>
        <w:t xml:space="preserve"> for additional information.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 expense increased by $4.3 million, or 367%, and $6.4 million, or 112%, in the three and nine months ended September 30, 2023, respectively, compared to the same periods in 2022. The increase in interest expense was primarily attributable to the increased interest rate, balance and amortization of debt issuance costs and discounts on the Term Loan relative to those on the SVB March 2021 Note and SCI June 2021 Note. Additionally, interest expense in the three and nine months ended September 30, 2023 includes a loss on debt extinguishment of $0.8 million related to the early repayment of the SVB March 2021 Note and SCI June 2021 Note.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our other income (expense), net, by type ($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100" w:type="dxa"/>
            <w:vAlign w:val="bottom"/>
            <w:gridSpan w:val="6"/>
          </w:tcPr>
          <w:p>
            <w:pPr>
              <w:ind w:left="68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1,204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Loss on change in fair value of ELOC program</w:t>
            </w:r>
          </w:p>
        </w:tc>
        <w:tc>
          <w:tcPr>
            <w:tcW w:w="92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98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1,336</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4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Arial" w:cs="Arial" w:eastAsia="Arial" w:hAnsi="Arial"/>
                <w:sz w:val="18"/>
                <w:szCs w:val="18"/>
                <w:b w:val="1"/>
                <w:bCs w:val="1"/>
                <w:color w:val="auto"/>
              </w:rPr>
              <w:t>Nine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Change in fair value of derivative liability</w:t>
            </w:r>
          </w:p>
        </w:tc>
        <w:tc>
          <w:tcPr>
            <w:tcW w:w="3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change in fair value of ELOC program</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meaningful</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 income increased by $1.0 million, or 547%, and $1.9 million, or 822%, in the three and nine months ended September 30, 2023, respectively, compared to the same periods in 2022. The increase in interest income was primarily due to additional interest earned on our higher cash balances during the three and nine months ended September 30, 2023. Loss on change in fair value of the ELOC program decreased by $1.1 million and increased by $0.8 million, in the three and nine months ended September 30, 2023, respectively, compared to the same periods in 2022, due to settlement of the derivative liability from the issuance of common stock in the respective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4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Total unrestricted cash and cash equivalents on hand as of September 30, 2023 was $96.1 million. Although the Company has incurred recurring losses each year since its inception, the Company expects it will be able to fund its operations for at least the next twelve months. The Company may seek funding through additional debt or equity financing arrangements, implement incremental expense reduction measures or a combination thereof to continue financing its operations. The Company's condensed consolidated financial statements have been prepared assuming the Company will continue as a going concern, which contemplates, among other things, the realization of assets and satisfaction of liabilities in the normal course of business.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Agreement</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July 28, 2023, the Company entered into a Controlled Equity Offering Sales Agreement (the “Sales Agreement”) with Cantor Fitzgerald &amp; Co., H.C. Wainwright &amp; Co., LLC, and D.A. Davidson &amp; Co. (each a “Sales Agent” and collectively, the “Sales Agents”), pursuant to which the Company may offer and sell up to $150,000,000 of shares of our Class A common stock from time to time through or to the Sales Agents acting as agent or principal. Sales of our Class A common stock, if any, under the Sales Agreement will be made at market prices by any method that is deemed to be an “at the market offering” as defined in Rule 415 under the Securities Act. We will pay the Sales Agents commission for their services in acting as agent in the sale of our Class A common stock. The Sales Agents are entitled to aggregate compensation at a fixed commission rate of 2.5% of the gross sales price per share sold under the Sales Agreement. We have also agreed to reimburse the Sales Agents for certain specified expenses, including the reasonable and documented fees and disbursements of its legal counsel in an amount not to exceed $75,000 in the aggregate in connection with the execution of the Sales Agreement. We have not sold any shares under the ATM Program as of the date 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April 14, 2023 (the “Term Loan Closing Date”), the Company entered into a Senior Secured Term Loan Credit Agreement (the “Credit Agreement”) with ACP Post Oak Credit II LLC, as Administrative Agent and Collateral Agent for the Lenders (the “Agent”), and the lenders from time to time party thereto (the “Lenders”). The Credit Agreement provides for a term loan facility in an aggregate principal amount of up to $100.0 million (the “Term Loan”), the entirety of which was funded on the Term Loan Closing Date. The Credit Agreement also permits the Company to request additional commitments of up to $25.0 million in the aggregate, with funding of such commitments in the sole discretion of the Lenders, under certain circumstances and under the same terms as the Term Loan. On the Term Loan Closing Date, the Company also entered into that certain Guarantee and Collateral Agreement, dated as of April 14, 2023, by and among the Company, the other grantors named therein and the Agent (the “Guarantee and Collateral Agreement”). In addition, the Company is obligated to pay incremental lender fees, beginning on the Closing Date, equal to initially 3.5% of the principal amount of the Term Loans, decreasing to 2.5% after the 18-month anniversary, semi-annually (the “Lender Fees”) to provide a collateral protection insurance policy on behalf of the Lenders. The Lender Fees are effectively additional fees payable to the Lenders as the Lenders are the sole beneficiary of the insurance policy and is therefore being recognized as interest expense over the term of the Term Loan based on the effective interest method.</w:t>
      </w:r>
    </w:p>
    <w:p>
      <w:pPr>
        <w:spacing w:after="0" w:line="17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used the proceeds from the Term Loan to (i) repay outstanding amounts equal to approximately $30.0 million under the Company’s existing loan facilities, (ii) fund an escrow account on the Term Loan Closing Date in the name of the Agent for an amount equal to the first four interest payments, (iii) pay certain fees and expenses incurred in connection with entering into the Credit Agreement, and (iv) fund the Lender Fee, together with related taxes, with the remaining proceeds to be used to fund growth investments and for general corporate purposes as permitted under the Credit Agreement.</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outstanding principal balance of the Term Loan bears interest at the applicable margin plus, at the Company’s election, either (i) the secured overnight financing rate (“SOFR”) plus 0.15% or (ii) the alternate base rate (“ABR”), which is a per annum rate equal to the greatest of (a) the Prime Rate (as defined in the Credit Agreement), (b) the NYFRB Rate (as defined in the Credit Agreement) plus 0.50% and (c) the Adjustable Rate (as defined in the Credit Agreement) plus 1.00%. The applicable margin under the Credit Agreement is 8.50% per annum with respect to SOFR loans, and 7.50% per annum with respect to ABR loans. As of September 30, 2023, the interest rate was approximately 14.0%.</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Subject to certain exceptions as set forth in the Credit Agreement, interest on the Term Loan is payable quarterly in arrears on the last business day of each fiscal quarter. The Term Loan is set to mature on April 14, 2027 (the “Maturity Date”). The Credit Agreement provides for no scheduled principal payments prior to the Maturity Date.</w:t>
      </w:r>
    </w:p>
    <w:p>
      <w:pPr>
        <w:spacing w:after="0" w:line="18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Concurrently with the Company’s entry into the Credit Agreement, the Company used a portion of the proceeds to prepay in full all outstanding obligations under, and terminated, the SCI June 2021 Note and the SVB March 2021 Note. In connection with the SCI June 2021 Note prepayment, the Company paid a total of approximately $11.7 million, which consisted of (i) the remaining principal amount outstanding of approximately $11.5 million,</w:t>
      </w:r>
    </w:p>
    <w:p>
      <w:pPr>
        <w:spacing w:after="0" w:line="2" w:lineRule="exact"/>
        <w:rPr>
          <w:sz w:val="20"/>
          <w:szCs w:val="20"/>
          <w:color w:val="auto"/>
        </w:rPr>
      </w:pPr>
    </w:p>
    <w:p>
      <w:pPr>
        <w:jc w:val="both"/>
        <w:ind w:firstLine="8"/>
        <w:spacing w:after="0" w:line="253" w:lineRule="auto"/>
        <w:tabs>
          <w:tab w:leader="none" w:pos="289"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prepayment premium of approximately $0.2 million and (iii) a nominal amount for transaction expenses. The Company recorded a loss on debt extinguishment of $0.4 million related to the early repayment in interest expense in the condensed consolidated statements of operations. In connection with the SVB March 2021 Note prepayment, the Company paid a total of $18.5 million, which consisted of (i) the remaining principal amount outstanding of $18.1 million, (ii) a prepayment premium of $0.3 million, (iii) accrued and unpaid interest of $0.1 million and (iv) a nominal amount for transaction expenses. The Company</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recorded a loss on debt extinguishment of $0.4 million related to the early repayment in interest expense in the condensed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Line of Credit (ELOC)</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August 16, 2022, the Company entered into a common stock purchase agreement (the “Common Stock Purchase Agreement”) and related registration rights agreement (the “CFPI Registration Rights Agreement”) with CF Principal Investments LLC (the “Counterparty”). Pursuant to the Common Stock Purchase Agreement, the Company, has the right to sell to the Counterparty up to the lesser of (i) 25,000,000 shares of Class A Common Stock and (ii) the Exchange Cap (as defined in the Common Stock Purchase Agreement), subject to certain limitations and conditions set forth in the Common Stock Purchase Agreement (the "ELOC Shares"). On February 14, 2023, the Company’s Registration Statement on Form S-1 registering the resale of the ELOC Shares (the "ELOC Registration Statement") was declared effective. On March 31, 2023, a post-effective amendment to the ELOC Registration Statement was declared effective. The Company has utilized and expects to continue to utilize proceeds from the ELOC for working capital and other general corporate purposes. Through September 30, 2023, the Company had sold the entirety of the 25,000,000 shares under the ELOC program for aggregate proceeds of approximately $71.7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or around January 20, 2023, the Company entered into the Purchase Agreements with the Investors, pursuant to which the Company issued and sold to the Investors an aggregate of 835,011 shares of its newly designated Series A Convertible Preferred Stock for an aggregate issue price of approximately $25.0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January 2023, the Company announced a restructuring plan (the “Restructuring Plan”) intended to reduce operating costs, improve operating margins, improve cash flows and accelerate the Company’s path to profitability. The Restructuring Plan included a reduction of the Company’s then-current workforce by approximately 40% or 180 positions globally.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Costs associated with the Restructuring Plan consist of employee severance payments, employee benefits and share-based compensation. The costs associated with the Restructuring Plan were recorded to the restructuring expense line item within our condensed consolidated statements of operations as incurred. During the nine months ended September 30, 2023, we recorded $3.8 million of restructuring expenses in connection with the Restructuring Plan, of which $1.4 million were cash payments. The Restructuring Plan was substantially complete as of September 30,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the Business Combination in April 2022, we raised gross proceeds of $118.4 million including a combination of $5.4 million in cash held in trust by ATSP (following satisfaction of redemptions by public stockholders), and $113.0 million in aggregate gross proceeds from PIPE investors. The combined company incurred $27.7 million of expenses related to the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and Other Obligations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Because we expect to continue investing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The Term Loan was our only material debt facility as of September 30, 2023.</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8180" w:type="dxa"/>
            <w:vAlign w:val="bottom"/>
          </w:tcPr>
          <w:p>
            <w:pPr>
              <w:ind w:left="340"/>
              <w:spacing w:after="0"/>
              <w:rPr>
                <w:sz w:val="20"/>
                <w:szCs w:val="20"/>
                <w:color w:val="auto"/>
              </w:rPr>
            </w:pPr>
            <w:r>
              <w:rPr>
                <w:rFonts w:ascii="Arial" w:cs="Arial" w:eastAsia="Arial" w:hAnsi="Arial"/>
                <w:sz w:val="18"/>
                <w:szCs w:val="18"/>
                <w:color w:val="auto"/>
              </w:rPr>
              <w:t>The following table summarizes our cash flows ($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68"/>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2022</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(73,605)</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(1,188)</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155,175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85,613</w:t>
            </w:r>
          </w:p>
        </w:tc>
      </w:tr>
      <w:tr>
        <w:trPr>
          <w:trHeight w:val="237"/>
        </w:trPr>
        <w:tc>
          <w:tcPr>
            <w:tcW w:w="818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100,446</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10,820</w:t>
            </w: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Operating Activities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cash used in operating activities was $54.4 million during the nine months ended September 30, 2023 compared to $73.6 million during the nine months ended September 30, 2022. The $19.2 million decrease in cash used in operating activities was primarily due to our decreased net loss, adjusted for non-cash expenses, including stock-based compensation and depreciation and amortization and changes in operating assets and liabilities.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was $0.3 million during the nine months ended September 30, 2023 compared to $1.2 million during the nine months ended September 30, 2022. The $0.9 million decrease in cash used in investing activities was driven by a reduction in purchases of property and equipment.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Net cash provided by financing activities was $155.2 million during the nine months ended September 30, 2023 compared to $85.6 million during the nine months ended September 30, 2022. The $69.6 million increase in cash provided by financing activities was primarily due to $85.1 million in net proceeds from the issuance of the Term Loan, $71.7 million in proceeds from the sales of common stock under the ELOC program, $24.9 million in net proceeds from the issuance of the Series A Preferred Stock and a $5.0 million increase in proceeds from the issuance of common stock during the nine months ended September 30, 2023 and was partially offset by $90.7 million in net proceeds from the Business Combination and PIPE during the nine months ended September 30, 2022 and an increase in payments on our notes payable of $27.6 million during the nine months ended September 30, 2023.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unaudited condensed consolidated financial statements included elsewhere in this report that have been prepared in accordance with U.S. GAAP. The preparation of these financial statements requires us to make estimates and assumptions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that affect the reported amounts of assets and liabilities and the disclosure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8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a discussion of our critical accounting policies, see “Management’s discussion and analysis of financial condition and results of operations” and the notes to the consolidated financial statements included in our Form 10-K, which was filed with the SEC on March 28,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Management performed, with the participation of the Chief Executive Officer (CEO) and the Chief Financial Officer (CFO), an evaluation of the effectiveness of the Company’s disclosure controls and procedures as defined in Rules 13a-15(e) and 15d-15(e) of the Securities Exchange Act of 1934 (the Exchange Act) as of the end of the period covered by this Quarterly Report.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the Chief Executive Officer and Chief Financial Officer concluded that the Company’s disclosure controls and procedures were not effective at the reasonable assurance level as of September 30, 2023 due to the material weaknesses in its internal control over financial reporting described below.</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However, after giving full consideration to the material weaknesses described below, and the additional analyses and other procedures management performed to ensure that its condensed consolidated financial statements included in this quarterly report on Form 10-Q were prepared in accordance with U.S. GAAP, the Company’s management has concluded that its condensed consolidated financial statements present fairly, in all material respects, its financial position, results of operations and cash flows for the periods disclosed in conformity with U.S. GAAP.</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Material Weaknesses on Internal Control over Financial Reporting</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a company’s annual or interim financial statements may not be prevented or detected on a timely basis. The Company did not design and maintain effective controls in response to the risks of material misstatement. Specifically, changes to existing controls or the implementation of new controls were not sufficient to respond to changes to the risks of material misstatement to financial reporting. This material weakness contributed to the following additional material weaknesses as of September 30, 2023:</w:t>
      </w:r>
    </w:p>
    <w:p>
      <w:pPr>
        <w:spacing w:after="0" w:line="17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did not design and maintain effective controls to verify appropriate accounting for complex financing transactions.</w:t>
      </w:r>
    </w:p>
    <w:p>
      <w:pPr>
        <w:spacing w:after="0" w:line="225"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did not design and maintain effective controls to verify appropriate segregation of duties, including assessment of incompatible duties, identification of instances where incompatible duties were assigned to an individual, and addressing conflicts on a timely basis.</w:t>
      </w:r>
    </w:p>
    <w:p>
      <w:pPr>
        <w:spacing w:after="0" w:line="123" w:lineRule="exact"/>
        <w:rPr>
          <w:rFonts w:ascii="Arial" w:cs="Arial" w:eastAsia="Arial" w:hAnsi="Arial"/>
          <w:sz w:val="16"/>
          <w:szCs w:val="16"/>
          <w:color w:val="auto"/>
        </w:rPr>
      </w:pPr>
    </w:p>
    <w:p>
      <w:pPr>
        <w:jc w:val="both"/>
        <w:ind w:left="660" w:hanging="328"/>
        <w:spacing w:after="0" w:line="296"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did not design and maintain effective controls over certain information technology (IT) general controls over information systems that are relevant to the preparation of the Company’s financial statements. Specifically, the Company did not design and maintain: (i) user access controls to ensure appropriate segregation of duties and to adequately restrict user and privileged access to appropriate personnel; (ii) program change management controls to ensure that program and data changes are identified, tested, authorized and implemented appropriately; and (iii) computer operations controls to ensure that processing and transfer of data, and data backups and recovery are monitored.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material weaknesses related to controls in response to the risks of material misstatement and complex financing transactions resulted in the revision of the consolidated financial statements as of and for the periods ended September 30, 2022, December 31, 2022, March 31, 2023 and June 30, 2023. The material weaknesses related to segregation of duties and IT general controls did not result in a misstatement to our annual or interim consolidated financial statements. Additionally, the material weaknesses could result in additional misstatements to the annual or interim consolidated financial statements which would result in a material misstatement of the annual or interim consolidated financial statements that would not be prevented or detected.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Remediation Efforts for the Material Weaknesses</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are in the process of designing and implementing controls and taking other actions to remediate the material weaknesses described above. Specifically, during the current quarter, we implemented measures designed to improve our internal control over financial reporting to remediate the material weaknesses, including the following:</w:t>
      </w:r>
    </w:p>
    <w:p>
      <w:pPr>
        <w:spacing w:after="0" w:line="184" w:lineRule="exact"/>
        <w:rPr>
          <w:sz w:val="20"/>
          <w:szCs w:val="20"/>
          <w:color w:val="auto"/>
        </w:rPr>
      </w:pPr>
    </w:p>
    <w:p>
      <w:pPr>
        <w:ind w:left="340" w:hanging="8"/>
        <w:spacing w:after="0" w:line="277" w:lineRule="auto"/>
        <w:tabs>
          <w:tab w:leader="none" w:pos="6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Engaging a third party to perform a risk assessment that includes the identification and walkthrough of key business processes and conducting design and operational control testing to address key risks.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Completing a segregation of duties assessment identifying key conflicts and mitigating controls.</w:t>
      </w:r>
    </w:p>
    <w:p>
      <w:pPr>
        <w:spacing w:after="0" w:line="225" w:lineRule="exact"/>
        <w:rPr>
          <w:rFonts w:ascii="Arial" w:cs="Arial" w:eastAsia="Arial" w:hAnsi="Arial"/>
          <w:sz w:val="18"/>
          <w:szCs w:val="18"/>
          <w:color w:val="auto"/>
        </w:rPr>
      </w:pPr>
    </w:p>
    <w:p>
      <w:pPr>
        <w:ind w:left="340" w:hanging="8"/>
        <w:spacing w:after="0" w:line="277" w:lineRule="auto"/>
        <w:tabs>
          <w:tab w:leader="none" w:pos="6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September 2023, the Company has begun implementing a Segregation of Duties automated tool for our Enterprise Resource Planning (ERP) system. We will also design and implement similar controls for the remaining financially relevant applications.</w:t>
      </w:r>
    </w:p>
    <w:p>
      <w:pPr>
        <w:spacing w:after="0" w:line="170" w:lineRule="exact"/>
        <w:rPr>
          <w:rFonts w:ascii="Arial" w:cs="Arial" w:eastAsia="Arial" w:hAnsi="Arial"/>
          <w:sz w:val="18"/>
          <w:szCs w:val="18"/>
          <w:color w:val="auto"/>
        </w:rPr>
      </w:pPr>
    </w:p>
    <w:p>
      <w:pPr>
        <w:ind w:left="340" w:hanging="8"/>
        <w:spacing w:after="0" w:line="277" w:lineRule="auto"/>
        <w:tabs>
          <w:tab w:leader="none" w:pos="6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Designing and implementing controls related to user access reviews and the review of Service Organization Control reports, which cover program change management and computer operations for many of the applications that we rely on for financial reporting.</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material weaknesses will not be considered remediated until management completes the design and implementation of the measures described above, the controls operate for a sufficient period of time, and management has concluded, through testing, that the controls are effective.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As described above in the section “Remediation Efforts for the Material Weaknesses,” there were changes in our internal control over financial reporting during the quarter ended September 30, 2023 that have materially affected, or is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not a party to any material pending legal proceedings, nor are we aware of any pending litigation or legal proceeding against us that would have a material adverse effect upon our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not required for smaller reporting companies, the risk factor described below should be considered along with the risk factors disclosed in our Form 10-K, which was filed with the SEC on March 28, 2023. Any of these risk factors could result in a significant or material adverse effect on our results of operations or financial condition. Additional risk factors not presently known to us or that we currently deem immaterial may also impair our business or results of operations.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Company has identified material weaknesses in its internal control over financial reporting and may identify additional material weaknesses in the future, which may result in material misstatements of the Company’s consolidated financial statements or cause the Company to fail to meet its periodic reporting obligations and the trading price of our stock could be negatively affected.</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Since becoming a public company, our company has been classified as a non-accelerated filer, emerging growth company and smaller reporting company as disclosed on the cover page of this Form 10-Q. On June 30, 2023 (the annual measurement date for SEC filing status), our public float was in excess of $700 million, and accordingly we will become a large accelerated filer for the year ended December 31, 2023 and will be subject to the requirements of 404(b) of Sarbanes-Oxley Act of 2002 (“SOX”) for the year ended December 31, 2023.</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determined the following material weaknesses exist as of September 30, 2023:</w:t>
      </w:r>
    </w:p>
    <w:p>
      <w:pPr>
        <w:spacing w:after="0" w:line="225" w:lineRule="exact"/>
        <w:rPr>
          <w:sz w:val="20"/>
          <w:szCs w:val="20"/>
          <w:color w:val="auto"/>
        </w:rPr>
      </w:pPr>
    </w:p>
    <w:p>
      <w:pPr>
        <w:jc w:val="both"/>
        <w:ind w:left="660" w:hanging="328"/>
        <w:spacing w:after="0" w:line="286"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did not design and maintain effective controls in response to the risks of material misstatement. Specifically, changes to existing controls or the implementation of new controls were not sufficient to respond to changes to the risks of material misstatement to financial reporting. This material weakness contributed to the following additional material weaknesses as of September 30, 2023:</w:t>
      </w:r>
    </w:p>
    <w:p>
      <w:pPr>
        <w:spacing w:after="0" w:line="165" w:lineRule="exact"/>
        <w:rPr>
          <w:rFonts w:ascii="Arial" w:cs="Arial" w:eastAsia="Arial" w:hAnsi="Arial"/>
          <w:sz w:val="17"/>
          <w:szCs w:val="17"/>
          <w:color w:val="auto"/>
        </w:rPr>
      </w:pPr>
    </w:p>
    <w:p>
      <w:pPr>
        <w:ind w:left="1300" w:hanging="320"/>
        <w:spacing w:after="0"/>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Company did not design and maintain effective controls to verify appropriate accounting for complex financing transactions.</w:t>
      </w:r>
    </w:p>
    <w:p>
      <w:pPr>
        <w:spacing w:after="0" w:line="236" w:lineRule="exact"/>
        <w:rPr>
          <w:rFonts w:ascii="Arial" w:cs="Arial" w:eastAsia="Arial" w:hAnsi="Arial"/>
          <w:sz w:val="17"/>
          <w:szCs w:val="17"/>
          <w:color w:val="auto"/>
        </w:rPr>
      </w:pPr>
    </w:p>
    <w:p>
      <w:pPr>
        <w:jc w:val="both"/>
        <w:ind w:left="1300" w:hanging="320"/>
        <w:spacing w:after="0" w:line="263" w:lineRule="auto"/>
        <w:tabs>
          <w:tab w:leader="none" w:pos="1323"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Company did not design and maintain effective controls to verify appropriate segregation of duties, including assessment of incompatible duties, identification of instances where those incompatible duties were assigned to an individual, and addressing conflicts on a timely basis.</w:t>
      </w:r>
    </w:p>
    <w:p>
      <w:pPr>
        <w:spacing w:after="0" w:line="183" w:lineRule="exact"/>
        <w:rPr>
          <w:rFonts w:ascii="Arial" w:cs="Arial" w:eastAsia="Arial" w:hAnsi="Arial"/>
          <w:sz w:val="18"/>
          <w:szCs w:val="18"/>
          <w:color w:val="auto"/>
        </w:rPr>
      </w:pPr>
    </w:p>
    <w:p>
      <w:pPr>
        <w:jc w:val="both"/>
        <w:ind w:left="1300" w:hanging="320"/>
        <w:spacing w:after="0" w:line="255"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Company did not design and maintain effective controls over certain information technology (IT) general controls over information systems that are relevant to the preparation of the Company’s financial statements. Specifically, the Company did not design and maintain: (i) user access controls to ensure appropriate segregation of duties and to adequately restrict user and privileged access to appropriate personnel; (ii) program change management controls to ensure that program and data changes are identified, tested, authorized and implemented appropriately; and (iii) computer operations controls to ensure that processing and transfer of data, and data backups and recovery are monitored.</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material weaknesses related to controls in response to the risks of material misstatement and complex financing transactions resulted in the revision of the consolidated financial statements as of and for the periods ended September 30, 2022, December 31, 2022, March 31, 2023 and June 30, 2023. The material weaknesses related to segregation of duties and IT general controls did not result in a misstatement to our annual or interim consolidated financial statements. Additionally, the material weaknesses could result in additional misstatements to the annual or interim consolidated financial statements which would result in a material misstatement of the annual or interim consolidated financial statements that would not be prevented or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Effective internal control over financial reporting is necessary to provide reliable financial reports and to assist in the effective prevention or detection of material misstatements due to error or fraud. Any inability to provide reliable financial reports or prevent or detect material misstatements due to error or fraud could harm our business. We regularly review and update our internal control over financial reporting, disclosure controls and procedures, and corporate governance policies. In addition, we are required under the rules and regulations of the SEC regarding compliance with SOX to report annually on the effectiveness of our internal control over financial reporting. Any system of internal controls, however well designed and operated, is based in part on certain assumptions and can provide only reasonable, not absolute, assurances that the objectives of the system are met.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Accordingly, a material weakness increases the risk that the financial information we report contains material misstatements.</w:t>
      </w:r>
    </w:p>
    <w:p>
      <w:pPr>
        <w:spacing w:after="0" w:line="18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While we are in the process of addressing our material weaknesses as disclosed herein, elements of our remediation plan can only be accomplished over time and we can offer no assurance that these initiatives will ultimately have the intended effects. Any failure to maintain effective internal control over financial reporting could adversely impact our ability to report our financial results on a timely and accurate basis. If our financial statements are not accurate, investors may not have a complete understanding of our operations or may lose confidence in our reported financial information. Likewise, if our financial statements are not filed on a timely basis as required by the SEC and The NASDAQ Stock Market, we could face severe consequences from those authorities. In either case, it could result in a material adverse effect on our business or have a negative effect on the trading price of our common stock. Further, if we fail to remedy these deficiencies (or any other future deficiencies) or maintain effective internal control over financial reporting, we could be subject to regulatory scrutiny, civil or criminal penalties or shareholder litigation. We can give no assurance that the measures we have taken and plan to take in the future will remediate the material weaknesses identified or that any additional material weaknesses or restatements of our financial statements will not arise in the future due to a failure to implement and maintain adequate internal control over financial reporting or circumvention of those controls.</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 in the future, if we cannot conclude that we have effective internal control over our financial reporting, or if our independent registered public accounting firm is unable to provide an unqualified opinion regarding the effectiveness of our internal control over financial reporting, investors could lose confidence in the reliability of our financial statements, which could lead to a decline in our stock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sales of equity securities during the period covered by this Quarterly Report that were not either registered under the Securities Act or were not previously reported in a Quarterly Report on Form 10-Q or a Current Report on Form 8-K filed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filed as part of, or incorporated by reference into, this report.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No.</w:t>
            </w:r>
          </w:p>
        </w:tc>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60" w:type="dxa"/>
            <w:vAlign w:val="bottom"/>
            <w:gridSpan w:val="7"/>
          </w:tcPr>
          <w:p>
            <w:pPr>
              <w:ind w:left="126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66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31.1*</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040" w:type="dxa"/>
            <w:vAlign w:val="bottom"/>
            <w:tcBorders>
              <w:bottom w:val="single" w:sz="8" w:color="0000FF"/>
            </w:tcBorders>
            <w:gridSpan w:val="7"/>
            <w:shd w:val="clear" w:color="auto" w:fill="CCEEFF"/>
          </w:tcPr>
          <w:p>
            <w:pPr>
              <w:spacing w:after="0" w:line="196" w:lineRule="exact"/>
              <w:rPr>
                <w:sz w:val="20"/>
                <w:szCs w:val="20"/>
                <w:color w:val="auto"/>
              </w:rPr>
            </w:pPr>
            <w:r>
              <w:rPr>
                <w:rFonts w:ascii="Arial" w:cs="Arial" w:eastAsia="Arial" w:hAnsi="Arial"/>
                <w:sz w:val="18"/>
                <w:szCs w:val="18"/>
                <w:color w:val="0000FF"/>
                <w:w w:val="91"/>
              </w:rPr>
              <w:t>Certification of Principal Executive Officer Pursuant to Securities Exchange Act Rules 13a-14(a) and 15(d)-14(a), as adopted</w:t>
            </w:r>
          </w:p>
        </w:tc>
        <w:tc>
          <w:tcPr>
            <w:tcW w:w="440" w:type="dxa"/>
            <w:vAlign w:val="bottom"/>
            <w:tcBorders>
              <w:bottom w:val="single" w:sz="8" w:color="CCEEFF"/>
            </w:tcBorders>
            <w:gridSpan w:val="2"/>
            <w:shd w:val="clear" w:color="auto" w:fill="CCEEFF"/>
          </w:tcPr>
          <w:p>
            <w:pPr>
              <w:spacing w:after="0"/>
              <w:rPr>
                <w:sz w:val="17"/>
                <w:szCs w:val="17"/>
                <w:color w:val="auto"/>
              </w:rPr>
            </w:pPr>
          </w:p>
        </w:tc>
      </w:tr>
      <w:tr>
        <w:trPr>
          <w:trHeight w:val="244"/>
        </w:trPr>
        <w:tc>
          <w:tcPr>
            <w:tcW w:w="1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0000FF"/>
            </w:tcBorders>
            <w:gridSpan w:val="3"/>
            <w:shd w:val="clear" w:color="auto" w:fill="CCEEFF"/>
          </w:tcPr>
          <w:p>
            <w:pPr>
              <w:spacing w:after="0" w:line="196" w:lineRule="exact"/>
              <w:rPr>
                <w:sz w:val="20"/>
                <w:szCs w:val="20"/>
                <w:color w:val="auto"/>
              </w:rPr>
            </w:pPr>
            <w:r>
              <w:rPr>
                <w:rFonts w:ascii="Arial" w:cs="Arial" w:eastAsia="Arial" w:hAnsi="Arial"/>
                <w:sz w:val="18"/>
                <w:szCs w:val="18"/>
                <w:color w:val="0000FF"/>
                <w:w w:val="90"/>
              </w:rPr>
              <w:t>Pursuant to Section 302 of the Sarbanes-Oxley Act of 2002</w:t>
            </w:r>
          </w:p>
        </w:tc>
        <w:tc>
          <w:tcPr>
            <w:tcW w:w="5200" w:type="dxa"/>
            <w:vAlign w:val="bottom"/>
            <w:tcBorders>
              <w:bottom w:val="single" w:sz="8" w:color="CCEEFF"/>
            </w:tcBorders>
            <w:gridSpan w:val="6"/>
            <w:shd w:val="clear" w:color="auto" w:fill="CCEEFF"/>
          </w:tcPr>
          <w:p>
            <w:pPr>
              <w:spacing w:after="0"/>
              <w:rPr>
                <w:sz w:val="21"/>
                <w:szCs w:val="21"/>
                <w:color w:val="auto"/>
              </w:rPr>
            </w:pPr>
          </w:p>
        </w:tc>
      </w:tr>
      <w:tr>
        <w:trPr>
          <w:trHeight w:val="203"/>
        </w:trPr>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9"/>
              </w:rPr>
              <w:t>31.2*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gridSpan w:val="9"/>
          </w:tcPr>
          <w:p>
            <w:pPr>
              <w:spacing w:after="0" w:line="202" w:lineRule="exact"/>
              <w:rPr>
                <w:sz w:val="20"/>
                <w:szCs w:val="20"/>
                <w:color w:val="auto"/>
              </w:rPr>
            </w:pPr>
            <w:r>
              <w:rPr>
                <w:rFonts w:ascii="Arial" w:cs="Arial" w:eastAsia="Arial" w:hAnsi="Arial"/>
                <w:sz w:val="18"/>
                <w:szCs w:val="18"/>
                <w:color w:val="0000FF"/>
                <w:w w:val="96"/>
              </w:rPr>
              <w:t>Certification of Principal Financial Officer Pursuant to Securities Exchange Act Rules 13a-14(a) and 15(d)-14(a), as adopted</w:t>
            </w:r>
          </w:p>
        </w:tc>
      </w:tr>
      <w:tr>
        <w:trPr>
          <w:trHeight w:val="196"/>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80" w:type="dxa"/>
            <w:vAlign w:val="bottom"/>
            <w:tcBorders>
              <w:top w:val="single" w:sz="8" w:color="0000FF"/>
            </w:tcBorders>
            <w:gridSpan w:val="6"/>
          </w:tcPr>
          <w:p>
            <w:pPr>
              <w:spacing w:after="0" w:line="196" w:lineRule="exact"/>
              <w:rPr>
                <w:sz w:val="20"/>
                <w:szCs w:val="20"/>
                <w:color w:val="auto"/>
              </w:rPr>
            </w:pPr>
            <w:r>
              <w:rPr>
                <w:rFonts w:ascii="Arial" w:cs="Arial" w:eastAsia="Arial" w:hAnsi="Arial"/>
                <w:sz w:val="18"/>
                <w:szCs w:val="18"/>
                <w:color w:val="0000FF"/>
              </w:rPr>
              <w:t>Pursuant to Section 302 of the Sarbanes-Oxley Act of 2002</w:t>
            </w:r>
          </w:p>
        </w:tc>
        <w:tc>
          <w:tcPr>
            <w:tcW w:w="500" w:type="dxa"/>
            <w:vAlign w:val="bottom"/>
            <w:gridSpan w:val="3"/>
          </w:tcPr>
          <w:p>
            <w:pPr>
              <w:spacing w:after="0"/>
              <w:rPr>
                <w:sz w:val="17"/>
                <w:szCs w:val="17"/>
                <w:color w:val="auto"/>
              </w:rPr>
            </w:pPr>
          </w:p>
        </w:tc>
      </w:tr>
      <w:tr>
        <w:trPr>
          <w:trHeight w:val="48"/>
        </w:trPr>
        <w:tc>
          <w:tcPr>
            <w:tcW w:w="1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660" w:type="dxa"/>
            <w:vAlign w:val="bottom"/>
            <w:tcBorders>
              <w:top w:val="single" w:sz="8" w:color="0000FF"/>
            </w:tcBorders>
          </w:tcPr>
          <w:p>
            <w:pPr>
              <w:spacing w:after="0"/>
              <w:rPr>
                <w:sz w:val="4"/>
                <w:szCs w:val="4"/>
                <w:color w:val="auto"/>
              </w:rPr>
            </w:pPr>
          </w:p>
        </w:tc>
        <w:tc>
          <w:tcPr>
            <w:tcW w:w="4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80" w:type="dxa"/>
            <w:vAlign w:val="bottom"/>
            <w:gridSpan w:val="9"/>
            <w:shd w:val="clear" w:color="auto" w:fill="CCEEFF"/>
          </w:tcPr>
          <w:p>
            <w:pPr>
              <w:spacing w:after="0" w:line="202" w:lineRule="exact"/>
              <w:rPr>
                <w:sz w:val="20"/>
                <w:szCs w:val="20"/>
                <w:color w:val="auto"/>
              </w:rPr>
            </w:pPr>
            <w:r>
              <w:rPr>
                <w:rFonts w:ascii="Arial" w:cs="Arial" w:eastAsia="Arial" w:hAnsi="Arial"/>
                <w:sz w:val="18"/>
                <w:szCs w:val="18"/>
                <w:color w:val="0000FF"/>
                <w:w w:val="97"/>
              </w:rPr>
              <w:t>Certification of Principal Executive Officer Pursuant to 18 U.S.C. Section 1350, as adopted Pursuant to Section 906 of the</w:t>
            </w:r>
          </w:p>
        </w:tc>
      </w:tr>
      <w:tr>
        <w:trPr>
          <w:trHeight w:val="196"/>
        </w:trPr>
        <w:tc>
          <w:tcPr>
            <w:tcW w:w="1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800" w:type="dxa"/>
            <w:vAlign w:val="bottom"/>
            <w:tcBorders>
              <w:top w:val="single" w:sz="8" w:color="0000FF"/>
            </w:tcBorders>
            <w:gridSpan w:val="5"/>
            <w:shd w:val="clear" w:color="auto" w:fill="CCEEFF"/>
          </w:tcPr>
          <w:p>
            <w:pPr>
              <w:spacing w:after="0" w:line="196" w:lineRule="exact"/>
              <w:rPr>
                <w:sz w:val="20"/>
                <w:szCs w:val="20"/>
                <w:color w:val="auto"/>
              </w:rPr>
            </w:pPr>
            <w:r>
              <w:rPr>
                <w:rFonts w:ascii="Arial" w:cs="Arial" w:eastAsia="Arial" w:hAnsi="Arial"/>
                <w:sz w:val="18"/>
                <w:szCs w:val="18"/>
                <w:color w:val="0000FF"/>
              </w:rPr>
              <w:t>Sarbanes-Oxley Act of 2002</w:t>
            </w:r>
          </w:p>
        </w:tc>
        <w:tc>
          <w:tcPr>
            <w:tcW w:w="680" w:type="dxa"/>
            <w:vAlign w:val="bottom"/>
            <w:tcBorders>
              <w:top w:val="single" w:sz="8" w:color="CCEEFF"/>
            </w:tcBorders>
            <w:gridSpan w:val="4"/>
            <w:shd w:val="clear" w:color="auto" w:fill="CCEEFF"/>
          </w:tcPr>
          <w:p>
            <w:pPr>
              <w:spacing w:after="0"/>
              <w:rPr>
                <w:sz w:val="17"/>
                <w:szCs w:val="17"/>
                <w:color w:val="auto"/>
              </w:rPr>
            </w:pPr>
          </w:p>
        </w:tc>
      </w:tr>
      <w:tr>
        <w:trPr>
          <w:trHeight w:val="48"/>
        </w:trPr>
        <w:tc>
          <w:tcPr>
            <w:tcW w:w="16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4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rPr>
              <w:t>32.2**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tcBorders>
              <w:bottom w:val="single" w:sz="8" w:color="0000FF"/>
            </w:tcBorders>
            <w:gridSpan w:val="4"/>
          </w:tcPr>
          <w:p>
            <w:pPr>
              <w:spacing w:after="0" w:line="202" w:lineRule="exact"/>
              <w:rPr>
                <w:sz w:val="20"/>
                <w:szCs w:val="20"/>
                <w:color w:val="auto"/>
              </w:rPr>
            </w:pPr>
            <w:r>
              <w:rPr>
                <w:rFonts w:ascii="Arial" w:cs="Arial" w:eastAsia="Arial" w:hAnsi="Arial"/>
                <w:sz w:val="18"/>
                <w:szCs w:val="18"/>
                <w:color w:val="0000FF"/>
                <w:w w:val="90"/>
              </w:rPr>
              <w:t>Certification of Principal Financial Officer Pursuant to 18 U.S.C. Section 1350, as adopted Pursuant to Section 906 of the</w:t>
            </w:r>
          </w:p>
        </w:tc>
        <w:tc>
          <w:tcPr>
            <w:tcW w:w="720" w:type="dxa"/>
            <w:vAlign w:val="bottom"/>
            <w:gridSpan w:val="5"/>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gridSpan w:val="9"/>
          </w:tcPr>
          <w:p>
            <w:pPr>
              <w:spacing w:after="0" w:line="196" w:lineRule="exact"/>
              <w:rPr>
                <w:sz w:val="20"/>
                <w:szCs w:val="20"/>
                <w:color w:val="auto"/>
              </w:rPr>
            </w:pPr>
            <w:r>
              <w:rPr>
                <w:rFonts w:ascii="Arial" w:cs="Arial" w:eastAsia="Arial" w:hAnsi="Arial"/>
                <w:sz w:val="18"/>
                <w:szCs w:val="18"/>
                <w:color w:val="0000FF"/>
              </w:rPr>
              <w:t>Sarbanes-Oxley Act of 2002</w:t>
            </w:r>
          </w:p>
        </w:tc>
      </w:tr>
      <w:tr>
        <w:trPr>
          <w:trHeight w:val="48"/>
        </w:trPr>
        <w:tc>
          <w:tcPr>
            <w:tcW w:w="1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60" w:type="dxa"/>
            <w:vAlign w:val="bottom"/>
            <w:tcBorders>
              <w:top w:val="single" w:sz="8" w:color="0000FF"/>
            </w:tcBorders>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66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5"/>
              </w:rPr>
              <w:t>10.1</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460" w:type="dxa"/>
            <w:vAlign w:val="bottom"/>
            <w:tcBorders>
              <w:bottom w:val="single" w:sz="8" w:color="0000FF"/>
            </w:tcBorders>
            <w:gridSpan w:val="8"/>
            <w:shd w:val="clear" w:color="auto" w:fill="CCEEFF"/>
          </w:tcPr>
          <w:p>
            <w:pPr>
              <w:spacing w:after="0" w:line="202" w:lineRule="exact"/>
              <w:rPr>
                <w:rFonts w:ascii="Arial" w:cs="Arial" w:eastAsia="Arial" w:hAnsi="Arial"/>
                <w:sz w:val="18"/>
                <w:szCs w:val="18"/>
                <w:color w:val="0000FF"/>
                <w:w w:val="91"/>
              </w:rPr>
            </w:pPr>
            <w:hyperlink r:id="rId115">
              <w:r>
                <w:rPr>
                  <w:rFonts w:ascii="Arial" w:cs="Arial" w:eastAsia="Arial" w:hAnsi="Arial"/>
                  <w:sz w:val="18"/>
                  <w:szCs w:val="18"/>
                  <w:color w:val="0000FF"/>
                  <w:w w:val="91"/>
                </w:rPr>
                <w:t>Form of Controlled Equity OfferingSM Sales Agreement (incorporated by reference to Exhibit 10 of our Registration Statement on</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1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0000FF"/>
            </w:tcBorders>
            <w:gridSpan w:val="2"/>
            <w:shd w:val="clear" w:color="auto" w:fill="CCEEFF"/>
          </w:tcPr>
          <w:p>
            <w:pPr>
              <w:spacing w:after="0" w:line="196" w:lineRule="exact"/>
              <w:rPr>
                <w:rFonts w:ascii="Arial" w:cs="Arial" w:eastAsia="Arial" w:hAnsi="Arial"/>
                <w:sz w:val="18"/>
                <w:szCs w:val="18"/>
                <w:color w:val="0000FF"/>
                <w:w w:val="91"/>
              </w:rPr>
            </w:pPr>
            <w:hyperlink r:id="rId115">
              <w:r>
                <w:rPr>
                  <w:rFonts w:ascii="Arial" w:cs="Arial" w:eastAsia="Arial" w:hAnsi="Arial"/>
                  <w:sz w:val="18"/>
                  <w:szCs w:val="18"/>
                  <w:color w:val="0000FF"/>
                  <w:w w:val="91"/>
                </w:rPr>
                <w:t>Form S-3 as filed on July 24, 2023).</w:t>
              </w:r>
            </w:hyperlink>
          </w:p>
        </w:tc>
        <w:tc>
          <w:tcPr>
            <w:tcW w:w="6860" w:type="dxa"/>
            <w:vAlign w:val="bottom"/>
            <w:tcBorders>
              <w:bottom w:val="single" w:sz="8" w:color="CCEEFF"/>
            </w:tcBorders>
            <w:gridSpan w:val="7"/>
            <w:shd w:val="clear" w:color="auto" w:fill="CCEEFF"/>
          </w:tcPr>
          <w:p>
            <w:pPr>
              <w:spacing w:after="0"/>
              <w:rPr>
                <w:sz w:val="21"/>
                <w:szCs w:val="21"/>
                <w:color w:val="auto"/>
              </w:rPr>
            </w:pPr>
          </w:p>
        </w:tc>
      </w:tr>
      <w:tr>
        <w:trPr>
          <w:trHeight w:val="243"/>
        </w:trPr>
        <w:tc>
          <w:tcPr>
            <w:tcW w:w="174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101.INS*</w:t>
            </w:r>
          </w:p>
        </w:tc>
        <w:tc>
          <w:tcPr>
            <w:tcW w:w="20" w:type="dxa"/>
            <w:vAlign w:val="bottom"/>
          </w:tcPr>
          <w:p>
            <w:pPr>
              <w:spacing w:after="0"/>
              <w:rPr>
                <w:sz w:val="21"/>
                <w:szCs w:val="21"/>
                <w:color w:val="auto"/>
              </w:rPr>
            </w:pPr>
          </w:p>
        </w:tc>
        <w:tc>
          <w:tcPr>
            <w:tcW w:w="9480" w:type="dxa"/>
            <w:vAlign w:val="bottom"/>
            <w:gridSpan w:val="9"/>
          </w:tcPr>
          <w:p>
            <w:pPr>
              <w:spacing w:after="0"/>
              <w:rPr>
                <w:sz w:val="20"/>
                <w:szCs w:val="20"/>
                <w:color w:val="auto"/>
              </w:rPr>
            </w:pPr>
            <w:r>
              <w:rPr>
                <w:rFonts w:ascii="Arial" w:cs="Arial" w:eastAsia="Arial" w:hAnsi="Arial"/>
                <w:sz w:val="18"/>
                <w:szCs w:val="18"/>
                <w:color w:val="auto"/>
              </w:rPr>
              <w:t>Inline XBRL Instance Document.</w:t>
            </w:r>
          </w:p>
        </w:tc>
      </w:tr>
      <w:tr>
        <w:trPr>
          <w:trHeight w:val="27"/>
        </w:trPr>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101.SCH*</w:t>
            </w:r>
          </w:p>
        </w:tc>
        <w:tc>
          <w:tcPr>
            <w:tcW w:w="20" w:type="dxa"/>
            <w:vAlign w:val="bottom"/>
            <w:tcBorders>
              <w:bottom w:val="single" w:sz="8" w:color="CCEEFF"/>
            </w:tcBorders>
            <w:shd w:val="clear" w:color="auto" w:fill="CCEEFF"/>
          </w:tcPr>
          <w:p>
            <w:pPr>
              <w:spacing w:after="0"/>
              <w:rPr>
                <w:sz w:val="21"/>
                <w:szCs w:val="21"/>
                <w:color w:val="auto"/>
              </w:rPr>
            </w:pPr>
          </w:p>
        </w:tc>
        <w:tc>
          <w:tcPr>
            <w:tcW w:w="948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1740" w:type="dxa"/>
            <w:vAlign w:val="bottom"/>
            <w:gridSpan w:val="2"/>
          </w:tcPr>
          <w:p>
            <w:pPr>
              <w:jc w:val="center"/>
              <w:ind w:right="8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1"/>
                <w:szCs w:val="21"/>
                <w:color w:val="auto"/>
              </w:rPr>
            </w:pPr>
          </w:p>
        </w:tc>
        <w:tc>
          <w:tcPr>
            <w:tcW w:w="948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
        </w:trPr>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101.DEF*</w:t>
            </w:r>
          </w:p>
        </w:tc>
        <w:tc>
          <w:tcPr>
            <w:tcW w:w="20" w:type="dxa"/>
            <w:vAlign w:val="bottom"/>
            <w:tcBorders>
              <w:bottom w:val="single" w:sz="8" w:color="CCEEFF"/>
            </w:tcBorders>
            <w:shd w:val="clear" w:color="auto" w:fill="CCEEFF"/>
          </w:tcPr>
          <w:p>
            <w:pPr>
              <w:spacing w:after="0"/>
              <w:rPr>
                <w:sz w:val="21"/>
                <w:szCs w:val="21"/>
                <w:color w:val="auto"/>
              </w:rPr>
            </w:pPr>
          </w:p>
        </w:tc>
        <w:tc>
          <w:tcPr>
            <w:tcW w:w="948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1740" w:type="dxa"/>
            <w:vAlign w:val="bottom"/>
            <w:gridSpan w:val="2"/>
          </w:tcPr>
          <w:p>
            <w:pPr>
              <w:jc w:val="center"/>
              <w:ind w:right="8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1"/>
                <w:szCs w:val="21"/>
                <w:color w:val="auto"/>
              </w:rPr>
            </w:pPr>
          </w:p>
        </w:tc>
        <w:tc>
          <w:tcPr>
            <w:tcW w:w="948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
        </w:trPr>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101.PRE*</w:t>
            </w:r>
          </w:p>
        </w:tc>
        <w:tc>
          <w:tcPr>
            <w:tcW w:w="20" w:type="dxa"/>
            <w:vAlign w:val="bottom"/>
            <w:tcBorders>
              <w:bottom w:val="single" w:sz="8" w:color="CCEEFF"/>
            </w:tcBorders>
            <w:shd w:val="clear" w:color="auto" w:fill="CCEEFF"/>
          </w:tcPr>
          <w:p>
            <w:pPr>
              <w:spacing w:after="0"/>
              <w:rPr>
                <w:sz w:val="21"/>
                <w:szCs w:val="21"/>
                <w:color w:val="auto"/>
              </w:rPr>
            </w:pPr>
          </w:p>
        </w:tc>
        <w:tc>
          <w:tcPr>
            <w:tcW w:w="948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97"/>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8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323" w:lineRule="exact"/>
        <w:rPr>
          <w:sz w:val="20"/>
          <w:szCs w:val="20"/>
          <w:color w:val="auto"/>
        </w:rPr>
      </w:pPr>
    </w:p>
    <w:p>
      <w:pPr>
        <w:ind w:right="9880" w:firstLine="8"/>
        <w:spacing w:after="0" w:line="623" w:lineRule="auto"/>
        <w:tabs>
          <w:tab w:leader="none" w:pos="27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20" w:type="dxa"/>
            <w:vAlign w:val="bottom"/>
            <w:gridSpan w:val="2"/>
          </w:tcPr>
          <w:p>
            <w:pPr>
              <w:ind w:left="2080"/>
              <w:spacing w:after="0"/>
              <w:rPr>
                <w:sz w:val="20"/>
                <w:szCs w:val="20"/>
                <w:color w:val="auto"/>
              </w:rPr>
            </w:pPr>
            <w:r>
              <w:rPr>
                <w:rFonts w:ascii="Arial" w:cs="Arial" w:eastAsia="Arial" w:hAnsi="Arial"/>
                <w:sz w:val="18"/>
                <w:szCs w:val="18"/>
                <w:b w:val="1"/>
                <w:bCs w:val="1"/>
                <w:color w:val="auto"/>
              </w:rPr>
              <w:t>SOUNDHOUND AI, INC</w:t>
            </w:r>
          </w:p>
        </w:tc>
      </w:tr>
      <w:tr>
        <w:trPr>
          <w:trHeight w:val="540"/>
        </w:trPr>
        <w:tc>
          <w:tcPr>
            <w:tcW w:w="3700" w:type="dxa"/>
            <w:vAlign w:val="bottom"/>
          </w:tcPr>
          <w:p>
            <w:pPr>
              <w:spacing w:after="0"/>
              <w:rPr>
                <w:sz w:val="20"/>
                <w:szCs w:val="20"/>
                <w:color w:val="auto"/>
              </w:rPr>
            </w:pPr>
            <w:r>
              <w:rPr>
                <w:rFonts w:ascii="Arial" w:cs="Arial" w:eastAsia="Arial" w:hAnsi="Arial"/>
                <w:sz w:val="18"/>
                <w:szCs w:val="18"/>
                <w:color w:val="auto"/>
              </w:rPr>
              <w:t>Date: November 15, 2023</w:t>
            </w:r>
          </w:p>
        </w:tc>
        <w:tc>
          <w:tcPr>
            <w:tcW w:w="2980" w:type="dxa"/>
            <w:vAlign w:val="bottom"/>
          </w:tcPr>
          <w:p>
            <w:pPr>
              <w:ind w:left="2080"/>
              <w:spacing w:after="0"/>
              <w:rPr>
                <w:sz w:val="20"/>
                <w:szCs w:val="20"/>
                <w:color w:val="auto"/>
              </w:rPr>
            </w:pPr>
            <w:r>
              <w:rPr>
                <w:rFonts w:ascii="Arial" w:cs="Arial" w:eastAsia="Arial" w:hAnsi="Arial"/>
                <w:sz w:val="18"/>
                <w:szCs w:val="18"/>
                <w:color w:val="auto"/>
              </w:rPr>
              <w:t>By:</w:t>
            </w:r>
          </w:p>
        </w:tc>
        <w:tc>
          <w:tcPr>
            <w:tcW w:w="4540" w:type="dxa"/>
            <w:vAlign w:val="bottom"/>
          </w:tcPr>
          <w:p>
            <w:pPr>
              <w:spacing w:after="0"/>
              <w:rPr>
                <w:sz w:val="20"/>
                <w:szCs w:val="20"/>
                <w:color w:val="auto"/>
              </w:rPr>
            </w:pPr>
            <w:r>
              <w:rPr>
                <w:rFonts w:ascii="Arial" w:cs="Arial" w:eastAsia="Arial" w:hAnsi="Arial"/>
                <w:sz w:val="18"/>
                <w:szCs w:val="18"/>
                <w:color w:val="auto"/>
              </w:rPr>
              <w:t>/s/ Dr. Keyvan Mohajer</w:t>
            </w:r>
          </w:p>
        </w:tc>
      </w:tr>
      <w:tr>
        <w:trPr>
          <w:trHeight w:val="27"/>
        </w:trPr>
        <w:tc>
          <w:tcPr>
            <w:tcW w:w="37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980" w:type="dxa"/>
            <w:vAlign w:val="bottom"/>
          </w:tcPr>
          <w:p>
            <w:pPr>
              <w:ind w:left="2080"/>
              <w:spacing w:after="0"/>
              <w:rPr>
                <w:sz w:val="20"/>
                <w:szCs w:val="20"/>
                <w:color w:val="auto"/>
              </w:rPr>
            </w:pPr>
            <w:r>
              <w:rPr>
                <w:rFonts w:ascii="Arial" w:cs="Arial" w:eastAsia="Arial" w:hAnsi="Arial"/>
                <w:sz w:val="18"/>
                <w:szCs w:val="18"/>
                <w:color w:val="auto"/>
              </w:rPr>
              <w:t>Name:</w:t>
            </w:r>
          </w:p>
        </w:tc>
        <w:tc>
          <w:tcPr>
            <w:tcW w:w="4540" w:type="dxa"/>
            <w:vAlign w:val="bottom"/>
          </w:tcPr>
          <w:p>
            <w:pPr>
              <w:spacing w:after="0"/>
              <w:rPr>
                <w:sz w:val="20"/>
                <w:szCs w:val="20"/>
                <w:color w:val="auto"/>
              </w:rPr>
            </w:pPr>
            <w:r>
              <w:rPr>
                <w:rFonts w:ascii="Arial" w:cs="Arial" w:eastAsia="Arial" w:hAnsi="Arial"/>
                <w:sz w:val="18"/>
                <w:szCs w:val="18"/>
                <w:color w:val="auto"/>
              </w:rPr>
              <w:t>Dr. Keyvan Mohajer</w:t>
            </w:r>
          </w:p>
        </w:tc>
      </w:tr>
      <w:tr>
        <w:trPr>
          <w:trHeight w:val="270"/>
        </w:trPr>
        <w:tc>
          <w:tcPr>
            <w:tcW w:w="3700" w:type="dxa"/>
            <w:vAlign w:val="bottom"/>
          </w:tcPr>
          <w:p>
            <w:pPr>
              <w:spacing w:after="0"/>
              <w:rPr>
                <w:sz w:val="23"/>
                <w:szCs w:val="23"/>
                <w:color w:val="auto"/>
              </w:rPr>
            </w:pPr>
          </w:p>
        </w:tc>
        <w:tc>
          <w:tcPr>
            <w:tcW w:w="2980" w:type="dxa"/>
            <w:vAlign w:val="bottom"/>
          </w:tcPr>
          <w:p>
            <w:pPr>
              <w:ind w:left="2080"/>
              <w:spacing w:after="0"/>
              <w:rPr>
                <w:sz w:val="20"/>
                <w:szCs w:val="20"/>
                <w:color w:val="auto"/>
              </w:rPr>
            </w:pPr>
            <w:r>
              <w:rPr>
                <w:rFonts w:ascii="Arial" w:cs="Arial" w:eastAsia="Arial" w:hAnsi="Arial"/>
                <w:sz w:val="18"/>
                <w:szCs w:val="18"/>
                <w:color w:val="auto"/>
              </w:rPr>
              <w:t>Title:</w:t>
            </w:r>
          </w:p>
        </w:tc>
        <w:tc>
          <w:tcPr>
            <w:tcW w:w="45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70"/>
        </w:trPr>
        <w:tc>
          <w:tcPr>
            <w:tcW w:w="370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540"/>
        </w:trPr>
        <w:tc>
          <w:tcPr>
            <w:tcW w:w="3700" w:type="dxa"/>
            <w:vAlign w:val="bottom"/>
          </w:tcPr>
          <w:p>
            <w:pPr>
              <w:spacing w:after="0"/>
              <w:rPr>
                <w:sz w:val="20"/>
                <w:szCs w:val="20"/>
                <w:color w:val="auto"/>
              </w:rPr>
            </w:pPr>
            <w:r>
              <w:rPr>
                <w:rFonts w:ascii="Arial" w:cs="Arial" w:eastAsia="Arial" w:hAnsi="Arial"/>
                <w:sz w:val="18"/>
                <w:szCs w:val="18"/>
                <w:color w:val="auto"/>
              </w:rPr>
              <w:t>Date: November 15, 2023</w:t>
            </w:r>
          </w:p>
        </w:tc>
        <w:tc>
          <w:tcPr>
            <w:tcW w:w="2980" w:type="dxa"/>
            <w:vAlign w:val="bottom"/>
          </w:tcPr>
          <w:p>
            <w:pPr>
              <w:ind w:left="2080"/>
              <w:spacing w:after="0"/>
              <w:rPr>
                <w:sz w:val="20"/>
                <w:szCs w:val="20"/>
                <w:color w:val="auto"/>
              </w:rPr>
            </w:pPr>
            <w:r>
              <w:rPr>
                <w:rFonts w:ascii="Arial" w:cs="Arial" w:eastAsia="Arial" w:hAnsi="Arial"/>
                <w:sz w:val="18"/>
                <w:szCs w:val="18"/>
                <w:color w:val="auto"/>
              </w:rPr>
              <w:t>By:</w:t>
            </w:r>
          </w:p>
        </w:tc>
        <w:tc>
          <w:tcPr>
            <w:tcW w:w="4540" w:type="dxa"/>
            <w:vAlign w:val="bottom"/>
          </w:tcPr>
          <w:p>
            <w:pPr>
              <w:spacing w:after="0"/>
              <w:rPr>
                <w:sz w:val="20"/>
                <w:szCs w:val="20"/>
                <w:color w:val="auto"/>
              </w:rPr>
            </w:pPr>
            <w:r>
              <w:rPr>
                <w:rFonts w:ascii="Arial" w:cs="Arial" w:eastAsia="Arial" w:hAnsi="Arial"/>
                <w:sz w:val="18"/>
                <w:szCs w:val="18"/>
                <w:color w:val="auto"/>
              </w:rPr>
              <w:t>/s/ Nitesh Sharan</w:t>
            </w:r>
          </w:p>
        </w:tc>
      </w:tr>
      <w:tr>
        <w:trPr>
          <w:trHeight w:val="27"/>
        </w:trPr>
        <w:tc>
          <w:tcPr>
            <w:tcW w:w="37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980" w:type="dxa"/>
            <w:vAlign w:val="bottom"/>
          </w:tcPr>
          <w:p>
            <w:pPr>
              <w:ind w:left="2080"/>
              <w:spacing w:after="0"/>
              <w:rPr>
                <w:sz w:val="20"/>
                <w:szCs w:val="20"/>
                <w:color w:val="auto"/>
              </w:rPr>
            </w:pPr>
            <w:r>
              <w:rPr>
                <w:rFonts w:ascii="Arial" w:cs="Arial" w:eastAsia="Arial" w:hAnsi="Arial"/>
                <w:sz w:val="18"/>
                <w:szCs w:val="18"/>
                <w:color w:val="auto"/>
              </w:rPr>
              <w:t>Name:</w:t>
            </w:r>
          </w:p>
        </w:tc>
        <w:tc>
          <w:tcPr>
            <w:tcW w:w="4540" w:type="dxa"/>
            <w:vAlign w:val="bottom"/>
          </w:tcPr>
          <w:p>
            <w:pPr>
              <w:spacing w:after="0"/>
              <w:rPr>
                <w:sz w:val="20"/>
                <w:szCs w:val="20"/>
                <w:color w:val="auto"/>
              </w:rPr>
            </w:pPr>
            <w:r>
              <w:rPr>
                <w:rFonts w:ascii="Arial" w:cs="Arial" w:eastAsia="Arial" w:hAnsi="Arial"/>
                <w:sz w:val="18"/>
                <w:szCs w:val="18"/>
                <w:color w:val="auto"/>
              </w:rPr>
              <w:t>Nitesh Sharan</w:t>
            </w:r>
          </w:p>
        </w:tc>
      </w:tr>
      <w:tr>
        <w:trPr>
          <w:trHeight w:val="270"/>
        </w:trPr>
        <w:tc>
          <w:tcPr>
            <w:tcW w:w="3700" w:type="dxa"/>
            <w:vAlign w:val="bottom"/>
          </w:tcPr>
          <w:p>
            <w:pPr>
              <w:spacing w:after="0"/>
              <w:rPr>
                <w:sz w:val="23"/>
                <w:szCs w:val="23"/>
                <w:color w:val="auto"/>
              </w:rPr>
            </w:pPr>
          </w:p>
        </w:tc>
        <w:tc>
          <w:tcPr>
            <w:tcW w:w="2980" w:type="dxa"/>
            <w:vAlign w:val="bottom"/>
          </w:tcPr>
          <w:p>
            <w:pPr>
              <w:ind w:left="2080"/>
              <w:spacing w:after="0"/>
              <w:rPr>
                <w:sz w:val="20"/>
                <w:szCs w:val="20"/>
                <w:color w:val="auto"/>
              </w:rPr>
            </w:pPr>
            <w:r>
              <w:rPr>
                <w:rFonts w:ascii="Arial" w:cs="Arial" w:eastAsia="Arial" w:hAnsi="Arial"/>
                <w:sz w:val="18"/>
                <w:szCs w:val="18"/>
                <w:color w:val="auto"/>
              </w:rPr>
              <w:t>Title:</w:t>
            </w:r>
          </w:p>
        </w:tc>
        <w:tc>
          <w:tcPr>
            <w:tcW w:w="45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70"/>
        </w:trPr>
        <w:tc>
          <w:tcPr>
            <w:tcW w:w="370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932"/>
        </w:trPr>
        <w:tc>
          <w:tcPr>
            <w:tcW w:w="3700" w:type="dxa"/>
            <w:vAlign w:val="bottom"/>
          </w:tcPr>
          <w:p>
            <w:pPr>
              <w:spacing w:after="0"/>
              <w:rPr>
                <w:sz w:val="24"/>
                <w:szCs w:val="24"/>
                <w:color w:val="auto"/>
              </w:rPr>
            </w:pPr>
          </w:p>
        </w:tc>
        <w:tc>
          <w:tcPr>
            <w:tcW w:w="2980" w:type="dxa"/>
            <w:vAlign w:val="bottom"/>
          </w:tcPr>
          <w:p>
            <w:pPr>
              <w:ind w:left="1820"/>
              <w:spacing w:after="0"/>
              <w:rPr>
                <w:sz w:val="20"/>
                <w:szCs w:val="20"/>
                <w:color w:val="auto"/>
              </w:rPr>
            </w:pPr>
            <w:r>
              <w:rPr>
                <w:rFonts w:ascii="Arial" w:cs="Arial" w:eastAsia="Arial" w:hAnsi="Arial"/>
                <w:sz w:val="18"/>
                <w:szCs w:val="18"/>
                <w:color w:val="auto"/>
              </w:rPr>
              <w:t>56</w:t>
            </w:r>
          </w:p>
        </w:tc>
        <w:tc>
          <w:tcPr>
            <w:tcW w:w="454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Dr. Keyvan Mohajer, certify that:</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SoundHound AI,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77"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7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20" w:hanging="324"/>
        <w:spacing w:after="0" w:line="308" w:lineRule="auto"/>
        <w:tabs>
          <w:tab w:leader="none" w:pos="977"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7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November 15, 2023</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Dr. Keyvan Mohajer</w:t>
            </w:r>
          </w:p>
        </w:tc>
      </w:tr>
      <w:tr>
        <w:trPr>
          <w:trHeight w:val="243"/>
        </w:trPr>
        <w:tc>
          <w:tcPr>
            <w:tcW w:w="6740" w:type="dxa"/>
            <w:vAlign w:val="bottom"/>
          </w:tcPr>
          <w:p>
            <w:pPr>
              <w:ind w:left="6020"/>
              <w:spacing w:after="0"/>
              <w:rPr>
                <w:sz w:val="20"/>
                <w:szCs w:val="20"/>
                <w:color w:val="auto"/>
              </w:rPr>
            </w:pPr>
            <w:r>
              <w:rPr>
                <w:rFonts w:ascii="Arial" w:cs="Arial" w:eastAsia="Arial" w:hAnsi="Arial"/>
                <w:sz w:val="18"/>
                <w:szCs w:val="18"/>
                <w:color w:val="auto"/>
              </w:rPr>
              <w:t>Name:</w:t>
            </w:r>
          </w:p>
        </w:tc>
        <w:tc>
          <w:tcPr>
            <w:tcW w:w="4480" w:type="dxa"/>
            <w:vAlign w:val="bottom"/>
          </w:tcPr>
          <w:p>
            <w:pPr>
              <w:ind w:left="20"/>
              <w:spacing w:after="0"/>
              <w:rPr>
                <w:sz w:val="20"/>
                <w:szCs w:val="20"/>
                <w:color w:val="auto"/>
              </w:rPr>
            </w:pPr>
            <w:r>
              <w:rPr>
                <w:rFonts w:ascii="Arial" w:cs="Arial" w:eastAsia="Arial" w:hAnsi="Arial"/>
                <w:sz w:val="18"/>
                <w:szCs w:val="18"/>
                <w:color w:val="auto"/>
              </w:rPr>
              <w:t>Dr. Keyvan Mohajer</w:t>
            </w:r>
          </w:p>
        </w:tc>
      </w:tr>
      <w:tr>
        <w:trPr>
          <w:trHeight w:val="257"/>
        </w:trPr>
        <w:tc>
          <w:tcPr>
            <w:tcW w:w="6740" w:type="dxa"/>
            <w:vAlign w:val="bottom"/>
          </w:tcPr>
          <w:p>
            <w:pPr>
              <w:ind w:left="6020"/>
              <w:spacing w:after="0"/>
              <w:rPr>
                <w:sz w:val="20"/>
                <w:szCs w:val="20"/>
                <w:color w:val="auto"/>
              </w:rPr>
            </w:pPr>
            <w:r>
              <w:rPr>
                <w:rFonts w:ascii="Arial" w:cs="Arial" w:eastAsia="Arial" w:hAnsi="Arial"/>
                <w:sz w:val="18"/>
                <w:szCs w:val="18"/>
                <w:color w:val="auto"/>
              </w:rPr>
              <w:t>Title:</w:t>
            </w:r>
          </w:p>
        </w:tc>
        <w:tc>
          <w:tcPr>
            <w:tcW w:w="44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56"/>
        </w:trPr>
        <w:tc>
          <w:tcPr>
            <w:tcW w:w="6740" w:type="dxa"/>
            <w:vAlign w:val="bottom"/>
          </w:tcPr>
          <w:p>
            <w:pPr>
              <w:spacing w:after="0"/>
              <w:rPr>
                <w:sz w:val="22"/>
                <w:szCs w:val="22"/>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47"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Nitesh Sharan, certify that:</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SoundHound AI,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77"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20" w:hanging="324"/>
        <w:spacing w:after="0" w:line="308" w:lineRule="auto"/>
        <w:tabs>
          <w:tab w:leader="none" w:pos="977"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November 15, 2023</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Nitesh Sharan</w:t>
            </w:r>
          </w:p>
        </w:tc>
      </w:tr>
      <w:tr>
        <w:trPr>
          <w:trHeight w:val="243"/>
        </w:trPr>
        <w:tc>
          <w:tcPr>
            <w:tcW w:w="6740" w:type="dxa"/>
            <w:vAlign w:val="bottom"/>
          </w:tcPr>
          <w:p>
            <w:pPr>
              <w:ind w:left="6020"/>
              <w:spacing w:after="0"/>
              <w:rPr>
                <w:sz w:val="20"/>
                <w:szCs w:val="20"/>
                <w:color w:val="auto"/>
              </w:rPr>
            </w:pPr>
            <w:r>
              <w:rPr>
                <w:rFonts w:ascii="Arial" w:cs="Arial" w:eastAsia="Arial" w:hAnsi="Arial"/>
                <w:sz w:val="18"/>
                <w:szCs w:val="18"/>
                <w:color w:val="auto"/>
              </w:rPr>
              <w:t>Name:</w:t>
            </w:r>
          </w:p>
        </w:tc>
        <w:tc>
          <w:tcPr>
            <w:tcW w:w="4480" w:type="dxa"/>
            <w:vAlign w:val="bottom"/>
          </w:tcPr>
          <w:p>
            <w:pPr>
              <w:ind w:left="20"/>
              <w:spacing w:after="0"/>
              <w:rPr>
                <w:sz w:val="20"/>
                <w:szCs w:val="20"/>
                <w:color w:val="auto"/>
              </w:rPr>
            </w:pPr>
            <w:r>
              <w:rPr>
                <w:rFonts w:ascii="Arial" w:cs="Arial" w:eastAsia="Arial" w:hAnsi="Arial"/>
                <w:sz w:val="18"/>
                <w:szCs w:val="18"/>
                <w:color w:val="auto"/>
              </w:rPr>
              <w:t>Nitesh Sharan</w:t>
            </w:r>
          </w:p>
        </w:tc>
      </w:tr>
      <w:tr>
        <w:trPr>
          <w:trHeight w:val="257"/>
        </w:trPr>
        <w:tc>
          <w:tcPr>
            <w:tcW w:w="6740" w:type="dxa"/>
            <w:vAlign w:val="bottom"/>
          </w:tcPr>
          <w:p>
            <w:pPr>
              <w:ind w:left="6020"/>
              <w:spacing w:after="0"/>
              <w:rPr>
                <w:sz w:val="20"/>
                <w:szCs w:val="20"/>
                <w:color w:val="auto"/>
              </w:rPr>
            </w:pPr>
            <w:r>
              <w:rPr>
                <w:rFonts w:ascii="Arial" w:cs="Arial" w:eastAsia="Arial" w:hAnsi="Arial"/>
                <w:sz w:val="18"/>
                <w:szCs w:val="18"/>
                <w:color w:val="auto"/>
              </w:rPr>
              <w:t>Title:</w:t>
            </w:r>
          </w:p>
        </w:tc>
        <w:tc>
          <w:tcPr>
            <w:tcW w:w="4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56"/>
        </w:trPr>
        <w:tc>
          <w:tcPr>
            <w:tcW w:w="6740" w:type="dxa"/>
            <w:vAlign w:val="bottom"/>
          </w:tcPr>
          <w:p>
            <w:pPr>
              <w:spacing w:after="0"/>
              <w:rPr>
                <w:sz w:val="22"/>
                <w:szCs w:val="22"/>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147"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SoundHound AI, Inc. (the “Company’s Quarterly Report”) on Form 10-Q for the period ended September 30, 2023, as filed with the Securities and Exchange Commission on the date hereof (the “Report”), Dr. Keyvan Mohajer, as Chief Executive Officer and principal executive officer of the Company, hereby certifies, pursuant to 18 U.S.C. Section 1350, as adopted pursuant to Section 906 of the Sarbanes-Oxley Act of 2002, to the best of the undersigned’s knowledge and belief, that:</w:t>
      </w:r>
    </w:p>
    <w:p>
      <w:pPr>
        <w:spacing w:after="0" w:line="18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3261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Keyvan Mohajer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Principal Executive Officer</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15, 2023</w:t>
      </w:r>
    </w:p>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1147"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SoundHound AI, Inc. (the “Company’s Quarterly Report”) on Form 10-Q for the period ended September 30, 2023, as filed with the Securities and Exchange Commission on the date hereof (the “Report”), Nitesh Sharan, as Chief Financial Officer and principal financial officer of the Company, hereby certifies, pursuant to 18 U.S.C. Section 1350, as adopted pursuant to Section 906 of the Sarbanes-Oxley Act of 2002, to the best of the undersigned’s knowledge and belief, that:</w:t>
      </w:r>
    </w:p>
    <w:p>
      <w:pPr>
        <w:spacing w:after="0" w:line="18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Nitesh Sharan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3261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Nitesh Sharan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Principal Financial Officer</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15, 2023</w:t>
      </w:r>
    </w:p>
    <w:p>
      <w:pPr>
        <w:spacing w:after="0" w:line="23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Roman"/>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lowerRoman"/>
      <w:start w:val="3"/>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lowerRoman"/>
      <w:start w:val="2"/>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lvl w:ilvl="1">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5" Type="http://schemas.openxmlformats.org/officeDocument/2006/relationships/hyperlink" Target="https://www.sec.gov/Archives/edgar/data/1840856/000121390023059229/ea181770ex10-1_soundhou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2023-11-15T15:45:00Z</dcterms:created>
  <dcterms:modified xsi:type="dcterms:W3CDTF">2023-11-15T15:45:00Z</dcterms:modified>
</cp:coreProperties>
</file>