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4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33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16,716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4.0399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486,989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3,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8,014 shares of common stock acquired in May 2024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06/24/2024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2024-06-24T17:31:51Z</dcterms:created>
  <dcterms:modified xsi:type="dcterms:W3CDTF">2024-06-24T17:31:51Z</dcterms:modified>
</cp:coreProperties>
</file>