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rFonts w:ascii="Times New Roman PS Std;serif" w:hAnsi="Times New Roman PS Std;serif"/>
          <w:b/>
          <w:i w:val="false"/>
          <w:caps w:val="false"/>
          <w:smallCaps w:val="false"/>
          <w:sz w:val="20"/>
        </w:rPr>
      </w:pPr>
      <w:bookmarkStart w:id="0" w:name="ea0237060-02.htm"/>
      <w:bookmarkStart w:id="1" w:name="ksea023706002"/>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20" w:after="283"/>
        <w:jc w:val="center"/>
        <w:rPr>
          <w:caps w:val="false"/>
          <w:smallCaps w:val="false"/>
        </w:rPr>
      </w:pPr>
      <w:r>
        <w:rPr>
          <w:caps w:val="false"/>
          <w:smallCaps w:val="false"/>
        </w:rPr>
        <w:t>–––––––––––––––––––––––––––––––––––––</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 the</w:t>
        <w:br/>
        <w:t>Securities Exchange Act of 1934 (Amendment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Solicitation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SOUNDHOUND AI,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5400 Betsy Ross Drive</w:t>
        <w:br/>
        <w:t>Santa Clara, CA 95054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April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SoundHound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2025 Annual Meeting of Stockholders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of SoundHound AI,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to be held on a virtual basis on Friday, May 23, 2025 at 7:00 a.m. Pacific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for a one-year term that expires at the 2026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PricewaterhouseCoopers LLP as the Company’s independent registered public accounting firm for the fiscal year ending December 31,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amendment to Section 4.1 of Article IV of the Company’s Second Amended and Restated Certificate of Incorporation to increase the number of authorized shares of Class A Common Stock, $0.0001 par value per share, from 455,000,000 to 755,000,000 (the “</w:t>
      </w:r>
      <w:r>
        <w:rPr>
          <w:rFonts w:ascii="Times New Roman PS Std;serif" w:hAnsi="Times New Roman PS Std;serif"/>
          <w:b/>
          <w:i w:val="false"/>
          <w:caps w:val="false"/>
          <w:smallCaps w:val="false"/>
          <w:sz w:val="20"/>
        </w:rPr>
        <w:t>Authorized Share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amendment to Section 12.1 of Article XII of the Company’s Second Amended and Restated Certificate of Incorporation regarding the waiver of corporate opportunities (the “</w:t>
      </w:r>
      <w:r>
        <w:rPr>
          <w:rFonts w:ascii="Times New Roman PS Std;serif" w:hAnsi="Times New Roman PS Std;serif"/>
          <w:b/>
          <w:i w:val="false"/>
          <w:caps w:val="false"/>
          <w:smallCaps w:val="false"/>
          <w:sz w:val="20"/>
        </w:rPr>
        <w:t>Opportunity Waiver Limitation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consider and vote upon an amendment to Article VIII of the Company’s Second Amended and Restated Certificate of Incorporation to provide for officer exculpation (the “</w:t>
      </w:r>
      <w:r>
        <w:rPr>
          <w:rFonts w:ascii="Times New Roman PS Std;serif" w:hAnsi="Times New Roman PS Std;serif"/>
          <w:b/>
          <w:i w:val="false"/>
          <w:caps w:val="false"/>
          <w:smallCaps w:val="false"/>
          <w:sz w:val="20"/>
        </w:rPr>
        <w:t>Officer Exculpation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consider and vote upon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 (the “</w:t>
      </w:r>
      <w:r>
        <w:rPr>
          <w:rFonts w:ascii="Times New Roman PS Std;serif" w:hAnsi="Times New Roman PS Std;serif"/>
          <w:b/>
          <w:i w:val="false"/>
          <w:caps w:val="false"/>
          <w:smallCaps w:val="false"/>
          <w:sz w:val="20"/>
        </w:rPr>
        <w:t>242(d)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consider and vote upon an amendment to Section 5.2 of Article V of the Company’s Second Amended and Restated Certificate of Incorporation to remove subsection 5.2.2 relating to the ratification of contracts and acts by stockholders (the “</w:t>
      </w:r>
      <w:r>
        <w:rPr>
          <w:rFonts w:ascii="Times New Roman PS Std;serif" w:hAnsi="Times New Roman PS Std;serif"/>
          <w:b/>
          <w:i w:val="false"/>
          <w:caps w:val="false"/>
          <w:smallCaps w:val="false"/>
          <w:sz w:val="20"/>
        </w:rPr>
        <w:t>Stockholder Ratification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RECOMMENDS A VOTE FOR THE ELECTION OF EACH OF THE DIRECTOR NOMINEES</w:t>
      </w:r>
      <w:r>
        <w:rPr>
          <w:rFonts w:ascii="Times New Roman PS Std;serif" w:hAnsi="Times New Roman PS Std;serif"/>
          <w:b w:val="false"/>
          <w:i w:val="false"/>
          <w:caps/>
          <w:sz w:val="20"/>
        </w:rPr>
        <w:t xml:space="preserve">, A VOTE FOR THE RATIFICATION OF THE APPOINTMENT OF THE COMPANY’S INDEPENDENT REGISTERED PUBLIC ACCOUNTING FIRM FOR THE FISCAL YEAR ENDING December 31, 2025, A VOTE </w:t>
      </w:r>
      <w:r>
        <w:rPr>
          <w:rFonts w:ascii="Times New Roman PS Std;serif" w:hAnsi="Times New Roman PS Std;serif"/>
          <w:b w:val="false"/>
          <w:i w:val="false"/>
          <w:caps w:val="false"/>
          <w:smallCaps w:val="false"/>
          <w:sz w:val="20"/>
        </w:rPr>
        <w:t>FOR THE AUTHORIZED SHARE PROPOSAL, A VOTE FOR THE OPPORTUNITY WAIVER LIMITATION PROPOSAL, A VOTE FOR THE OFFICER EXCULPATION PROPOSAL, A VOTE FOR THE 242(d) PROPOSAL AND A VOTE FOR THE ELIMINATION OF THE STOCKHOLDER RATIFICATION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March 27, 2025 as the record date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You are requested to carefully read the Proxy Statement and accompanying Notice of Annual Meeting for a more complete statement of matters to be considered at the Annual Meeting.</w:t>
      </w:r>
    </w:p>
    <w:tbl>
      <w:tblPr>
        <w:tblW w:w="3953" w:type="dxa"/>
        <w:jc w:val="left"/>
        <w:tblInd w:w="0" w:type="dxa"/>
        <w:tblLayout w:type="fixed"/>
        <w:tblCellMar>
          <w:top w:w="0" w:type="dxa"/>
          <w:left w:w="0" w:type="dxa"/>
          <w:bottom w:w="0" w:type="dxa"/>
          <w:right w:w="0" w:type="dxa"/>
        </w:tblCellMar>
      </w:tblPr>
      <w:tblGrid>
        <w:gridCol w:w="3616"/>
        <w:gridCol w:w="146"/>
        <w:gridCol w:w="191"/>
      </w:tblGrid>
      <w:tr>
        <w:trPr/>
        <w:tc>
          <w:tcPr>
            <w:tcW w:w="36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1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WHETHER OR NOT YOU EXPECT TO ATTEND THE ANNUAL MEETING, </w:t>
      </w:r>
      <w:r>
        <w:rPr>
          <w:rFonts w:ascii="Times New Roman PS Std;serif" w:hAnsi="Times New Roman PS Std;serif"/>
          <w:b/>
          <w:i w:val="false"/>
          <w:caps/>
          <w:sz w:val="20"/>
        </w:rPr>
        <w:t>PLEASE READ THE PROXY STATEMENT AND PROMPTLY VOTE YOUR PROXY VIA THE INTERNET, BY TELEPHONE OR, IF YOU RECEIVED A PRINTED FORM OF PROXY IN THE MAIL, BY COMPLETING, DATING, SIGNING AND RETURNING THE ENCLOSED PROXY 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THE PROXY STATEMENT, OUR FORM OF PROXY CARD, AND OUR ANNUAL REPORT ON FORM 10-K</w:t>
      </w:r>
      <w:r>
        <w:rPr>
          <w:rFonts w:ascii="Times New Roman PS Std;serif" w:hAnsi="Times New Roman PS Std;serif"/>
          <w:b w:val="false"/>
          <w:i w:val="false"/>
          <w:caps/>
          <w:sz w:val="20"/>
        </w:rPr>
        <w:t xml:space="preserve"> </w:t>
      </w:r>
      <w:r>
        <w:rPr>
          <w:rFonts w:ascii="Times New Roman PS Std;serif" w:hAnsi="Times New Roman PS Std;serif"/>
          <w:b/>
          <w:i w:val="false"/>
          <w:caps/>
          <w:sz w:val="20"/>
        </w:rPr>
        <w:t>FOR THE FISCAL YEAR ENDED DECEMBER</w:t>
      </w:r>
      <w:r>
        <w:rPr>
          <w:rFonts w:ascii="Times New Roman PS Std;serif" w:hAnsi="Times New Roman PS Std;serif"/>
          <w:b w:val="false"/>
          <w:i w:val="false"/>
          <w:caps/>
          <w:sz w:val="20"/>
        </w:rPr>
        <w:t xml:space="preserve"> </w:t>
      </w:r>
      <w:r>
        <w:rPr>
          <w:rFonts w:ascii="Times New Roman PS Std;serif" w:hAnsi="Times New Roman PS Std;serif"/>
          <w:b/>
          <w:i w:val="false"/>
          <w:caps/>
          <w:sz w:val="20"/>
        </w:rPr>
        <w:t xml:space="preserve">31, 2024 ARE AVAILABLE ON THE INTERNET AT </w:t>
      </w:r>
      <w:r>
        <w:rPr>
          <w:rFonts w:ascii="Times New Roman PS Std;serif" w:hAnsi="Times New Roman PS Std;serif"/>
          <w:b/>
          <w:i/>
          <w:caps w:val="false"/>
          <w:smallCaps w:val="false"/>
          <w:sz w:val="20"/>
        </w:rPr>
        <w:t>HTTPS://INVESTORS.SOUNDHOUND.COM/CORPORATE-GOVERNANCE/ANNUAL-MEETING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sz w:val="20"/>
        </w:rPr>
        <w:t xml:space="preserve">OR AT THE SEC’S WEBSITE AT </w:t>
      </w:r>
      <w:r>
        <w:rPr>
          <w:rFonts w:ascii="Times New Roman PS Std;serif" w:hAnsi="Times New Roman PS Std;serif"/>
          <w:b/>
          <w:i/>
          <w:caps w:val="false"/>
          <w:smallCaps w:val="false"/>
          <w:sz w:val="20"/>
        </w:rPr>
        <w:t>HTTP://WWW.SEC.GOV.</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SOUNDHOUND AI, INC.</w:t>
        <w:br/>
      </w:r>
      <w:r>
        <w:rPr>
          <w:rFonts w:ascii="Times New Roman PS Std;serif" w:hAnsi="Times New Roman PS Std;serif"/>
          <w:b/>
          <w:i w:val="false"/>
          <w:caps w:val="false"/>
          <w:smallCaps w:val="false"/>
          <w:sz w:val="20"/>
        </w:rPr>
        <w:t>5400 Betsy Ross Drive</w:t>
        <w:br/>
        <w:t>Santa Clara, CA 95054</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NOTICE OF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May 23,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furnished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SoundHound AI,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for use at the 2025 Annual Meeting of Stockholders of the Company and at all adjournments and postponements thereof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The Annual Meeting will be held at 7:00 a.m. Pacific Time on Friday, May 23, 2025 on a virtual basis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Board for a one-year term that expires at the 2026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PricewaterhouseCoopers LLP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December 31,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amendment to Section 4.1 of Article IV of the Company’s Second Amended and Restated Certificate of Incorporation (the “</w:t>
      </w:r>
      <w:r>
        <w:rPr>
          <w:rFonts w:ascii="Times New Roman PS Std;serif" w:hAnsi="Times New Roman PS Std;serif"/>
          <w:b/>
          <w:i w:val="false"/>
          <w:caps w:val="false"/>
          <w:smallCaps w:val="false"/>
          <w:sz w:val="20"/>
        </w:rPr>
        <w:t>Certificate of Incorporation</w:t>
      </w:r>
      <w:r>
        <w:rPr>
          <w:rFonts w:ascii="Times New Roman PS Std;serif" w:hAnsi="Times New Roman PS Std;serif"/>
          <w:b w:val="false"/>
          <w:i w:val="false"/>
          <w:caps w:val="false"/>
          <w:smallCaps w:val="false"/>
          <w:sz w:val="20"/>
        </w:rPr>
        <w:t>”) to increase the number of authorized shares of Class A Common Stock, $0.0001 par value per share, from 455,000,000 to 755,000,000 (the “</w:t>
      </w:r>
      <w:r>
        <w:rPr>
          <w:rFonts w:ascii="Times New Roman PS Std;serif" w:hAnsi="Times New Roman PS Std;serif"/>
          <w:b/>
          <w:i w:val="false"/>
          <w:caps w:val="false"/>
          <w:smallCaps w:val="false"/>
          <w:sz w:val="20"/>
        </w:rPr>
        <w:t>Authorized Share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amendment to Section 12.1 of Article XII of the Company’s Second Amended and Restated Certificate of Incorporation regarding the waiver of corporate opportunities (the “</w:t>
      </w:r>
      <w:r>
        <w:rPr>
          <w:rFonts w:ascii="Times New Roman PS Std;serif" w:hAnsi="Times New Roman PS Std;serif"/>
          <w:b/>
          <w:i w:val="false"/>
          <w:caps w:val="false"/>
          <w:smallCaps w:val="false"/>
          <w:sz w:val="20"/>
        </w:rPr>
        <w:t>Opportunity Waiver Limitation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consider and vote upon an amendment to Article VIII of the Company’s Second Amended and Restated Certificate of Incorporation to provide for officer exculpation (the “</w:t>
      </w:r>
      <w:r>
        <w:rPr>
          <w:rFonts w:ascii="Times New Roman PS Std;serif" w:hAnsi="Times New Roman PS Std;serif"/>
          <w:b/>
          <w:i w:val="false"/>
          <w:caps w:val="false"/>
          <w:smallCaps w:val="false"/>
          <w:sz w:val="20"/>
        </w:rPr>
        <w:t>Officer Exculpation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consider and vote upon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 (the “</w:t>
      </w:r>
      <w:r>
        <w:rPr>
          <w:rFonts w:ascii="Times New Roman PS Std;serif" w:hAnsi="Times New Roman PS Std;serif"/>
          <w:b/>
          <w:i w:val="false"/>
          <w:caps w:val="false"/>
          <w:smallCaps w:val="false"/>
          <w:sz w:val="20"/>
        </w:rPr>
        <w:t>242(d)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consider and vote upon an amendment to Section 5.2 of Article V of the Company’s Second Amended and Restated Certificate of Incorporation to remove subsection 5.2.2 relating to the ratification of contracts and acts by stockholders (the “</w:t>
      </w:r>
      <w:r>
        <w:rPr>
          <w:rFonts w:ascii="Times New Roman PS Std;serif" w:hAnsi="Times New Roman PS Std;serif"/>
          <w:b/>
          <w:i w:val="false"/>
          <w:caps w:val="false"/>
          <w:smallCaps w:val="false"/>
          <w:sz w:val="20"/>
        </w:rPr>
        <w:t>Stockholder Ratification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the approval of each of the Director Nominees, a vote “FOR” the ratification of the appointment of the Auditor as the Company’s independent registered public accounting firm for the fiscal year ending December 31, 2025, a vote “FOR” the Authorized Share Proposal, a vote “FOR” the Opportunity Waiver Limitation Proposal, a vote “FOR” the Officer Exculpation Proposal, a vote “FOR” the242(d) Proposal, and a vote “FOR” the Stockholder Ratification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of our Class A common stock and Class B common stock at the close of business on March 27, 2025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xml:space="preserve">”) will be entitled to notice of, and are cordially invited to, attend the Annual Meeting and to attend any adjournment or postponement thereof. </w:t>
      </w:r>
      <w:r>
        <w:rPr>
          <w:rFonts w:ascii="Times New Roman PS Std;serif" w:hAnsi="Times New Roman PS Std;serif"/>
          <w:b/>
          <w:i w:val="false"/>
          <w:caps w:val="false"/>
          <w:smallCaps w:val="false"/>
          <w:sz w:val="20"/>
        </w:rPr>
        <w:t xml:space="preserve">However, to ensure your representation at the Annual Meeting, please vote your proxy via the internet, by telephone, or by completing, dating, signing and returning the enclosed proxy. </w:t>
      </w:r>
      <w:r>
        <w:rPr>
          <w:rFonts w:ascii="Times New Roman PS Std;serif" w:hAnsi="Times New Roman PS Std;serif"/>
          <w:b w:val="false"/>
          <w:i w:val="false"/>
          <w:caps w:val="false"/>
          <w:smallCaps w:val="false"/>
          <w:sz w:val="20"/>
        </w:rPr>
        <w:t>Whether or not you expect to attend the Annual Meeting, please read the Proxy Statement and then promptly vote your proxy in order to ensure your representation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cast your vote by visiting </w:t>
      </w:r>
      <w:r>
        <w:rPr>
          <w:rFonts w:ascii="Times New Roman PS Std;serif" w:hAnsi="Times New Roman PS Std;serif"/>
          <w:b w:val="false"/>
          <w:i/>
          <w:caps w:val="false"/>
          <w:smallCaps w:val="false"/>
          <w:sz w:val="20"/>
        </w:rPr>
        <w:t>http://www.proxyvote.com</w:t>
      </w:r>
      <w:r>
        <w:rPr>
          <w:rFonts w:ascii="Times New Roman PS Std;serif" w:hAnsi="Times New Roman PS Std;serif"/>
          <w:b w:val="false"/>
          <w:i w:val="false"/>
          <w:caps w:val="false"/>
          <w:smallCaps w:val="false"/>
          <w:sz w:val="20"/>
        </w:rPr>
        <w:t xml:space="preserve">. You may also have access to the materials for the Annual Meeting by visiting the website: </w:t>
      </w:r>
      <w:r>
        <w:rPr>
          <w:rFonts w:ascii="Times New Roman PS Std;serif" w:hAnsi="Times New Roman PS Std;serif"/>
          <w:b w:val="false"/>
          <w:i/>
          <w:caps w:val="false"/>
          <w:smallCaps w:val="false"/>
          <w:sz w:val="20"/>
        </w:rPr>
        <w:t>https://www.soundhound.com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You will need to use the control number appearing on your proxy card to vote prior to or at the Annual Meeting.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Class A common stock entitles the holder thereof to one vote and each share of Class B common stock entitles the holder thereof to ten votes. Shares of Class A common stock and Class B common stock vote together as a single class.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urged to review carefully the information contained in the enclosed proxy statement prior to deciding how to vote your shares. This notice and the attached proxy statement are first being disseminated to stockholders on or about April 28, 2025.</w:t>
      </w:r>
    </w:p>
    <w:tbl>
      <w:tblPr>
        <w:tblW w:w="4553" w:type="dxa"/>
        <w:jc w:val="left"/>
        <w:tblInd w:w="0" w:type="dxa"/>
        <w:tblLayout w:type="fixed"/>
        <w:tblCellMar>
          <w:top w:w="0" w:type="dxa"/>
          <w:left w:w="0" w:type="dxa"/>
          <w:bottom w:w="0" w:type="dxa"/>
          <w:right w:w="0" w:type="dxa"/>
        </w:tblCellMar>
      </w:tblPr>
      <w:tblGrid>
        <w:gridCol w:w="4216"/>
        <w:gridCol w:w="146"/>
        <w:gridCol w:w="191"/>
      </w:tblGrid>
      <w:tr>
        <w:trPr/>
        <w:tc>
          <w:tcPr>
            <w:tcW w:w="42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21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2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2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2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IF YOU RETURN YOUR PROXY CARD WITHOUT AN INDICATION OF HOW YOU WISH TO VOTE, YOUR SHARES WILL BE VOTED IN FAVOR OF EACH OF THE DIRECTOR NOMINEES, FOR THE RATIFICATION OF THE APPOINTMENT OF THE AUDITOR </w:t>
      </w:r>
      <w:r>
        <w:rPr>
          <w:rFonts w:ascii="Times New Roman PS Std;serif" w:hAnsi="Times New Roman PS Std;serif"/>
          <w:b/>
          <w:i w:val="false"/>
          <w:caps/>
          <w:sz w:val="20"/>
        </w:rPr>
        <w:t>AS THE COMPANY’S INDEPENDENT REGISTERED PUBLIC ACCOUNTING FIRM FOR THE FISCAL YEAR ENDING DECEMBER</w:t>
      </w:r>
      <w:r>
        <w:rPr>
          <w:rFonts w:ascii="Times New Roman PS Std;serif" w:hAnsi="Times New Roman PS Std;serif"/>
          <w:b w:val="false"/>
          <w:i w:val="false"/>
          <w:caps/>
          <w:sz w:val="20"/>
        </w:rPr>
        <w:t xml:space="preserve"> </w:t>
      </w:r>
      <w:r>
        <w:rPr>
          <w:rFonts w:ascii="Times New Roman PS Std;serif" w:hAnsi="Times New Roman PS Std;serif"/>
          <w:b/>
          <w:i w:val="false"/>
          <w:caps/>
          <w:sz w:val="20"/>
        </w:rPr>
        <w:t>31, 2025, AND FOR THE AUTHORIZED SHARE PROPOSAL, A VOTE FOR THE OPPORTUNITY WAIVER LIMITATION PROPOSAL, A VOTE FOR THE OFFICER EXCULPATION PROPOSAL, A VOTE FOR THE 242(</w:t>
      </w:r>
      <w:r>
        <w:rPr>
          <w:rFonts w:ascii="Times New Roman PS Std;serif" w:hAnsi="Times New Roman PS Std;serif"/>
          <w:b/>
          <w:i w:val="false"/>
          <w:caps w:val="false"/>
          <w:smallCaps w:val="false"/>
          <w:sz w:val="20"/>
        </w:rPr>
        <w:t>d</w:t>
      </w:r>
      <w:r>
        <w:rPr>
          <w:rFonts w:ascii="Times New Roman PS Std;serif" w:hAnsi="Times New Roman PS Std;serif"/>
          <w:b/>
          <w:i w:val="false"/>
          <w:caps/>
          <w:sz w:val="20"/>
        </w:rPr>
        <w:t>) PROPOSAL AND A VOTE FOR THE ELIMINATION OF THE STOCKHOLDER RATIFICATION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Important Notice Regarding the Availability of Proxy Materials for the Annual Meeting to be Held on May 23, 2025: </w:t>
      </w:r>
      <w:r>
        <w:rPr>
          <w:rFonts w:ascii="Times New Roman PS Std;serif" w:hAnsi="Times New Roman PS Std;serif"/>
          <w:b/>
          <w:i w:val="false"/>
          <w:caps w:val="false"/>
          <w:smallCaps w:val="false"/>
          <w:sz w:val="20"/>
        </w:rPr>
        <w:t>This proxy statement, along with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for the year ended December 31, 2024, is available at: </w:t>
      </w:r>
      <w:r>
        <w:rPr>
          <w:rFonts w:ascii="Times New Roman PS Std;serif" w:hAnsi="Times New Roman PS Std;serif"/>
          <w:b/>
          <w:i/>
          <w:caps w:val="false"/>
          <w:smallCaps w:val="false"/>
          <w:sz w:val="20"/>
        </w:rPr>
        <w:t>https://investors.soundhound.com/corporate-governance/annual-meeting</w:t>
      </w:r>
      <w:r>
        <w:rPr>
          <w:rFonts w:ascii="Times New Roman PS Std;serif" w:hAnsi="Times New Roman PS Std;serif"/>
          <w:b/>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600">
              <w:r>
                <w:rPr>
                  <w:rStyle w:val="InternetLink"/>
                  <w:rFonts w:ascii="Times New Roman PS Std;serif" w:hAnsi="Times New Roman PS Std;serif"/>
                  <w:b w:val="false"/>
                  <w:i w:val="false"/>
                  <w:caps w:val="false"/>
                  <w:smallCaps w:val="false"/>
                  <w:sz w:val="20"/>
                </w:rPr>
                <w:t>QUESTIONS AND ANSWERS ABOUT THESE PROXY MATERIALS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601">
              <w:r>
                <w:rPr>
                  <w:rStyle w:val="InternetLink"/>
                  <w:rFonts w:ascii="Times New Roman PS Std;serif" w:hAnsi="Times New Roman PS Std;serif"/>
                  <w:b w:val="false"/>
                  <w:i w:val="false"/>
                  <w:caps w:val="false"/>
                  <w:smallCaps w:val="false"/>
                  <w:sz w:val="20"/>
                </w:rPr>
                <w:t>THE ANNUAL MEETING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603">
              <w:r>
                <w:rPr>
                  <w:rStyle w:val="InternetLink"/>
                  <w:rFonts w:ascii="Times New Roman PS Std;serif" w:hAnsi="Times New Roman PS Std;serif"/>
                  <w:b w:val="false"/>
                  <w:i w:val="false"/>
                  <w:caps w:val="false"/>
                  <w:smallCaps w:val="false"/>
                  <w:sz w:val="20"/>
                </w:rPr>
                <w:t>PROPOSAL 1 — ELECTION OF DIRECTORS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604">
              <w:r>
                <w:rPr>
                  <w:rStyle w:val="InternetLink"/>
                  <w:rFonts w:ascii="Times New Roman PS Std;serif" w:hAnsi="Times New Roman PS Std;serif"/>
                  <w:b w:val="false"/>
                  <w:i w:val="false"/>
                  <w:caps w:val="false"/>
                  <w:smallCaps w:val="false"/>
                  <w:sz w:val="20"/>
                </w:rPr>
                <w:t>PROPOSAL 2 — RATIFICATION OF THE APPOINTMENT OF THE COMPANY’S INDEPENDENT AUDITORS FOR FISCAL 2025</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605">
              <w:r>
                <w:rPr>
                  <w:rStyle w:val="InternetLink"/>
                  <w:rFonts w:ascii="Times New Roman PS Std;serif" w:hAnsi="Times New Roman PS Std;serif"/>
                  <w:b w:val="false"/>
                  <w:i w:val="false"/>
                  <w:caps w:val="false"/>
                  <w:smallCaps w:val="false"/>
                  <w:sz w:val="20"/>
                </w:rPr>
                <w:t>PROPOSAL 3 — AUTHORIZED SHARE PROPOSAL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606">
              <w:r>
                <w:rPr>
                  <w:rStyle w:val="InternetLink"/>
                  <w:rFonts w:ascii="Times New Roman PS Std;serif" w:hAnsi="Times New Roman PS Std;serif"/>
                  <w:b w:val="false"/>
                  <w:i w:val="false"/>
                  <w:caps/>
                  <w:sz w:val="20"/>
                </w:rPr>
                <w:t>PROPOSAL 4 — Opportunity Waiver Limitation Proposal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607">
              <w:r>
                <w:rPr>
                  <w:rStyle w:val="InternetLink"/>
                  <w:rFonts w:ascii="Times New Roman PS Std;serif" w:hAnsi="Times New Roman PS Std;serif"/>
                  <w:b w:val="false"/>
                  <w:i w:val="false"/>
                  <w:caps/>
                  <w:sz w:val="20"/>
                </w:rPr>
                <w:t>PROPOSAL 5 — Officer Exculpation Proposal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608">
              <w:r>
                <w:rPr>
                  <w:rStyle w:val="InternetLink"/>
                  <w:rFonts w:ascii="Times New Roman PS Std;serif" w:hAnsi="Times New Roman PS Std;serif"/>
                  <w:b w:val="false"/>
                  <w:i w:val="false"/>
                  <w:caps/>
                  <w:sz w:val="20"/>
                </w:rPr>
                <w:t>PROPOSAL 6 — 242(D) Proposal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609">
              <w:r>
                <w:rPr>
                  <w:rStyle w:val="InternetLink"/>
                  <w:rFonts w:ascii="Times New Roman PS Std;serif" w:hAnsi="Times New Roman PS Std;serif"/>
                  <w:b w:val="false"/>
                  <w:i w:val="false"/>
                  <w:caps/>
                  <w:sz w:val="20"/>
                </w:rPr>
                <w:t>PROPOSAL 7 — Stockholder Ratification Proposal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610">
              <w:r>
                <w:rPr>
                  <w:rStyle w:val="InternetLink"/>
                  <w:rFonts w:ascii="Times New Roman PS Std;serif" w:hAnsi="Times New Roman PS Std;serif"/>
                  <w:b w:val="false"/>
                  <w:i w:val="false"/>
                  <w:caps w:val="false"/>
                  <w:smallCaps w:val="false"/>
                  <w:sz w:val="20"/>
                </w:rPr>
                <w:t>OTHER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ANNUAL MEETING OF STOCKHOLDERS</w:t>
        <w:br/>
        <w:t>to be held virtually at 7:00 a.m. Pacific Time on Friday, May 23,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600"/>
      <w:bookmarkEnd w:id="3"/>
      <w:r>
        <w:rPr>
          <w:rFonts w:ascii="Times New Roman PS Std;serif" w:hAnsi="Times New Roman PS Std;serif"/>
          <w:b/>
          <w:i w:val="false"/>
          <w:caps w:val="false"/>
          <w:smallCaps w:val="false"/>
          <w:sz w:val="20"/>
        </w:rPr>
        <w:t>QUESTIONS AND ANSWERS ABOUT THESE PROXY MATERIALS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describes the proposals on which our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would like you, as a stockholder, to vote on at the 2025 Annual Meeting of Stockholders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to be held on a virtual basis on Friday, May 23, 2025 at 7:00 a.m. Pacific Time, and at any postponement(s) or adjournment(s) thereof. The proxy statement and other proxy materials were first sent or given to stockholders on or about April 28, 2025. This proxy statement gives you information on these proposals so that you can make an informed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proxy statement, we refer to SoundHound AI, Inc. as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w:t>
      </w:r>
      <w:r>
        <w:rPr>
          <w:rFonts w:ascii="Times New Roman PS Std;serif" w:hAnsi="Times New Roman PS Std;serif"/>
          <w:b w:val="false"/>
          <w:i w:val="false"/>
          <w:caps w:val="false"/>
          <w:smallCaps w:val="false"/>
          <w:sz w:val="20"/>
        </w:rPr>
        <w:t>r” or similar terminology.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along with the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this proxy statement, we have also sent or given to you:</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proxy card (if you are a stockholder of record) or a voting instruction form (if you are a beneficial owner of shares held in street name);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Annual Report on Form 10-K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the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owned shares of our Class A common stock, par value $0.0001 per share (the “</w:t>
      </w:r>
      <w:r>
        <w:rPr>
          <w:rFonts w:ascii="Times New Roman PS Std;serif" w:hAnsi="Times New Roman PS Std;serif"/>
          <w:b/>
          <w:i w:val="false"/>
          <w:caps w:val="false"/>
          <w:smallCaps w:val="false"/>
          <w:sz w:val="20"/>
        </w:rPr>
        <w:t>Class A Common Stock</w:t>
      </w:r>
      <w:r>
        <w:rPr>
          <w:rFonts w:ascii="Times New Roman PS Std;serif" w:hAnsi="Times New Roman PS Std;serif"/>
          <w:b w:val="false"/>
          <w:i w:val="false"/>
          <w:caps w:val="false"/>
          <w:smallCaps w:val="false"/>
          <w:sz w:val="20"/>
        </w:rPr>
        <w:t>”), or Class B common stock, par value $0.0001 per share (the “</w:t>
      </w:r>
      <w:r>
        <w:rPr>
          <w:rFonts w:ascii="Times New Roman PS Std;serif" w:hAnsi="Times New Roman PS Std;serif"/>
          <w:b/>
          <w:i w:val="false"/>
          <w:caps w:val="false"/>
          <w:smallCaps w:val="false"/>
          <w:sz w:val="20"/>
        </w:rPr>
        <w:t>Class B Common Stock</w:t>
      </w:r>
      <w:r>
        <w:rPr>
          <w:rFonts w:ascii="Times New Roman PS Std;serif" w:hAnsi="Times New Roman PS Std;serif"/>
          <w:b w:val="false"/>
          <w:i w:val="false"/>
          <w:caps w:val="false"/>
          <w:smallCaps w:val="false"/>
          <w:sz w:val="20"/>
        </w:rPr>
        <w:t>” and together with the Class A Common Stock, the “</w:t>
      </w:r>
      <w:r>
        <w:rPr>
          <w:rFonts w:ascii="Times New Roman PS Std;serif" w:hAnsi="Times New Roman PS Std;serif"/>
          <w:b/>
          <w:i w:val="false"/>
          <w:caps w:val="false"/>
          <w:smallCaps w:val="false"/>
          <w:sz w:val="20"/>
        </w:rPr>
        <w:t>Common Stock</w:t>
      </w:r>
      <w:r>
        <w:rPr>
          <w:rFonts w:ascii="Times New Roman PS Std;serif" w:hAnsi="Times New Roman PS Std;serif"/>
          <w:b w:val="false"/>
          <w:i w:val="false"/>
          <w:caps w:val="false"/>
          <w:smallCaps w:val="false"/>
          <w:sz w:val="20"/>
        </w:rPr>
        <w:t>”) on March 27, 2025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may vote at the Annual Meeting. There were 368,055,781 shares of Class A Common Stock outstanding on the Record Date, each having one vote per share, and there were 32,535,408 shares of Class B Common Stock outstanding on the Record Date, each having ten votes per share. All shares of Common Stock vote together as a single class. Accordingly, a total of 693,409,861 votes may be cast at the Annual Meeting. Information about the stockholdings of our directors and executive officers is contained in the section of this proxy statement entitled “Beneficial Ownership of Principal Stockholders, Officers and Directors” on page 34 of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card enables you to appoint Dr. Keyvan Mohajer, our Chief Executive Officer and a Director, Nitesh Sharan, our Chief Financial Officer, and Warren Heit, our general counsel, as your representatives at the Annual Meeting. By completing and returning the proxy card or voting online as described herein, you are authorizing Dr. Mohajer and Messrs. Sharan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being asked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Dr. Keyvan Mohajer, James Hom, Larry Marcus, Diana Sroka and Dr. Eric Ball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for a one-year term that expires at the 2026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PricewaterhouseCoopers LLP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December 31,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amendment to Section 4.1 of Article IV of the Company’s Second Amended and Restated Certificate of Incorporation (the “</w:t>
      </w:r>
      <w:r>
        <w:rPr>
          <w:rFonts w:ascii="Times New Roman PS Std;serif" w:hAnsi="Times New Roman PS Std;serif"/>
          <w:b/>
          <w:i w:val="false"/>
          <w:caps w:val="false"/>
          <w:smallCaps w:val="false"/>
          <w:sz w:val="20"/>
        </w:rPr>
        <w:t>Certificate of Incorporation</w:t>
      </w:r>
      <w:r>
        <w:rPr>
          <w:rFonts w:ascii="Times New Roman PS Std;serif" w:hAnsi="Times New Roman PS Std;serif"/>
          <w:b w:val="false"/>
          <w:i w:val="false"/>
          <w:caps w:val="false"/>
          <w:smallCaps w:val="false"/>
          <w:sz w:val="20"/>
        </w:rPr>
        <w:t>”) to increase the number of authorized shares of Class A Common Stock, $0.0001 par value per share, from 455,000,000 to 755,000,000 (the “</w:t>
      </w:r>
      <w:r>
        <w:rPr>
          <w:rFonts w:ascii="Times New Roman PS Std;serif" w:hAnsi="Times New Roman PS Std;serif"/>
          <w:b/>
          <w:i w:val="false"/>
          <w:caps w:val="false"/>
          <w:smallCaps w:val="false"/>
          <w:sz w:val="20"/>
        </w:rPr>
        <w:t>Authorized Share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amendment to Section 12.1 of Article XII of the Certificate of Incorporation regarding the waiver of corporate opportunities (the “</w:t>
      </w:r>
      <w:r>
        <w:rPr>
          <w:rFonts w:ascii="Times New Roman PS Std;serif" w:hAnsi="Times New Roman PS Std;serif"/>
          <w:b/>
          <w:i w:val="false"/>
          <w:caps w:val="false"/>
          <w:smallCaps w:val="false"/>
          <w:sz w:val="20"/>
        </w:rPr>
        <w:t>Opportunity Waiver Limitation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consider and vote upon an amendment to Article VIII of the Certificate of Incorporation to provide for officer exculpation (the “</w:t>
      </w:r>
      <w:r>
        <w:rPr>
          <w:rFonts w:ascii="Times New Roman PS Std;serif" w:hAnsi="Times New Roman PS Std;serif"/>
          <w:b/>
          <w:i w:val="false"/>
          <w:caps w:val="false"/>
          <w:smallCaps w:val="false"/>
          <w:sz w:val="20"/>
        </w:rPr>
        <w:t>Officer Exculpation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consider and vote upon amendments to Article IV and Article X of the Certificate of Incorporation to adjust the voting requirements for certain future amendments to the charter in accordance with recent amendments to Section 242(d) of the Delaware General Corporation Law (the “</w:t>
      </w:r>
      <w:r>
        <w:rPr>
          <w:rFonts w:ascii="Times New Roman PS Std;serif" w:hAnsi="Times New Roman PS Std;serif"/>
          <w:b/>
          <w:i w:val="false"/>
          <w:caps w:val="false"/>
          <w:smallCaps w:val="false"/>
          <w:sz w:val="20"/>
        </w:rPr>
        <w:t>242(d)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consider and vote upon an amendment to Section 5.2 of Article V of the Certificate of Incorporation to remove subsection 5.2.2 relating to the ratification of contracts and acts by stockholders (the “</w:t>
      </w:r>
      <w:r>
        <w:rPr>
          <w:rFonts w:ascii="Times New Roman PS Std;serif" w:hAnsi="Times New Roman PS Std;serif"/>
          <w:b/>
          <w:i w:val="false"/>
          <w:caps w:val="false"/>
          <w:smallCaps w:val="false"/>
          <w:sz w:val="20"/>
        </w:rPr>
        <w:t>Stockholder Ratification Proposal</w:t>
      </w:r>
      <w:r>
        <w:rPr>
          <w:rFonts w:ascii="Times New Roman PS Std;serif" w:hAnsi="Times New Roman PS Std;serif"/>
          <w:b w:val="false"/>
          <w:i w:val="false"/>
          <w:caps w:val="false"/>
          <w:smallCaps w:val="false"/>
          <w:sz w:val="20"/>
        </w:rPr>
        <w:t>” and collectively, with the Authorized Share Proposal, Opportunity Waiver Limitation Proposal, Officer Exculpation Proposal and 242(d) Proposal, the “Charter Amendment Proposals”);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recommend that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unanimously recommends that the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all of the Director Nominees,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the Auditor as the Company’s independent registered public accounting firm for the fiscal year ending December 31, 2025,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Authorized Share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Opportunity Waiver Limitation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Officer Exculpation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242(d) Proposal, and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Stockholder Ratification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my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card; have your proxy card in hand as you will be prompted to enter your control number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caps w:val="false"/>
          <w:smallCaps w:val="false"/>
          <w:sz w:val="20"/>
        </w:rPr>
        <w:t>In person on a virtual basis</w:t>
      </w:r>
      <w:r>
        <w:rPr>
          <w:rFonts w:ascii="Times New Roman PS Std;serif" w:hAnsi="Times New Roman PS Std;serif"/>
          <w:b w:val="false"/>
          <w:i w:val="false"/>
          <w:caps w:val="false"/>
          <w:smallCaps w:val="false"/>
          <w:sz w:val="20"/>
        </w:rPr>
        <w:t>.    You may vote at the Annual Meeting by following the instructions when you log-in for the Annual Meeting. Have your proxy card in hand as you will be prompted to enter your control number to vote at the Annual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received printed copies of the proxy materials by mail and 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change my mind after I return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and change your vote at any time before the polls close at the Annual Meeting. You may do this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to Warren Heit, our General Counsel, stating that you would like to revoke your proxy of a particular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another proxy card with a later date and returning it before the polls close at the Annual Meeting;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 sign and return my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and the Authorized Share Proposal, absent instructions from you. However, due to voting rules that may prevent your bank or broker from voting your uninstructed shares on a discretionary basis in the election of directors, the Opportunity Waiver Limitation Proposal, the Officer Exculpation Proposal, the 242(d) Proposal, and the Stockholder Ratification Proposal and other non-routine matters, it is important that you cast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I vote with respect to each proposal and how are votes counted?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each of proposals 2, 3, 4, 5, 6 and 7, you may vote “for” or “against” such proposal or you may “abstain” from casting a vote on such proposal. Abstentions, votes marked “withheld” and broker non-votes will be counted for the purpose of determining whether a quorum is present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on a matter when a broker is not permitted to vote on that matter without instructions from the beneficial owner and instructions are not given. These matters are referred to as “non-routine” matters. The election of the directors, the Opportunity Waiver Limitation Proposal, the Officer Exculpation Proposal, the 242(d) Proposal, and the Stockholder Ratification Proposal are each “non-routine.” Thus, in tabulating the voting result for these proposals, shares that constitute broker non-votes are not considered votes cast on that proposal. The ratification of the appointment of the Auditor and the Authorized Share Proposal are “routine” matters and therefore a broker may vote on these matters without instructions from the beneficial owner as long as instructions are not given.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elect the Director Nominees as directors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ratify the Company’s independent public accountants?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Common Stock represented and entitled to vote at the Annual Meeting is required to ratify the Auditor as our independent registered public accounting firm for the year ending December 31, 2025. Abstentions will have the effect of a vote against the ratification of this proposal, but since this is a routine matter, brokers may vote at the Annual Meeting on this proposal provided that they have not received instructions from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the Authorized Share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the Opportunity Waiver Limitation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the Officer Exculpation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the 242(d)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the Stockholder Ratification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Stockholder Ratification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don’t indicate how to vote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just sign your proxy card without providing further instructions, your shares will be counted as a “for” vote for all of the Director Nominees,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 my vote kept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do I find the voting results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announce voting results at the Annual Meeting and will file a Current Report on Form 8-K announcing the voting results of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my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bears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601"/>
      <w:bookmarkEnd w:id="4"/>
      <w:r>
        <w:rPr>
          <w:rFonts w:ascii="Times New Roman PS Std;serif" w:hAnsi="Times New Roman PS Std;serif"/>
          <w:b/>
          <w:i w:val="false"/>
          <w:caps w:val="false"/>
          <w:smallCaps w:val="false"/>
          <w:sz w:val="20"/>
        </w:rPr>
        <w:t>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being furnished to you, as a stockholder of SoundHound AI, Inc., as part of the solicitation of proxies by our Board for use at the Annual Meeting to be held on May 23, 2025, and any adjournment or postponement thereof. This proxy statement is first being furnished to stockholders on or about April 18, 2025. This proxy statement provides you with information you need to know to be able to vote or instruct your proxy how to vote at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Date, Time, Place of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Meeting will be held on a virtual basis on Friday, May 23, 2025 at 7:00 a.m. Pacific Time, or such other date, time and place to which the Annual Meeting may be adjourned or postponed.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 of the Annual Meeting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the Company will ask stockholders to consider and vote upon the following proposals: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Director Nominees to serve on the Board for a one-year term that expires at the 2026 Annual Meeting of Stockholders, or until their successors are elected and qualified;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PricewaterhouseCoopers LLP as the Company’s independent registered public accounting firm for the fiscal year ending December 31, 2025;</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amendment to Section 4.1 of Article IV of the Company’s Certificate of Incorporation to increase the number of authorized shares of Class A Common Stock, $0.0001 par value per share, from 455,000,000 to 755,000,000;</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amendment to Section 12.1 of Article XII of the Certificate of Incorporation regarding the waiver of corporate opportunities;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consider and vote upon an amendment to Article VIII of the Certificate of Incorporation to provide for officer exculpation;</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consider and vote upon amendments to Article IV and Article X of the Certificate of Incorporation to adjust the voting requirements for certain future amendments to the charter in accordance with recent amendments to Section 242(d) of the Delaware General Corporation Law;</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consider and vote upon an amendment to Section 5.2 of Article V of the Certificate of Incorporation to remove subsection 5.2.2 relating to the ratification of contracts and acts by stockholders; and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of each nominee for director, the Board has unanimously determined to recommend that stockholders vote “FOR” each of the Director Nominees,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Record Date and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fixed the close of business on March 27, 2025, as the record date for the determination of the outstanding shares of Common Stock entitled to notice of, and to vote on, the matters presented at the Annual Meeting. As of the Record Date, there were an aggregate of 400,591,189 shares of Common Stock outstanding, consisting of 368,055,781 shares of Class A Common Stock and 32,535,408 shares of Class B Common Stock. Each share of Class A Common Stock entitles the holder thereof to one vote and each share of Class B Common Stock entitles the holder thereof to ten votes. All shares of Common Stock vote together as a single class. Accordingly, a total of 693,409,861 votes may be cast at the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Quorum and 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Common Stock represented and entitled to vote at the Annual Meeting is required to ratify the Auditor as our independent registered public accounting firm for the year ending December 31, 2025. Abstentions will have the effect of a vote against the ratification of the appointment of the Auditor. Brokers may use their discretion to vote shares held by them of record for this proposal if they have not been provided with voting instructions from the beneficial owner of the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Stockholder Ratification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card; have your proxy card in hand as you will be prompted to enter your control number and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caps w:val="false"/>
          <w:smallCaps w:val="false"/>
          <w:sz w:val="20"/>
        </w:rPr>
        <w:t>In person on a virtual basis</w:t>
      </w:r>
      <w:r>
        <w:rPr>
          <w:rFonts w:ascii="Times New Roman PS Std;serif" w:hAnsi="Times New Roman PS Std;serif"/>
          <w:b w:val="false"/>
          <w:i w:val="false"/>
          <w:caps w:val="false"/>
          <w:smallCaps w:val="false"/>
          <w:sz w:val="20"/>
        </w:rPr>
        <w:t>.    You may vote at the Annual Meeting by following the instructions when you log-in for the Annual Meeting. Have your proxy card in hand as you will be prompted to enter your control number to vote at the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received printed copies of the proxy materials by mail and 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Delaware law, our Certificate of Incorporation, or our Amended and Restated Bylaws (the “</w:t>
      </w:r>
      <w:r>
        <w:rPr>
          <w:rFonts w:ascii="Times New Roman PS Std;serif" w:hAnsi="Times New Roman PS Std;serif"/>
          <w:b/>
          <w:i w:val="false"/>
          <w:caps w:val="false"/>
          <w:smallCaps w:val="false"/>
          <w:sz w:val="20"/>
        </w:rPr>
        <w:t>Bylaws</w:t>
      </w:r>
      <w:r>
        <w:rPr>
          <w:rFonts w:ascii="Times New Roman PS Std;serif" w:hAnsi="Times New Roman PS Std;serif"/>
          <w:b w:val="false"/>
          <w:i w:val="false"/>
          <w:caps w:val="false"/>
          <w:smallCaps w:val="false"/>
          <w:sz w:val="20"/>
        </w:rPr>
        <w:t>”) provides for appraisal or other similar rights for dissenting stockholders in connection with any of the proposals to be voted upon at this Annual Meeting. Accordingly, our stockholders will have no right to dissent and obtain payment for their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Who Can Answer Your Questions About Voting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Principal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executive offices of the Company are located at 5400 Betsy Ross Drive, Santa Clara, CA, 95054. The Company’s telephone number at such address is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ANNUAL MEETING. THE BOARD UNANIMOUSLY RECOM</w:t>
      </w:r>
      <w:r>
        <w:rPr>
          <w:rFonts w:ascii="Times New Roman PS Std;serif" w:hAnsi="Times New Roman PS Std;serif"/>
          <w:b/>
          <w:i w:val="false"/>
          <w:caps/>
          <w:sz w:val="20"/>
        </w:rPr>
        <w:t>MENDS A VOTE “FOR” the ELECTION of each director nominee,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r>
        <w:rPr>
          <w:rFonts w:ascii="Times New Roman PS Std;serif" w:hAnsi="Times New Roman PS Std;serif"/>
          <w:b/>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603"/>
      <w:bookmarkEnd w:id="5"/>
      <w:r>
        <w:rPr>
          <w:rFonts w:ascii="Times New Roman PS Std;serif" w:hAnsi="Times New Roman PS Std;serif"/>
          <w:b/>
          <w:i w:val="false"/>
          <w:caps w:val="false"/>
          <w:smallCaps w:val="false"/>
          <w:sz w:val="20"/>
        </w:rPr>
        <w:t>PROPOSAL 1</w:t>
        <w:br/>
        <w:t>ELECTION OF DIRECTORS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nominated the Director Nominees to stand for election at the Annual Meeting. Stockholders will be asked to elect each of the Director Nominees, each to hold office until the 2026 Annual Meeting of Stockholders or until his or her successor is elected and qualified. The enclosed proxy, if returned, and unless indicated to the contrary, will be voted for the election of each of the 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Qualifications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the biographical background information for all of our 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Keyvan Mohajer.    </w:t>
      </w:r>
      <w:r>
        <w:rPr>
          <w:rFonts w:ascii="Times New Roman PS Std;serif" w:hAnsi="Times New Roman PS Std;serif"/>
          <w:b w:val="false"/>
          <w:i w:val="false"/>
          <w:caps w:val="false"/>
          <w:smallCaps w:val="false"/>
          <w:sz w:val="20"/>
        </w:rPr>
        <w:t>Dr. Keyvan Mohajer has been our Chief Executive Officer and a member of the Board since the consummation of the merger consummated pursuant to that certain Merger Agreement, dated as of November 15, 2021, as amended and supplemented, by and among Archimedes Tech SPAC Partners Co., ATSPC Merger Sub and SoundHound, Inc. (“</w:t>
      </w:r>
      <w:r>
        <w:rPr>
          <w:rFonts w:ascii="Times New Roman PS Std;serif" w:hAnsi="Times New Roman PS Std;serif"/>
          <w:b/>
          <w:i w:val="false"/>
          <w:caps w:val="false"/>
          <w:smallCaps w:val="false"/>
          <w:sz w:val="20"/>
        </w:rPr>
        <w:t>Legacy SoundHound</w:t>
      </w:r>
      <w:r>
        <w:rPr>
          <w:rFonts w:ascii="Times New Roman PS Std;serif" w:hAnsi="Times New Roman PS Std;serif"/>
          <w:b w:val="false"/>
          <w:i w:val="false"/>
          <w:caps w:val="false"/>
          <w:smallCaps w:val="false"/>
          <w:sz w:val="20"/>
        </w:rPr>
        <w:t>”) in April 2022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Dr. Mohajer has served as Legacy SoundHound’s Chief Executive Officer and a member of Legacy SoundHound’s Board of Directors (the “</w:t>
      </w:r>
      <w:r>
        <w:rPr>
          <w:rFonts w:ascii="Times New Roman PS Std;serif" w:hAnsi="Times New Roman PS Std;serif"/>
          <w:b/>
          <w:i w:val="false"/>
          <w:caps w:val="false"/>
          <w:smallCaps w:val="false"/>
          <w:sz w:val="20"/>
        </w:rPr>
        <w:t>Legacy SoundHound Board</w:t>
      </w:r>
      <w:r>
        <w:rPr>
          <w:rFonts w:ascii="Times New Roman PS Std;serif" w:hAnsi="Times New Roman PS Std;serif"/>
          <w:b w:val="false"/>
          <w:i w:val="false"/>
          <w:caps w:val="false"/>
          <w:smallCaps w:val="false"/>
          <w:sz w:val="20"/>
        </w:rPr>
        <w:t>”) since 2005, when he co-founded Legacy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James Hom.    </w:t>
      </w:r>
      <w:r>
        <w:rPr>
          <w:rFonts w:ascii="Times New Roman PS Std;serif" w:hAnsi="Times New Roman PS Std;serif"/>
          <w:b w:val="false"/>
          <w:i w:val="false"/>
          <w:caps w:val="false"/>
          <w:smallCaps w:val="false"/>
          <w:sz w:val="20"/>
        </w:rPr>
        <w:t xml:space="preserve">James Hom has been a member of the Board and Chief Product Officer since the consummation of the Business Combination in April 2022. Mr. Hom, one of SoundHound’s co-founders, has served as Vice President of Products and the Chief Product Officer and a member of the Legacy SoundHound Board since 2006. As Chief Product Officer, Mr. Hom leads product development and advancement of SoundHound’s Voice AI platform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Larry Marcus.    </w:t>
      </w:r>
      <w:r>
        <w:rPr>
          <w:rFonts w:ascii="Times New Roman PS Std;serif" w:hAnsi="Times New Roman PS Std;serif"/>
          <w:b w:val="false"/>
          <w:i w:val="false"/>
          <w:caps w:val="false"/>
          <w:smallCaps w:val="false"/>
          <w:sz w:val="20"/>
        </w:rPr>
        <w:t>Larry Marcus has been a member of the Board since the consummation of the Business 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He is also a Co-Founder and Managing Partner at MarcyPen Capital Partners, a private equity firm involved in venture capital investments, since September 2024.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he has extensive knowledge of the Company’s business, and also because of this significant venture capital and finance experience.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Diana Sroka.    </w:t>
      </w:r>
      <w:r>
        <w:rPr>
          <w:rFonts w:ascii="Times New Roman PS Std;serif" w:hAnsi="Times New Roman PS Std;serif"/>
          <w:b w:val="false"/>
          <w:i w:val="false"/>
          <w:caps w:val="false"/>
          <w:smallCaps w:val="false"/>
          <w:sz w:val="20"/>
        </w:rPr>
        <w:t>Diana Sroka has been a member of the Board since the consummation of the Business Combination in April 2022. In 2001, Ms. Sroka joined HP Inc. (“</w:t>
      </w:r>
      <w:r>
        <w:rPr>
          <w:rFonts w:ascii="Times New Roman PS Std;serif" w:hAnsi="Times New Roman PS Std;serif"/>
          <w:b/>
          <w:i w:val="false"/>
          <w:caps w:val="false"/>
          <w:smallCaps w:val="false"/>
          <w:sz w:val="20"/>
        </w:rPr>
        <w:t>HP</w:t>
      </w:r>
      <w:r>
        <w:rPr>
          <w:rFonts w:ascii="Times New Roman PS Std;serif" w:hAnsi="Times New Roman PS Std;serif"/>
          <w:b w:val="false"/>
          <w:i w:val="false"/>
          <w:caps w:val="false"/>
          <w:smallCaps w:val="false"/>
          <w:sz w:val="20"/>
        </w:rPr>
        <w:t>”)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was elected as the Treasurer of the Executive Committee in July 2023 and elected as President and Chair in September 2024.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Eric R. Ball.    </w:t>
      </w:r>
      <w:r>
        <w:rPr>
          <w:rFonts w:ascii="Times New Roman PS Std;serif" w:hAnsi="Times New Roman PS Std;serif"/>
          <w:b w:val="false"/>
          <w:i w:val="false"/>
          <w:caps w:val="false"/>
          <w:smallCaps w:val="false"/>
          <w:sz w:val="20"/>
        </w:rPr>
        <w:t>Dr. Eric R. Ball has been a member of our Board since the Company’s initial public offering in March 2021 and remained on the Board following the Business Combination. He has served as chairman of the board of Archimedes Tech SPAC II (Nasdaq: ATIIU), a special purpose acquisition company, since February 2025.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acquisitions, investing and public company experience in the technology industry.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foregoing, we believe that each of the Director Nominees that is nominated for reelection is well-qualified to serve as a member of our Board due to their prior experience and work with and on our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five persons receiving the highest number of affirmative votes cast at the Annual Meeting will be elected.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ELECTION OF EACH OF THE NOMINEES FOR DIRECTOR.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DIRECTORS, AND CORPORATE GOVERNANCE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Listed below are the names of the current directors and executive officers of the Company, their ages and positions held as of the Record Date and biographies if not disclosed above:</w:t>
      </w:r>
    </w:p>
    <w:tbl>
      <w:tblPr>
        <w:tblW w:w="9175" w:type="dxa"/>
        <w:jc w:val="left"/>
        <w:tblInd w:w="0" w:type="dxa"/>
        <w:tblLayout w:type="fixed"/>
        <w:tblCellMar>
          <w:top w:w="0" w:type="dxa"/>
          <w:left w:w="0" w:type="dxa"/>
          <w:bottom w:w="0" w:type="dxa"/>
          <w:right w:w="0" w:type="dxa"/>
        </w:tblCellMar>
      </w:tblPr>
      <w:tblGrid>
        <w:gridCol w:w="2266"/>
        <w:gridCol w:w="146"/>
        <w:gridCol w:w="496"/>
        <w:gridCol w:w="146"/>
        <w:gridCol w:w="6121"/>
      </w:tblGrid>
      <w:tr>
        <w:trPr/>
        <w:tc>
          <w:tcPr>
            <w:tcW w:w="22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the Company</w:t>
            </w:r>
          </w:p>
        </w:tc>
      </w:tr>
      <w:tr>
        <w:trPr/>
        <w:tc>
          <w:tcPr>
            <w:tcW w:w="226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Executive Officer</w:t>
            </w:r>
          </w:p>
        </w:tc>
      </w:tr>
      <w:tr>
        <w:trPr/>
        <w:tc>
          <w:tcPr>
            <w:tcW w:w="226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Product Office</w:t>
            </w:r>
          </w:p>
        </w:tc>
      </w:tr>
      <w:tr>
        <w:trPr/>
        <w:tc>
          <w:tcPr>
            <w:tcW w:w="226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6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6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6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Majid Emami</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Science Office and Senior Vice President of Engineering</w:t>
            </w:r>
          </w:p>
        </w:tc>
      </w:tr>
      <w:tr>
        <w:trPr/>
        <w:tc>
          <w:tcPr>
            <w:tcW w:w="226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26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tcPr>
          <w:p>
            <w:pPr>
              <w:pStyle w:val="TableContents"/>
              <w:bidi w:val="0"/>
              <w:spacing w:before="0" w:after="283"/>
              <w:jc w:val="left"/>
              <w:rPr/>
            </w:pPr>
            <w:r>
              <w:rPr/>
              <w:t> </w:t>
            </w:r>
          </w:p>
        </w:tc>
        <w:tc>
          <w:tcPr>
            <w:tcW w:w="61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26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612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Corporate Governance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oversees the activities of our management in the handling of the business and affairs of our company. Our Class A Common Stock trades on the Nasdaq Global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Board in Risk Oversight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a number of risks, including those described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contained in Annual Report on Form 10-K.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Committees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PS Std;serif" w:hAnsi="Times New Roman PS Std;serif"/>
          <w:b w:val="false"/>
          <w:i/>
          <w:caps w:val="false"/>
          <w:smallCaps w:val="false"/>
          <w:sz w:val="20"/>
        </w:rPr>
        <w:t>investors.soundhound.com/corporate-governance/documents-charters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oversees our corporate accounting, financial reporting practices and the audits of financial statements. For this purpose, the Audit Committee has a charter (which is reviewed annually) and performs several functions.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evaluates the independence and performance of, and assesses the qualifications of, our independent auditor and engages such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approves the plan and fees for the annual audit, quarterly reviews, tax and other audit-related services and approves in advance any non-audit service and fees therefor to be provided by the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monitors the independence of the independent auditor and the rotation of partners of the independent auditor on our engagement team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oversees all aspects of our systems of internal accounting and financial reporting control and corporate governance functions on behalf of the board;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also oversees risks from cybersecurity threats as part of its broader risk oversight responsibilities. The Board recognizes the importance of cybersecurity in safeguarding the Company’s assets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 entitled “</w:t>
      </w:r>
      <w:r>
        <w:rPr>
          <w:rFonts w:ascii="Times New Roman PS Std;serif" w:hAnsi="Times New Roman PS Std;serif"/>
          <w:b w:val="false"/>
          <w:i/>
          <w:caps w:val="false"/>
          <w:smallCaps w:val="false"/>
          <w:sz w:val="20"/>
        </w:rPr>
        <w:t>Audit Committee Report</w:t>
      </w:r>
      <w:r>
        <w:rPr>
          <w:rFonts w:ascii="Times New Roman PS Std;serif" w:hAnsi="Times New Roman PS Std;serif"/>
          <w:b w:val="false"/>
          <w:i w:val="false"/>
          <w:caps w:val="false"/>
          <w:smallCaps w:val="false"/>
          <w:sz w:val="20"/>
        </w:rPr>
        <w:t>” for further matters related to the Audit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 entitled “</w:t>
      </w:r>
      <w:r>
        <w:rPr>
          <w:rFonts w:ascii="Times New Roman PS Std;serif" w:hAnsi="Times New Roman PS Std;serif"/>
          <w:b w:val="false"/>
          <w:i/>
          <w:caps w:val="false"/>
          <w:smallCaps w:val="false"/>
          <w:sz w:val="20"/>
        </w:rPr>
        <w:t>Compensation Committee Report</w:t>
      </w:r>
      <w:r>
        <w:rPr>
          <w:rFonts w:ascii="Times New Roman PS Std;serif" w:hAnsi="Times New Roman PS Std;serif"/>
          <w:b w:val="false"/>
          <w:i w:val="false"/>
          <w:caps w:val="false"/>
          <w:smallCaps w:val="false"/>
          <w:sz w:val="20"/>
        </w:rPr>
        <w:t>” for further matters related to the Compensation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four (4) meetings, exclusive of action by unanimous written consent, of the Board held during fiscal year 2024. Each of our directors attended all of the meetings of the Board held during fiscal year 2024, while such director was a member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six (6) meetings, exclusive of action by unanimous written consent, of the Audit Committee held during fiscal year 2024. Each of the committee members attended all of the meetings of the Audit Committee held during fiscal year 2024, while such committee member served on the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four (4) meetings, exclusive of action by unanimous written consent, of the Compensation Committee held during fiscal year 2024. Each of the committee members attended all of the meetings of the Compensation Committee held during fiscal year 2024, while such committee member served on the 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four (4) meetings, exclusive of action by unanimous written consent, of the Nominating and Corporate Governance Committee held during fiscal year 2024. Each of the committee members attended all of the meetings of the Nominating and Corporate Governance Committee held during fiscal year 2024, while such committee member served on the Nominating and Corporate Governance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Attendance at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formal policy regarding the attendance of our Board members at our annual meetings of stockholders, but we expect all directors to make every effort to attend any meeting of stockholders.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w:t>
      </w:r>
      <w:r>
        <w:rPr>
          <w:rFonts w:ascii="Times New Roman PS Std;serif" w:hAnsi="Times New Roman PS Std;serif"/>
          <w:b w:val="false"/>
          <w:i/>
          <w:caps w:val="false"/>
          <w:smallCaps w:val="false"/>
          <w:sz w:val="20"/>
        </w:rPr>
        <w:t>Certain Relationships and Related Transactions, and Director Independence</w:t>
      </w:r>
      <w:r>
        <w:rPr>
          <w:rFonts w:ascii="Times New Roman PS Std;serif" w:hAnsi="Times New Roman PS Std;serif"/>
          <w:b w:val="false"/>
          <w:i w:val="false"/>
          <w:caps w:val="false"/>
          <w:smallCaps w:val="false"/>
          <w:sz w:val="20"/>
        </w:rPr>
        <w:t>” for information about related party transactions involving members of our Compensation Committee or their affiliates.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Insider Trading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Section 16(a) Beneficial Ownership Reporting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the Board, which is comprised solely of independent directors within the meaning of applicable rules of Nasdaq, outside directors within the meaning of Section 162(m) of the Internal Revenue Code of 1986, as amended (the “</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and non-employee directors within the meaning of Rule 16b-3 under the Exchange Act, is responsible for developing executive compensation policies and advising the Board with respect to such policies and administering the Company’s cash and equity incentive plans. The Compensation Committee sets performance goals and objectives for the CEO and the other executive officers, evaluates their performance with respect to those goals and sets their compensation based upon the evaluation of their performance. In evaluating executive officer pay, the Compensation Committee may retain the services of a compensation consultant and consider recommendations from the CEO with respect to goals and compensation of the other executive officers. The Compensation Committee assesses the information it receives in accordance with its business judgment. The Compensation Committee also periodically reviews non-employee director compensation. All decisions with respect to executive compensation are approved by the Compensation Committee and all decisions with respect to director compensation are recommended by the Compensation Committee to the full Board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Respectfully submitted by the Compensation Committee:</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 Chair</w:t>
        <w:br/>
        <w:t>Dr. Eric Ball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Discussion and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discussion and analysis (“</w:t>
      </w:r>
      <w:r>
        <w:rPr>
          <w:rFonts w:ascii="Times New Roman PS Std;serif" w:hAnsi="Times New Roman PS Std;serif"/>
          <w:b/>
          <w:i w:val="false"/>
          <w:caps w:val="false"/>
          <w:smallCaps w:val="false"/>
          <w:sz w:val="20"/>
        </w:rPr>
        <w:t>CD&amp;A</w:t>
      </w:r>
      <w:r>
        <w:rPr>
          <w:rFonts w:ascii="Times New Roman PS Std;serif" w:hAnsi="Times New Roman PS Std;serif"/>
          <w:b w:val="false"/>
          <w:i w:val="false"/>
          <w:caps w:val="false"/>
          <w:smallCaps w:val="false"/>
          <w:sz w:val="20"/>
        </w:rPr>
        <w:t>”) describes our executive-compensation philosophy and program as reported in the executive compensation tables that follow, which provide information relating primarily to compensation decisions for the following 2024 named executive officers (“</w:t>
      </w:r>
      <w:r>
        <w:rPr>
          <w:rFonts w:ascii="Times New Roman PS Std;serif" w:hAnsi="Times New Roman PS Std;serif"/>
          <w:b/>
          <w:i w:val="false"/>
          <w:caps w:val="false"/>
          <w:smallCaps w:val="false"/>
          <w:sz w:val="20"/>
        </w:rPr>
        <w:t>NEOs</w:t>
      </w:r>
      <w:r>
        <w:rPr>
          <w:rFonts w:ascii="Times New Roman PS Std;serif" w:hAnsi="Times New Roman PS Std;serif"/>
          <w:b w:val="false"/>
          <w:i w:val="false"/>
          <w:caps w:val="false"/>
          <w:smallCaps w:val="false"/>
          <w:sz w:val="20"/>
        </w:rPr>
        <w:t>”) of the Company:</w:t>
      </w:r>
    </w:p>
    <w:tbl>
      <w:tblPr>
        <w:tblW w:w="6448" w:type="dxa"/>
        <w:jc w:val="left"/>
        <w:tblInd w:w="0" w:type="dxa"/>
        <w:tblLayout w:type="fixed"/>
        <w:tblCellMar>
          <w:top w:w="0" w:type="dxa"/>
          <w:left w:w="0" w:type="dxa"/>
          <w:bottom w:w="0" w:type="dxa"/>
          <w:right w:w="0" w:type="dxa"/>
        </w:tblCellMar>
      </w:tblPr>
      <w:tblGrid>
        <w:gridCol w:w="2731"/>
        <w:gridCol w:w="146"/>
        <w:gridCol w:w="357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5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the Company</w:t>
            </w:r>
          </w:p>
        </w:tc>
      </w:tr>
      <w:tr>
        <w:trPr/>
        <w:tc>
          <w:tcPr>
            <w:tcW w:w="27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tcPr>
          <w:p>
            <w:pPr>
              <w:pStyle w:val="TableContents"/>
              <w:bidi w:val="0"/>
              <w:spacing w:before="0" w:after="283"/>
              <w:jc w:val="left"/>
              <w:rPr/>
            </w:pPr>
            <w:r>
              <w:rPr/>
              <w:t> </w:t>
            </w:r>
          </w:p>
        </w:tc>
        <w:tc>
          <w:tcPr>
            <w:tcW w:w="3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&amp; Chief Executive Officer</w:t>
            </w:r>
          </w:p>
        </w:tc>
      </w:tr>
      <w:tr>
        <w:trPr/>
        <w:tc>
          <w:tcPr>
            <w:tcW w:w="27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tcPr>
          <w:p>
            <w:pPr>
              <w:pStyle w:val="TableContents"/>
              <w:bidi w:val="0"/>
              <w:spacing w:before="0" w:after="283"/>
              <w:jc w:val="left"/>
              <w:rPr/>
            </w:pPr>
            <w:r>
              <w:rPr/>
              <w:t> </w:t>
            </w:r>
          </w:p>
        </w:tc>
        <w:tc>
          <w:tcPr>
            <w:tcW w:w="3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7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tcPr>
          <w:p>
            <w:pPr>
              <w:pStyle w:val="TableContents"/>
              <w:bidi w:val="0"/>
              <w:spacing w:before="0" w:after="283"/>
              <w:jc w:val="left"/>
              <w:rPr/>
            </w:pPr>
            <w:r>
              <w:rPr/>
              <w:t> </w:t>
            </w:r>
          </w:p>
        </w:tc>
        <w:tc>
          <w:tcPr>
            <w:tcW w:w="3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7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 CTO</w:t>
            </w:r>
          </w:p>
        </w:tc>
        <w:tc>
          <w:tcPr>
            <w:tcW w:w="146" w:type="dxa"/>
            <w:tcBorders/>
          </w:tcPr>
          <w:p>
            <w:pPr>
              <w:pStyle w:val="TableContents"/>
              <w:bidi w:val="0"/>
              <w:spacing w:before="0" w:after="283"/>
              <w:jc w:val="left"/>
              <w:rPr/>
            </w:pPr>
            <w:r>
              <w:rPr/>
              <w:t> </w:t>
            </w:r>
          </w:p>
        </w:tc>
        <w:tc>
          <w:tcPr>
            <w:tcW w:w="3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7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 CPO</w:t>
            </w:r>
          </w:p>
        </w:tc>
        <w:tc>
          <w:tcPr>
            <w:tcW w:w="146" w:type="dxa"/>
            <w:tcBorders/>
          </w:tcPr>
          <w:p>
            <w:pPr>
              <w:pStyle w:val="TableContents"/>
              <w:bidi w:val="0"/>
              <w:spacing w:before="0" w:after="283"/>
              <w:jc w:val="left"/>
              <w:rPr/>
            </w:pPr>
            <w:r>
              <w:rPr/>
              <w:t> </w:t>
            </w:r>
          </w:p>
        </w:tc>
        <w:tc>
          <w:tcPr>
            <w:tcW w:w="35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Product Officer</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Philosophy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designed our executive compensation programs to support the goals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and retain talent that can help us scale as a newly public company and beyond;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and substantially link rewards to measurable corporate and individual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Reinforce alignment of executives with the goal of creating long-term shareholder value;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Start low and grow in progressing overall compensation package value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incentives for NEOs are emphasized more in our executives’ total compensation packages.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 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determined that the structure of our executive compensation policies continues to be appropriately aligned to the achievement of Company goals and objectives and the best interests of shareholders. Corporate performance is taken into account in setting compensation policies and making decisions, which include, but are not limited to, revenue, profitability, and annual recurring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Governance and Best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including strong governance standards in our compensation programs. Our key compensation practices include the following:</w:t>
      </w:r>
    </w:p>
    <w:tbl>
      <w:tblPr>
        <w:tblW w:w="10205" w:type="dxa"/>
        <w:jc w:val="left"/>
        <w:tblInd w:w="0" w:type="dxa"/>
        <w:tblLayout w:type="fixed"/>
        <w:tblCellMar>
          <w:top w:w="0" w:type="dxa"/>
          <w:left w:w="0" w:type="dxa"/>
          <w:bottom w:w="0" w:type="dxa"/>
          <w:right w:w="0" w:type="dxa"/>
        </w:tblCellMar>
      </w:tblPr>
      <w:tblGrid>
        <w:gridCol w:w="331"/>
        <w:gridCol w:w="146"/>
        <w:gridCol w:w="5484"/>
        <w:gridCol w:w="146"/>
        <w:gridCol w:w="316"/>
        <w:gridCol w:w="146"/>
        <w:gridCol w:w="3636"/>
      </w:tblGrid>
      <w:tr>
        <w:trPr/>
        <w:tc>
          <w:tcPr>
            <w:tcW w:w="59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w:t>
            </w:r>
          </w:p>
        </w:tc>
        <w:tc>
          <w:tcPr>
            <w:tcW w:w="146" w:type="dxa"/>
            <w:tcBorders/>
            <w:vAlign w:val="bottom"/>
          </w:tcPr>
          <w:p>
            <w:pPr>
              <w:pStyle w:val="TableContents"/>
              <w:bidi w:val="0"/>
              <w:spacing w:before="0" w:after="283"/>
              <w:jc w:val="left"/>
              <w:rPr/>
            </w:pPr>
            <w:r>
              <w:rPr/>
              <w:t> </w:t>
            </w:r>
          </w:p>
        </w:tc>
        <w:tc>
          <w:tcPr>
            <w:tcW w:w="40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 Not Do</w:t>
            </w:r>
          </w:p>
        </w:tc>
      </w:tr>
      <w:tr>
        <w:trPr/>
        <w:tc>
          <w:tcPr>
            <w:tcW w:w="331" w:type="dxa"/>
            <w:tcBorders/>
          </w:tcPr>
          <w:p>
            <w:pPr>
              <w:pStyle w:val="TableContents"/>
              <w:keepNext w:val="false"/>
              <w:widowControl/>
              <w:pBdr/>
              <w:bidi w:val="0"/>
              <w:spacing w:before="0" w:after="12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548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Prioritize performance-based, at-risk compensation</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36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 significant perquisites</w:t>
            </w:r>
          </w:p>
        </w:tc>
      </w:tr>
      <w:tr>
        <w:trPr/>
        <w:tc>
          <w:tcPr>
            <w:tcW w:w="331" w:type="dxa"/>
            <w:tcBorders/>
          </w:tcPr>
          <w:p>
            <w:pPr>
              <w:pStyle w:val="TableContents"/>
              <w:keepNext w:val="false"/>
              <w:widowControl/>
              <w:pBdr/>
              <w:bidi w:val="0"/>
              <w:spacing w:before="160" w:after="12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Emphasize equity compensation to promote executive retention</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363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 hedging or pledging of our stock</w:t>
            </w:r>
          </w:p>
        </w:tc>
      </w:tr>
      <w:tr>
        <w:trPr/>
        <w:tc>
          <w:tcPr>
            <w:tcW w:w="331" w:type="dxa"/>
            <w:tcBorders/>
          </w:tcPr>
          <w:p>
            <w:pPr>
              <w:pStyle w:val="TableContents"/>
              <w:keepNext w:val="false"/>
              <w:widowControl/>
              <w:pBdr/>
              <w:bidi w:val="0"/>
              <w:spacing w:before="160" w:after="12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 an independent compensation consultant</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363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 single-trigger cash payments upon a change in control</w:t>
            </w:r>
          </w:p>
        </w:tc>
      </w:tr>
      <w:tr>
        <w:trPr/>
        <w:tc>
          <w:tcPr>
            <w:tcW w:w="331" w:type="dxa"/>
            <w:tcBorders/>
          </w:tcPr>
          <w:p>
            <w:pPr>
              <w:pStyle w:val="TableContents"/>
              <w:keepNext w:val="false"/>
              <w:widowControl/>
              <w:pBdr/>
              <w:bidi w:val="0"/>
              <w:spacing w:before="160" w:after="120"/>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compensation that aligns executives with our goal of creating long-term shareholder value</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363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 tax-gross ups</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Advisory Vote on 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reviewed the results of our most recent Say-on-Pay vote in 2024 and determined that the strong support the proposal received was reflective of shareholders’ approval of our compensation program for our NEOs.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Executive Compensation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Role of the 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is responsible for establishing and overseeing our executive compensation programs, and annually reviewing and determining the compensation to be provided to our NEOs.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Role of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executives consulted with the Compensation Committee in 2024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Role of Compensation Consultant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has engaged Compensia (“Compensia” or the “Compensation Consultant”), most recently in July 2024,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Compensia previously developed the below peer group prior to July 2024, which was used to inform our executive compensation programs at the beginning of the year, except for our equity compensation program. Specifically, we use peer group data to obtain compensation benchmarks for our named executive officers, specifically with technology companies, with a focus on software companies, with revenue below $500M and market cap between $500M to $5B.</w:t>
      </w:r>
    </w:p>
    <w:tbl>
      <w:tblPr>
        <w:tblW w:w="8992" w:type="dxa"/>
        <w:jc w:val="left"/>
        <w:tblInd w:w="0" w:type="dxa"/>
        <w:tblLayout w:type="fixed"/>
        <w:tblCellMar>
          <w:top w:w="0" w:type="dxa"/>
          <w:left w:w="0" w:type="dxa"/>
          <w:bottom w:w="0" w:type="dxa"/>
          <w:right w:w="0" w:type="dxa"/>
        </w:tblCellMar>
      </w:tblPr>
      <w:tblGrid>
        <w:gridCol w:w="1516"/>
        <w:gridCol w:w="146"/>
        <w:gridCol w:w="2416"/>
        <w:gridCol w:w="146"/>
        <w:gridCol w:w="2581"/>
        <w:gridCol w:w="146"/>
        <w:gridCol w:w="2041"/>
      </w:tblGrid>
      <w:tr>
        <w:trPr/>
        <w:tc>
          <w:tcPr>
            <w:tcW w:w="15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Agilysys</w:t>
            </w:r>
          </w:p>
        </w:tc>
        <w:tc>
          <w:tcPr>
            <w:tcW w:w="146" w:type="dxa"/>
            <w:tcBorders/>
          </w:tcPr>
          <w:p>
            <w:pPr>
              <w:pStyle w:val="TableContents"/>
              <w:bidi w:val="0"/>
              <w:spacing w:before="0" w:after="283"/>
              <w:jc w:val="left"/>
              <w:rPr/>
            </w:pPr>
            <w:r>
              <w:rPr/>
              <w:t> </w:t>
            </w:r>
          </w:p>
        </w:tc>
        <w:tc>
          <w:tcPr>
            <w:tcW w:w="24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PROS Holdings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SPS Commerce</w:t>
            </w:r>
          </w:p>
        </w:tc>
      </w:tr>
      <w:tr>
        <w:trPr/>
        <w:tc>
          <w:tcPr>
            <w:tcW w:w="15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AppFolio</w:t>
            </w:r>
          </w:p>
        </w:tc>
        <w:tc>
          <w:tcPr>
            <w:tcW w:w="146" w:type="dxa"/>
            <w:tcBorders/>
          </w:tcPr>
          <w:p>
            <w:pPr>
              <w:pStyle w:val="TableContents"/>
              <w:bidi w:val="0"/>
              <w:spacing w:before="0" w:after="283"/>
              <w:jc w:val="left"/>
              <w:rPr/>
            </w:pPr>
            <w:r>
              <w:rPr/>
              <w:t> </w:t>
            </w:r>
          </w:p>
        </w:tc>
        <w:tc>
          <w:tcPr>
            <w:tcW w:w="24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Model N</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QAD</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Upland Software</w:t>
            </w:r>
          </w:p>
        </w:tc>
      </w:tr>
      <w:tr>
        <w:trPr/>
        <w:tc>
          <w:tcPr>
            <w:tcW w:w="15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Cerence</w:t>
            </w:r>
          </w:p>
        </w:tc>
        <w:tc>
          <w:tcPr>
            <w:tcW w:w="146" w:type="dxa"/>
            <w:tcBorders/>
          </w:tcPr>
          <w:p>
            <w:pPr>
              <w:pStyle w:val="TableContents"/>
              <w:bidi w:val="0"/>
              <w:spacing w:before="0" w:after="283"/>
              <w:jc w:val="left"/>
              <w:rPr/>
            </w:pPr>
            <w:r>
              <w:rPr/>
              <w:t> </w:t>
            </w:r>
          </w:p>
        </w:tc>
        <w:tc>
          <w:tcPr>
            <w:tcW w:w="24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Momentive Global</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Qualys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Yext</w:t>
            </w:r>
          </w:p>
        </w:tc>
      </w:tr>
      <w:tr>
        <w:trPr/>
        <w:tc>
          <w:tcPr>
            <w:tcW w:w="15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Domo</w:t>
            </w:r>
          </w:p>
        </w:tc>
        <w:tc>
          <w:tcPr>
            <w:tcW w:w="146" w:type="dxa"/>
            <w:tcBorders/>
          </w:tcPr>
          <w:p>
            <w:pPr>
              <w:pStyle w:val="TableContents"/>
              <w:bidi w:val="0"/>
              <w:spacing w:before="0" w:after="283"/>
              <w:jc w:val="left"/>
              <w:rPr/>
            </w:pPr>
            <w:r>
              <w:rPr/>
              <w:t> </w:t>
            </w:r>
          </w:p>
        </w:tc>
        <w:tc>
          <w:tcPr>
            <w:tcW w:w="24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PagerDuty</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Riot Blockchain</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Zuora</w:t>
            </w:r>
          </w:p>
        </w:tc>
      </w:tr>
      <w:tr>
        <w:trPr/>
        <w:tc>
          <w:tcPr>
            <w:tcW w:w="15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Ideanomics</w:t>
            </w:r>
          </w:p>
        </w:tc>
        <w:tc>
          <w:tcPr>
            <w:tcW w:w="146" w:type="dxa"/>
            <w:tcBorders/>
          </w:tcPr>
          <w:p>
            <w:pPr>
              <w:pStyle w:val="TableContents"/>
              <w:bidi w:val="0"/>
              <w:spacing w:before="0" w:after="283"/>
              <w:jc w:val="left"/>
              <w:rPr/>
            </w:pPr>
            <w:r>
              <w:rPr/>
              <w:t> </w:t>
            </w:r>
          </w:p>
        </w:tc>
        <w:tc>
          <w:tcPr>
            <w:tcW w:w="241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Ping Identity Holding</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SailPoint Technologies</w:t>
            </w:r>
          </w:p>
        </w:tc>
        <w:tc>
          <w:tcPr>
            <w:tcW w:w="146" w:type="dxa"/>
            <w:tcBorders/>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review our compensation levels annually against our peer group and assess executives based on their individual performance and overall company performance. Compensia developed the new peer group below in July 2024, which was utilized by our Compensation Committee in the compensation review in August 2024 and used to inform our 2024 equity grants to our NEOs. The new peer group data to obtain compensation benchmarks for our named executive officers, specifically with technology companies, with a focus on software companies, with revenue below $500M and market cap between $500M to $3B</w:t>
      </w:r>
    </w:p>
    <w:tbl>
      <w:tblPr>
        <w:tblW w:w="7717" w:type="dxa"/>
        <w:jc w:val="left"/>
        <w:tblInd w:w="0" w:type="dxa"/>
        <w:tblLayout w:type="fixed"/>
        <w:tblCellMar>
          <w:top w:w="0" w:type="dxa"/>
          <w:left w:w="0" w:type="dxa"/>
          <w:bottom w:w="0" w:type="dxa"/>
          <w:right w:w="0" w:type="dxa"/>
        </w:tblCellMar>
      </w:tblPr>
      <w:tblGrid>
        <w:gridCol w:w="1396"/>
        <w:gridCol w:w="146"/>
        <w:gridCol w:w="2041"/>
        <w:gridCol w:w="146"/>
        <w:gridCol w:w="2146"/>
        <w:gridCol w:w="146"/>
        <w:gridCol w:w="1696"/>
      </w:tblGrid>
      <w:tr>
        <w:trPr/>
        <w:tc>
          <w:tcPr>
            <w:tcW w:w="13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Agilysys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Fastly</w:t>
            </w:r>
          </w:p>
        </w:tc>
        <w:tc>
          <w:tcPr>
            <w:tcW w:w="146" w:type="dxa"/>
            <w:tcBorders/>
          </w:tcPr>
          <w:p>
            <w:pPr>
              <w:pStyle w:val="TableContents"/>
              <w:bidi w:val="0"/>
              <w:spacing w:before="0" w:after="283"/>
              <w:jc w:val="left"/>
              <w:rPr/>
            </w:pPr>
            <w:r>
              <w:rPr/>
              <w:t> </w:t>
            </w:r>
          </w:p>
        </w:tc>
        <w:tc>
          <w:tcPr>
            <w:tcW w:w="214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Olo</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Sprout Social</w:t>
            </w:r>
          </w:p>
        </w:tc>
      </w:tr>
      <w:tr>
        <w:trPr/>
        <w:tc>
          <w:tcPr>
            <w:tcW w:w="13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Amplitude</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iLearningEngines</w:t>
            </w:r>
          </w:p>
        </w:tc>
        <w:tc>
          <w:tcPr>
            <w:tcW w:w="146" w:type="dxa"/>
            <w:tcBorders/>
          </w:tcPr>
          <w:p>
            <w:pPr>
              <w:pStyle w:val="TableContents"/>
              <w:bidi w:val="0"/>
              <w:spacing w:before="0" w:after="283"/>
              <w:jc w:val="left"/>
              <w:rPr/>
            </w:pPr>
            <w:r>
              <w:rPr/>
              <w:t> </w:t>
            </w:r>
          </w:p>
        </w:tc>
        <w:tc>
          <w:tcPr>
            <w:tcW w:w="214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PagerDuty</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Yext</w:t>
            </w:r>
          </w:p>
        </w:tc>
      </w:tr>
      <w:tr>
        <w:trPr/>
        <w:tc>
          <w:tcPr>
            <w:tcW w:w="13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Appian</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Intapp</w:t>
            </w:r>
          </w:p>
        </w:tc>
        <w:tc>
          <w:tcPr>
            <w:tcW w:w="146" w:type="dxa"/>
            <w:tcBorders/>
          </w:tcPr>
          <w:p>
            <w:pPr>
              <w:pStyle w:val="TableContents"/>
              <w:bidi w:val="0"/>
              <w:spacing w:before="0" w:after="283"/>
              <w:jc w:val="left"/>
              <w:rPr/>
            </w:pPr>
            <w:r>
              <w:rPr/>
              <w:t> </w:t>
            </w:r>
          </w:p>
        </w:tc>
        <w:tc>
          <w:tcPr>
            <w:tcW w:w="214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PROS Holdings</w:t>
            </w:r>
          </w:p>
        </w:tc>
        <w:tc>
          <w:tcPr>
            <w:tcW w:w="146" w:type="dxa"/>
            <w:tcBorders/>
          </w:tcPr>
          <w:p>
            <w:pPr>
              <w:pStyle w:val="TableContents"/>
              <w:bidi w:val="0"/>
              <w:spacing w:before="0" w:after="283"/>
              <w:jc w:val="left"/>
              <w:rPr/>
            </w:pPr>
            <w:r>
              <w:rPr/>
              <w:t> </w:t>
            </w:r>
          </w:p>
        </w:tc>
        <w:tc>
          <w:tcPr>
            <w:tcW w:w="16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Zuora</w:t>
            </w:r>
          </w:p>
        </w:tc>
      </w:tr>
      <w:tr>
        <w:trPr/>
        <w:tc>
          <w:tcPr>
            <w:tcW w:w="13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Braze</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JFrog</w:t>
            </w:r>
          </w:p>
        </w:tc>
        <w:tc>
          <w:tcPr>
            <w:tcW w:w="146" w:type="dxa"/>
            <w:tcBorders/>
          </w:tcPr>
          <w:p>
            <w:pPr>
              <w:pStyle w:val="TableContents"/>
              <w:bidi w:val="0"/>
              <w:spacing w:before="0" w:after="283"/>
              <w:jc w:val="left"/>
              <w:rPr/>
            </w:pPr>
            <w:r>
              <w:rPr/>
              <w:t> </w:t>
            </w:r>
          </w:p>
        </w:tc>
        <w:tc>
          <w:tcPr>
            <w:tcW w:w="214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Riot Platforms</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r>
      <w:tr>
        <w:trPr/>
        <w:tc>
          <w:tcPr>
            <w:tcW w:w="139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C3.ai</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nCino</w:t>
            </w:r>
          </w:p>
        </w:tc>
        <w:tc>
          <w:tcPr>
            <w:tcW w:w="146" w:type="dxa"/>
            <w:tcBorders/>
          </w:tcPr>
          <w:p>
            <w:pPr>
              <w:pStyle w:val="TableContents"/>
              <w:bidi w:val="0"/>
              <w:spacing w:before="0" w:after="283"/>
              <w:jc w:val="left"/>
              <w:rPr/>
            </w:pPr>
            <w:r>
              <w:rPr/>
              <w:t> </w:t>
            </w:r>
          </w:p>
        </w:tc>
        <w:tc>
          <w:tcPr>
            <w:tcW w:w="2146"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Semrush Holdings</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comprised entirely of independent directors, receives and reviews the recommendations from Compensia, considers any relevant guidance from Compensia, and makes the final decision on compensation for our named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Elements of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NEO compensation consists primarily of a base salary, an annual incentive award, and equity incentive compensation. Base salaries are intended to provide our NEOs with certain, regular payments that align with the market and consider the scope of their role. Annual incentives are intended to align our NEOs with our short-term financial and operational performance goals, and equity compensation is intended to retain NEOs over the long term and align the interests of our NEOs with those of our shareholders. Both annual incentives and equity compensation is considered at-risk, and as such, may not be earned if the NEOs’ and/or the Company’s performance does not attain the desired outcomes. Our Compensation Committee annually reviews each element of the NEOs’ compensation on a holistic basis, and awards compensation to our NEOs, allocating between long-term and short-term compensation and cash and non-cash compensation based on market competitive practices and the advice of our Compensation Consultant.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salary represents the fixed portion of an executive officer’s compensation and is intended to provide compensation for day-to-day performance. Effective August 1, 2024, the NEOs’ base salaries were adjusted to align with market standards based on a market study conducted by our Compensation Consultant. The amount of the adjustments for each NEO is reflected in the table below. As of December 31, 2024, our NEOs’ annualized base salaries were as follows:</w:t>
      </w:r>
    </w:p>
    <w:tbl>
      <w:tblPr>
        <w:tblW w:w="4392" w:type="dxa"/>
        <w:jc w:val="left"/>
        <w:tblInd w:w="0" w:type="dxa"/>
        <w:tblLayout w:type="fixed"/>
        <w:tblCellMar>
          <w:top w:w="0" w:type="dxa"/>
          <w:left w:w="0" w:type="dxa"/>
          <w:bottom w:w="0" w:type="dxa"/>
          <w:right w:w="0" w:type="dxa"/>
        </w:tblCellMar>
      </w:tblPr>
      <w:tblGrid>
        <w:gridCol w:w="2626"/>
        <w:gridCol w:w="146"/>
        <w:gridCol w:w="315"/>
        <w:gridCol w:w="1305"/>
      </w:tblGrid>
      <w:tr>
        <w:trPr/>
        <w:tc>
          <w:tcPr>
            <w:tcW w:w="26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Annualized </w:t>
              <w:br/>
              <w:t xml:space="preserve">Base Salary </w:t>
              <w:br/>
              <w:t xml:space="preserve">as of </w:t>
              <w:br/>
              <w:t xml:space="preserve">December 31, </w:t>
              <w:br/>
              <w:t>2024</w:t>
            </w:r>
          </w:p>
        </w:tc>
      </w:tr>
      <w:tr>
        <w:trPr/>
        <w:tc>
          <w:tcPr>
            <w:tcW w:w="26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533,000</w:t>
            </w:r>
          </w:p>
        </w:tc>
      </w:tr>
      <w:tr>
        <w:trPr/>
        <w:tc>
          <w:tcPr>
            <w:tcW w:w="26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442,000</w:t>
            </w:r>
          </w:p>
        </w:tc>
      </w:tr>
      <w:tr>
        <w:trPr/>
        <w:tc>
          <w:tcPr>
            <w:tcW w:w="26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434,000</w:t>
            </w:r>
          </w:p>
        </w:tc>
      </w:tr>
      <w:tr>
        <w:trPr/>
        <w:tc>
          <w:tcPr>
            <w:tcW w:w="26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365,000</w:t>
            </w:r>
          </w:p>
        </w:tc>
      </w:tr>
      <w:tr>
        <w:trPr/>
        <w:tc>
          <w:tcPr>
            <w:tcW w:w="26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365,000</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Annual incentive compensation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as part of their employment agreements, executives were eligible for annual incentives,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Additionally, our Compensation Committee retains the discretion to increase or reduce the amount of any payout. Our 2024 annual bonus compensation plan included the following goals and weightings:</w:t>
      </w:r>
    </w:p>
    <w:tbl>
      <w:tblPr>
        <w:tblW w:w="5694" w:type="dxa"/>
        <w:jc w:val="left"/>
        <w:tblInd w:w="0" w:type="dxa"/>
        <w:tblLayout w:type="fixed"/>
        <w:tblCellMar>
          <w:top w:w="0" w:type="dxa"/>
          <w:left w:w="0" w:type="dxa"/>
          <w:bottom w:w="0" w:type="dxa"/>
          <w:right w:w="0" w:type="dxa"/>
        </w:tblCellMar>
      </w:tblPr>
      <w:tblGrid>
        <w:gridCol w:w="3016"/>
        <w:gridCol w:w="146"/>
        <w:gridCol w:w="460"/>
        <w:gridCol w:w="381"/>
        <w:gridCol w:w="146"/>
        <w:gridCol w:w="958"/>
        <w:gridCol w:w="587"/>
      </w:tblGrid>
      <w:tr>
        <w:trPr/>
        <w:tc>
          <w:tcPr>
            <w:tcW w:w="30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Metric</w:t>
            </w:r>
          </w:p>
        </w:tc>
        <w:tc>
          <w:tcPr>
            <w:tcW w:w="146"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br/>
              <w:t xml:space="preserve">Performance </w:t>
              <w:br/>
              <w:t xml:space="preserve">Achievement </w:t>
              <w:br/>
              <w:t>(earned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 Adjusted EBITDA</w:t>
            </w:r>
          </w:p>
        </w:tc>
        <w:tc>
          <w:tcPr>
            <w:tcW w:w="146" w:type="dxa"/>
            <w:tcBorders/>
            <w:vAlign w:val="bottom"/>
          </w:tcPr>
          <w:p>
            <w:pPr>
              <w:pStyle w:val="TableContents"/>
              <w:bidi w:val="0"/>
              <w:spacing w:before="0" w:after="283"/>
              <w:jc w:val="left"/>
              <w:rPr/>
            </w:pPr>
            <w:r>
              <w:rPr/>
              <w:t> </w:t>
            </w:r>
          </w:p>
        </w:tc>
        <w:tc>
          <w:tcPr>
            <w:tcW w:w="4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Recurring Revenue</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Individual Performance</w:t>
            </w:r>
          </w:p>
        </w:tc>
        <w:tc>
          <w:tcPr>
            <w:tcW w:w="146" w:type="dxa"/>
            <w:tcBorders/>
            <w:vAlign w:val="bottom"/>
          </w:tcPr>
          <w:p>
            <w:pPr>
              <w:pStyle w:val="TableContents"/>
              <w:bidi w:val="0"/>
              <w:spacing w:before="0" w:after="283"/>
              <w:jc w:val="left"/>
              <w:rPr/>
            </w:pPr>
            <w:r>
              <w:rPr/>
              <w:t> </w:t>
            </w:r>
          </w:p>
        </w:tc>
        <w:tc>
          <w:tcPr>
            <w:tcW w:w="46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not disclosed our Revenue, Year End Adjusted EBITA, and Annual Recurring Revenue goals because such disclosure could cause us competitive harm. The Compensation Committee set these goals at levels that we believe to be achievable in connection with strong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Company’s strong 2024 performance, the following amounts were earned under our annual bonus compensation plan:</w:t>
      </w:r>
    </w:p>
    <w:tbl>
      <w:tblPr>
        <w:tblW w:w="6936" w:type="dxa"/>
        <w:jc w:val="left"/>
        <w:tblInd w:w="0" w:type="dxa"/>
        <w:tblLayout w:type="fixed"/>
        <w:tblCellMar>
          <w:top w:w="0" w:type="dxa"/>
          <w:left w:w="0" w:type="dxa"/>
          <w:bottom w:w="0" w:type="dxa"/>
          <w:right w:w="0" w:type="dxa"/>
        </w:tblCellMar>
      </w:tblPr>
      <w:tblGrid>
        <w:gridCol w:w="2566"/>
        <w:gridCol w:w="146"/>
        <w:gridCol w:w="226"/>
        <w:gridCol w:w="886"/>
        <w:gridCol w:w="146"/>
        <w:gridCol w:w="271"/>
        <w:gridCol w:w="1064"/>
        <w:gridCol w:w="146"/>
        <w:gridCol w:w="290"/>
        <w:gridCol w:w="1195"/>
      </w:tblGrid>
      <w:tr>
        <w:trPr/>
        <w:tc>
          <w:tcPr>
            <w:tcW w:w="2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Target </w:t>
              <w:br/>
              <w:t>Bonus</w:t>
            </w:r>
          </w:p>
        </w:tc>
        <w:tc>
          <w:tcPr>
            <w:tcW w:w="146"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Bonus </w:t>
              <w:br/>
              <w:t>Earned</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Bonus </w:t>
              <w:br/>
              <w:t>Actually Paid</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484,583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363,437</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242,292</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252,417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189,312</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126,208</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250,250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187,687</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125,125</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173,750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130,312</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86,875</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173,750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130,312</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86,875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Bonuses were paid in February 2025 based on our 2024 fiscal year performance. Even though revenue and individual performance targets were met, the Compensation Committee reviewed the overall achievement and considered other performance measures of the Company and determined that 50% pay-out on targets was more aligned with our financial situation. Accordingly, the Compensation Committee exercised its discretion to reduce payouts to 50% of the target amount for each of our NEOs.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Equity Incentive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believes that equity incentives in the form of service vesting-based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 In determining the NEOs’ restricted stock awards, the Compensation Committee did not consider any compensation amounts previously granted that may have become realizable by our NEOs.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benchmarking against companies in the same industry that are similar in size, value, and market cap, equity incentive awards for 2024 in the form of Restricted Stock Awards were determined by targeting the 50th percentile of our peer group. Total Compensation packages are highly leveraged on equity to provide overall packages that are both competitive to the market, while aligning our status as a newly public company on the path to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2024 to enhance retention. The details of the grants made to each NEO in 2024 are shown in the table below. The awards vest in 36 monthly increments beginning in September 2024 subject to each NEOs continued employment with the Company through the applicable vesting date.</w:t>
      </w:r>
    </w:p>
    <w:tbl>
      <w:tblPr>
        <w:tblW w:w="5994" w:type="dxa"/>
        <w:jc w:val="left"/>
        <w:tblInd w:w="0" w:type="dxa"/>
        <w:tblLayout w:type="fixed"/>
        <w:tblCellMar>
          <w:top w:w="0" w:type="dxa"/>
          <w:left w:w="0" w:type="dxa"/>
          <w:bottom w:w="0" w:type="dxa"/>
          <w:right w:w="0" w:type="dxa"/>
        </w:tblCellMar>
      </w:tblPr>
      <w:tblGrid>
        <w:gridCol w:w="2566"/>
        <w:gridCol w:w="146"/>
        <w:gridCol w:w="1546"/>
        <w:gridCol w:w="146"/>
        <w:gridCol w:w="268"/>
        <w:gridCol w:w="1322"/>
      </w:tblGrid>
      <w:tr>
        <w:trPr/>
        <w:tc>
          <w:tcPr>
            <w:tcW w:w="2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Restricted </w:t>
              <w:br/>
              <w:t xml:space="preserve">Stock Awards </w:t>
              <w:br/>
              <w:t xml:space="preserve">Received in </w:t>
              <w:br/>
              <w:t>2024</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of </w:t>
              <w:br/>
              <w:t xml:space="preserve">Restricted </w:t>
              <w:br/>
              <w:t xml:space="preserve">Stock Awards </w:t>
              <w:br/>
              <w:t>Received(1)</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6,990,000</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3,495,000</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3,495,000</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46"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1,864,000</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1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disclosed represent the aggregate grant date fair value of stock awards granted to our named executive officers during the fiscal year ended December 31, 2024 under our 2022 Incentive Plan, calculated in accordance with Financial Accounting Standards Board ASC Topic 718</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Retirement Savings, Health, and Welfare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full-time employees, including the executive officers, are eligible to participate in the health benefits programs, including medical, dental and vision care coverage, disability and life insurance and the Company’s 401(k) plan.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Other Employee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do not provide perquisites to our NEOs, and we do not view perquisites or other personal benefits as a significant component of our executive compensation program.</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Severance and Change in Control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 Policies and Considerations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Derivatives Trading, Hedging, and Pledging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Tax and Accounting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 million. Our Compensation Committee may exercise business judgment in accordance with its compensation philosophy to award compensation that is not tax deductible if it determines that such award is in the best interests of the Company and our stockholders.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Award Timing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does not grant equity awards in anticipation of the release of material nonpublic information. Similarly, we do not time the release of material nonpublic information based on equity award grant dates. Our 2024 equity awards were made in August following our Compensation Consultant’s market analysis of our peer group.</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Accounting for Share-Based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follow Financial Accounting Standard Board Accounting Standards Codification Topic 718, (“</w:t>
      </w:r>
      <w:r>
        <w:rPr>
          <w:rFonts w:ascii="Times New Roman PS Std;serif" w:hAnsi="Times New Roman PS Std;serif"/>
          <w:b/>
          <w:i w:val="false"/>
          <w:caps w:val="false"/>
          <w:smallCaps w:val="false"/>
          <w:sz w:val="20"/>
        </w:rPr>
        <w:t>ASC Topic 718</w:t>
      </w:r>
      <w:r>
        <w:rPr>
          <w:rFonts w:ascii="Times New Roman PS Std;serif" w:hAnsi="Times New Roman PS Std;serif"/>
          <w:b w:val="false"/>
          <w:i w:val="false"/>
          <w:caps w:val="false"/>
          <w:smallCaps w:val="false"/>
          <w:sz w:val="20"/>
        </w:rPr>
        <w:t>”), for our share-based compensation awards. ASC Topic 718 requires companies to measure the 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on our Executive Compensation Clawback Policy, see section below entitled “Compensation Recovery and Clawback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for the fiscal years ended December 31, 2024, 2023, and 2022, with respect to compensation awarded to, earned by or paid to our named executive officers.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Summary Compensation Table</w:t>
      </w:r>
    </w:p>
    <w:tbl>
      <w:tblPr>
        <w:tblW w:w="11317" w:type="dxa"/>
        <w:jc w:val="left"/>
        <w:tblInd w:w="0" w:type="dxa"/>
        <w:tblLayout w:type="fixed"/>
        <w:tblCellMar>
          <w:top w:w="0" w:type="dxa"/>
          <w:left w:w="0" w:type="dxa"/>
          <w:bottom w:w="0" w:type="dxa"/>
          <w:right w:w="0" w:type="dxa"/>
        </w:tblCellMar>
      </w:tblPr>
      <w:tblGrid>
        <w:gridCol w:w="1031"/>
        <w:gridCol w:w="146"/>
        <w:gridCol w:w="661"/>
        <w:gridCol w:w="146"/>
        <w:gridCol w:w="211"/>
        <w:gridCol w:w="781"/>
        <w:gridCol w:w="146"/>
        <w:gridCol w:w="211"/>
        <w:gridCol w:w="781"/>
        <w:gridCol w:w="146"/>
        <w:gridCol w:w="211"/>
        <w:gridCol w:w="1036"/>
        <w:gridCol w:w="226"/>
        <w:gridCol w:w="146"/>
        <w:gridCol w:w="796"/>
        <w:gridCol w:w="146"/>
        <w:gridCol w:w="312"/>
        <w:gridCol w:w="1159"/>
        <w:gridCol w:w="146"/>
        <w:gridCol w:w="1441"/>
        <w:gridCol w:w="146"/>
        <w:gridCol w:w="211"/>
        <w:gridCol w:w="1081"/>
      </w:tblGrid>
      <w:tr>
        <w:trPr/>
        <w:tc>
          <w:tcPr>
            <w:tcW w:w="10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Fiscal </w:t>
              <w:br/>
              <w:t>Year</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Bonus</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Stock </w:t>
              <w:br/>
              <w:t>Awards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Awards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Non-Equity </w:t>
              <w:br/>
              <w:t xml:space="preserve">Incentive Plan </w:t>
              <w:br/>
              <w:t>Compensation</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Compensation</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0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Dr. Keyvan Mohajer,</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484,583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6,990,000</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242,292</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7,716,875</w:t>
            </w:r>
          </w:p>
        </w:tc>
      </w:tr>
      <w:tr>
        <w:trPr/>
        <w:tc>
          <w:tcPr>
            <w:tcW w:w="103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CEO</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421,875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1,326,000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116,103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1,863,978</w:t>
            </w:r>
          </w:p>
        </w:tc>
      </w:tr>
      <w:tr>
        <w:trPr/>
        <w:tc>
          <w:tcPr>
            <w:tcW w:w="10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381,042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10,054,500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10,548,042</w:t>
            </w:r>
          </w:p>
        </w:tc>
      </w:tr>
      <w:tr>
        <w:trPr/>
        <w:tc>
          <w:tcPr>
            <w:tcW w:w="10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Nitesh Sharan,</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388,333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3,495,000</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126,208</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4,009,541</w:t>
            </w:r>
          </w:p>
        </w:tc>
      </w:tr>
      <w:tr>
        <w:trPr/>
        <w:tc>
          <w:tcPr>
            <w:tcW w:w="103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CFO</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773,500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54,181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1,177,681</w:t>
            </w:r>
          </w:p>
        </w:tc>
      </w:tr>
      <w:tr>
        <w:trPr/>
        <w:tc>
          <w:tcPr>
            <w:tcW w:w="1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328,958</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4,302,250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4,758,708</w:t>
            </w:r>
          </w:p>
        </w:tc>
      </w:tr>
      <w:tr>
        <w:trPr/>
        <w:tc>
          <w:tcPr>
            <w:tcW w:w="10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Zagorsek,</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3,495,000</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125,125</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4,005,125</w:t>
            </w:r>
          </w:p>
        </w:tc>
      </w:tr>
      <w:tr>
        <w:trPr/>
        <w:tc>
          <w:tcPr>
            <w:tcW w:w="103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COO</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773,500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54,181</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1,177,681</w:t>
            </w:r>
          </w:p>
        </w:tc>
      </w:tr>
      <w:tr>
        <w:trPr/>
        <w:tc>
          <w:tcPr>
            <w:tcW w:w="10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308,958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4,302,250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4,663,708</w:t>
            </w:r>
          </w:p>
        </w:tc>
      </w:tr>
      <w:tr>
        <w:trPr/>
        <w:tc>
          <w:tcPr>
            <w:tcW w:w="10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Timothy Stonehocker,</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347,500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1,864,000</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86,875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2,298,375</w:t>
            </w:r>
          </w:p>
        </w:tc>
      </w:tr>
      <w:tr>
        <w:trPr/>
        <w:tc>
          <w:tcPr>
            <w:tcW w:w="103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CTO</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43,216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820,216</w:t>
            </w:r>
          </w:p>
        </w:tc>
      </w:tr>
      <w:tr>
        <w:trPr/>
        <w:tc>
          <w:tcPr>
            <w:tcW w:w="1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302,479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41,875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4,035,235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4,379,589</w:t>
            </w:r>
          </w:p>
        </w:tc>
      </w:tr>
      <w:tr>
        <w:trPr/>
        <w:tc>
          <w:tcPr>
            <w:tcW w:w="10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James Hom,</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347,500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1,864,000</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86,875</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2,298,375</w:t>
            </w:r>
          </w:p>
        </w:tc>
      </w:tr>
      <w:tr>
        <w:trPr/>
        <w:tc>
          <w:tcPr>
            <w:tcW w:w="103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CPO</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442,000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43,216</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820,216</w:t>
            </w:r>
          </w:p>
        </w:tc>
      </w:tr>
      <w:tr>
        <w:trPr/>
        <w:tc>
          <w:tcPr>
            <w:tcW w:w="10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302,479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41,875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3,426,750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3,771,104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disclosed represent the aggregate grant date fair value of stock awards granted to our named executive officers during the fiscal year ended December 31, 2024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 applicable, reflects cash amounts earned in Fiscal 2024 and paid in February 2025 pursuant to the Company’s annual incentive arrangement. For further information, please see our CD&amp;A.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fair value of 1,500,000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the fair value of 750,000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the fair value of 750,000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the fair value of 400,000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the fair value of 400,000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Narrative Disclosure to Summary Compensation Table</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Agreements with the Company’s Named Executive Officers as of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Keyvan Mohajer,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Dr. Mohajer’s employment agreement (the “</w:t>
      </w:r>
      <w:r>
        <w:rPr>
          <w:rFonts w:ascii="Times New Roman PS Std;serif" w:hAnsi="Times New Roman PS Std;serif"/>
          <w:b/>
          <w:i w:val="false"/>
          <w:caps w:val="false"/>
          <w:smallCaps w:val="false"/>
          <w:sz w:val="20"/>
        </w:rPr>
        <w:t>June 2022 CEO Employment Agreement</w:t>
      </w:r>
      <w:r>
        <w:rPr>
          <w:rFonts w:ascii="Times New Roman PS Std;serif" w:hAnsi="Times New Roman PS Std;serif"/>
          <w:b w:val="false"/>
          <w:i w:val="false"/>
          <w:caps w:val="false"/>
          <w:smallCaps w:val="false"/>
          <w:sz w:val="20"/>
        </w:rPr>
        <w:t>”), Dr. Mohajer is entitled to receive a base salary of $450,000 (currently, $533,000).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provides for the grant to Dr. Mohajer of 720,000 restricted stock units (the “</w:t>
      </w:r>
      <w:r>
        <w:rPr>
          <w:rFonts w:ascii="Times New Roman PS Std;serif" w:hAnsi="Times New Roman PS Std;serif"/>
          <w:b/>
          <w:i w:val="false"/>
          <w:caps w:val="false"/>
          <w:smallCaps w:val="false"/>
          <w:sz w:val="20"/>
        </w:rPr>
        <w:t>RSUs</w:t>
      </w:r>
      <w:r>
        <w:rPr>
          <w:rFonts w:ascii="Times New Roman PS Std;serif" w:hAnsi="Times New Roman PS Std;serif"/>
          <w:b w:val="false"/>
          <w:i w:val="false"/>
          <w:caps w:val="false"/>
          <w:smallCaps w:val="false"/>
          <w:sz w:val="20"/>
        </w:rPr>
        <w:t>”) under the SoundHound AI, Inc. 2022 Incentive Award Plan (the “</w:t>
      </w:r>
      <w:r>
        <w:rPr>
          <w:rFonts w:ascii="Times New Roman PS Std;serif" w:hAnsi="Times New Roman PS Std;serif"/>
          <w:b/>
          <w:i w:val="false"/>
          <w:caps w:val="false"/>
          <w:smallCaps w:val="false"/>
          <w:sz w:val="20"/>
        </w:rPr>
        <w:t>2022 Incentive Award Plan</w:t>
      </w:r>
      <w:r>
        <w:rPr>
          <w:rFonts w:ascii="Times New Roman PS Std;serif" w:hAnsi="Times New Roman PS Std;serif"/>
          <w:b w:val="false"/>
          <w:i w:val="false"/>
          <w:caps w:val="false"/>
          <w:smallCaps w:val="false"/>
          <w:sz w:val="20"/>
        </w:rPr>
        <w:t>”), which grant became effective upon the filing of the Company’s Registration Statement on Form S-8 (the “</w:t>
      </w:r>
      <w:r>
        <w:rPr>
          <w:rFonts w:ascii="Times New Roman PS Std;serif" w:hAnsi="Times New Roman PS Std;serif"/>
          <w:b/>
          <w:i w:val="false"/>
          <w:caps w:val="false"/>
          <w:smallCaps w:val="false"/>
          <w:sz w:val="20"/>
        </w:rPr>
        <w:t>Form S-8</w:t>
      </w:r>
      <w:r>
        <w:rPr>
          <w:rFonts w:ascii="Times New Roman PS Std;serif" w:hAnsi="Times New Roman PS Std;serif"/>
          <w:b w:val="false"/>
          <w:i w:val="false"/>
          <w:caps w:val="false"/>
          <w:smallCaps w:val="false"/>
          <w:sz w:val="20"/>
        </w:rPr>
        <w:t>”)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Mohajer was also granted 480,000 RSUs that are subject to performance-based vesting (the “</w:t>
      </w:r>
      <w:r>
        <w:rPr>
          <w:rFonts w:ascii="Times New Roman PS Std;serif" w:hAnsi="Times New Roman PS Std;serif"/>
          <w:b/>
          <w:i w:val="false"/>
          <w:caps w:val="false"/>
          <w:smallCaps w:val="false"/>
          <w:sz w:val="20"/>
        </w:rPr>
        <w:t>PSUs</w:t>
      </w:r>
      <w:r>
        <w:rPr>
          <w:rFonts w:ascii="Times New Roman PS Std;serif" w:hAnsi="Times New Roman PS Std;serif"/>
          <w:b w:val="false"/>
          <w:i w:val="false"/>
          <w:caps w:val="false"/>
          <w:smallCaps w:val="false"/>
          <w:sz w:val="20"/>
        </w:rPr>
        <w:t>”)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Dr. Mohajer is eligible to participate in the standard benefit plans offered to similarly 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Mohajer has also entered into the Company’s standard form of confidential information and inventions assignment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Nitesh Sharan, Chief Financial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Sharan’s employment agreement (the “</w:t>
      </w:r>
      <w:r>
        <w:rPr>
          <w:rFonts w:ascii="Times New Roman PS Std;serif" w:hAnsi="Times New Roman PS Std;serif"/>
          <w:b/>
          <w:i w:val="false"/>
          <w:caps w:val="false"/>
          <w:smallCaps w:val="false"/>
          <w:sz w:val="20"/>
        </w:rPr>
        <w:t>June 2022 CFO Employment Agreement</w:t>
      </w:r>
      <w:r>
        <w:rPr>
          <w:rFonts w:ascii="Times New Roman PS Std;serif" w:hAnsi="Times New Roman PS Std;serif"/>
          <w:b w:val="false"/>
          <w:i w:val="false"/>
          <w:caps w:val="false"/>
          <w:smallCaps w:val="false"/>
          <w:sz w:val="20"/>
        </w:rPr>
        <w:t>”), Mr. Sharan is entitled to receive a base salary of $350,000 (currently $442,000).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Sharan is eligible to participate in the standard benefit plans offered to similarly-situated employees by the Company from time to time.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Sharan has also entered into the Company’s standard form of confidential information and inventions assignment agreement.</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Michael Zagorsek, Chief Operating Officer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Zagorsek’s employment agreement (the “</w:t>
      </w:r>
      <w:r>
        <w:rPr>
          <w:rFonts w:ascii="Times New Roman PS Std;serif" w:hAnsi="Times New Roman PS Std;serif"/>
          <w:b/>
          <w:i w:val="false"/>
          <w:caps w:val="false"/>
          <w:smallCaps w:val="false"/>
          <w:sz w:val="20"/>
        </w:rPr>
        <w:t>June 2022 COO Employment Agreement</w:t>
      </w:r>
      <w:r>
        <w:rPr>
          <w:rFonts w:ascii="Times New Roman PS Std;serif" w:hAnsi="Times New Roman PS Std;serif"/>
          <w:b w:val="false"/>
          <w:i w:val="false"/>
          <w:caps w:val="false"/>
          <w:smallCaps w:val="false"/>
          <w:sz w:val="20"/>
        </w:rPr>
        <w:t>”), Mr. Zagorsek is entitled to receive a base salary of $350,000 (currently, $434,000). In addition, Mr. Zagorsek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Zagorsek is eligible to participate in the standard benefit plans offered to similarly-situated employees by the Company from time to time.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Zagorsek has also entered into the Company’s standard form of confidential information and inventions assignment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Timothy Stonehocker, Chief Technology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Stonehocker’s employment agreement (the “</w:t>
      </w:r>
      <w:r>
        <w:rPr>
          <w:rFonts w:ascii="Times New Roman PS Std;serif" w:hAnsi="Times New Roman PS Std;serif"/>
          <w:b/>
          <w:i w:val="false"/>
          <w:caps w:val="false"/>
          <w:smallCaps w:val="false"/>
          <w:sz w:val="20"/>
        </w:rPr>
        <w:t>June 2022 CTO Employment Agreement</w:t>
      </w:r>
      <w:r>
        <w:rPr>
          <w:rFonts w:ascii="Times New Roman PS Std;serif" w:hAnsi="Times New Roman PS Std;serif"/>
          <w:b w:val="false"/>
          <w:i w:val="false"/>
          <w:caps w:val="false"/>
          <w:smallCaps w:val="false"/>
          <w:sz w:val="20"/>
        </w:rPr>
        <w:t>”), Mr. Stonehocker is entitled to receive a base salary of $335,000 (currently, $365,000). In addition, Mr. Stonehocker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CTO Employment Agreement provides for a grant to Mr. Stonehocker of 210,000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Stonehocker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Stonehocker was also granted 140,000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Stonehocker is eligible to participate in the standard benefit plans offered to similarly-situated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CTO Employment Agreement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Stonehocker has also entered into the Company’s standard form of confidential information and inventions assignment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Employment Agreement with James Hom, Chief Product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Mr. Hom’s employment agreement (the “</w:t>
      </w:r>
      <w:r>
        <w:rPr>
          <w:rFonts w:ascii="Times New Roman PS Std;serif" w:hAnsi="Times New Roman PS Std;serif"/>
          <w:b/>
          <w:i w:val="false"/>
          <w:caps w:val="false"/>
          <w:smallCaps w:val="false"/>
          <w:sz w:val="20"/>
        </w:rPr>
        <w:t>June 2022 CPO Employment Agreement</w:t>
      </w:r>
      <w:r>
        <w:rPr>
          <w:rFonts w:ascii="Times New Roman PS Std;serif" w:hAnsi="Times New Roman PS Std;serif"/>
          <w:b w:val="false"/>
          <w:i w:val="false"/>
          <w:caps w:val="false"/>
          <w:smallCaps w:val="false"/>
          <w:sz w:val="20"/>
        </w:rPr>
        <w:t>”), Mr. Hom is entitled to receive a base salary of $335,000 (currently, $365,000).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Hom is eligible to participate in the standard benefit plans offered to similarly-situated employees by the Company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Hom has also entered into the Company’s standard form of confidential information and inventions assignment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Grants of Plan-Based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each grant of plan-based awards made to a named executive officer in the last completed fiscal year under any plan, including awards that subsequently have been transferred.</w:t>
      </w:r>
    </w:p>
    <w:tbl>
      <w:tblPr>
        <w:tblW w:w="10205" w:type="dxa"/>
        <w:jc w:val="left"/>
        <w:tblInd w:w="0" w:type="dxa"/>
        <w:tblLayout w:type="fixed"/>
        <w:tblCellMar>
          <w:top w:w="0" w:type="dxa"/>
          <w:left w:w="0" w:type="dxa"/>
          <w:bottom w:w="0" w:type="dxa"/>
          <w:right w:w="0" w:type="dxa"/>
        </w:tblCellMar>
      </w:tblPr>
      <w:tblGrid>
        <w:gridCol w:w="1363"/>
        <w:gridCol w:w="146"/>
        <w:gridCol w:w="1861"/>
        <w:gridCol w:w="146"/>
        <w:gridCol w:w="445"/>
        <w:gridCol w:w="684"/>
        <w:gridCol w:w="148"/>
        <w:gridCol w:w="229"/>
        <w:gridCol w:w="900"/>
        <w:gridCol w:w="148"/>
        <w:gridCol w:w="229"/>
        <w:gridCol w:w="900"/>
        <w:gridCol w:w="146"/>
        <w:gridCol w:w="1066"/>
        <w:gridCol w:w="306"/>
        <w:gridCol w:w="146"/>
        <w:gridCol w:w="226"/>
        <w:gridCol w:w="1116"/>
      </w:tblGrid>
      <w:tr>
        <w:trPr/>
        <w:tc>
          <w:tcPr>
            <w:tcW w:w="1363"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bottom"/>
          </w:tcPr>
          <w:p>
            <w:pPr>
              <w:pStyle w:val="TableContents"/>
              <w:bidi w:val="0"/>
              <w:spacing w:before="0" w:after="283"/>
              <w:jc w:val="left"/>
              <w:rPr/>
            </w:pPr>
            <w:r>
              <w:rPr/>
              <w:t> </w:t>
            </w:r>
          </w:p>
        </w:tc>
        <w:tc>
          <w:tcPr>
            <w:tcW w:w="186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vMerge w:val="restart"/>
            <w:tcBorders/>
            <w:vAlign w:val="bottom"/>
          </w:tcPr>
          <w:p>
            <w:pPr>
              <w:pStyle w:val="TableContents"/>
              <w:bidi w:val="0"/>
              <w:spacing w:before="0" w:after="283"/>
              <w:jc w:val="left"/>
              <w:rPr/>
            </w:pPr>
            <w:r>
              <w:rPr/>
              <w:t> </w:t>
            </w:r>
          </w:p>
        </w:tc>
        <w:tc>
          <w:tcPr>
            <w:tcW w:w="3683"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 xml:space="preserve">Estimated future payouts under </w:t>
              <w:br/>
              <w:t>non-equity incentive plan awards(2)</w:t>
            </w:r>
          </w:p>
        </w:tc>
        <w:tc>
          <w:tcPr>
            <w:tcW w:w="146" w:type="dxa"/>
            <w:tcBorders/>
            <w:vAlign w:val="bottom"/>
          </w:tcPr>
          <w:p>
            <w:pPr>
              <w:pStyle w:val="TableContents"/>
              <w:bidi w:val="0"/>
              <w:spacing w:before="0" w:after="283"/>
              <w:jc w:val="left"/>
              <w:rPr/>
            </w:pPr>
            <w:r>
              <w:rPr/>
              <w:t> </w:t>
            </w:r>
          </w:p>
        </w:tc>
        <w:tc>
          <w:tcPr>
            <w:tcW w:w="137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stock </w:t>
              <w:br/>
              <w:t xml:space="preserve">awards: </w:t>
              <w:br/>
              <w:t xml:space="preserve">Number of </w:t>
              <w:br/>
              <w:t xml:space="preserve">shares of </w:t>
              <w:br/>
              <w:t xml:space="preserve">stock or </w:t>
              <w:br/>
              <w:t xml:space="preserve">units </w:t>
              <w:br/>
              <w:t>(#)</w:t>
            </w:r>
          </w:p>
        </w:tc>
        <w:tc>
          <w:tcPr>
            <w:tcW w:w="146" w:type="dxa"/>
            <w:vMerge w:val="restart"/>
            <w:tcBorders/>
            <w:vAlign w:val="bottom"/>
          </w:tcPr>
          <w:p>
            <w:pPr>
              <w:pStyle w:val="TableContents"/>
              <w:bidi w:val="0"/>
              <w:spacing w:before="0" w:after="283"/>
              <w:jc w:val="left"/>
              <w:rPr/>
            </w:pPr>
            <w:r>
              <w:rPr/>
              <w:t> </w:t>
            </w:r>
          </w:p>
        </w:tc>
        <w:tc>
          <w:tcPr>
            <w:tcW w:w="134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 xml:space="preserve">date fair </w:t>
              <w:br/>
              <w:t xml:space="preserve">value of </w:t>
              <w:br/>
              <w:t xml:space="preserve">stock and </w:t>
              <w:br/>
              <w:t xml:space="preserve">option </w:t>
              <w:br/>
              <w:t>awards</w:t>
            </w:r>
          </w:p>
        </w:tc>
      </w:tr>
      <w:tr>
        <w:trPr/>
        <w:tc>
          <w:tcPr>
            <w:tcW w:w="136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Threshold </w:t>
              <w:br/>
              <w:t>($)</w:t>
            </w:r>
          </w:p>
        </w:tc>
        <w:tc>
          <w:tcPr>
            <w:tcW w:w="148"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Target </w:t>
              <w:br/>
              <w:t>($)</w:t>
            </w:r>
          </w:p>
        </w:tc>
        <w:tc>
          <w:tcPr>
            <w:tcW w:w="148"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w:t>
              <w:br/>
              <w:t>($)</w:t>
            </w:r>
          </w:p>
        </w:tc>
        <w:tc>
          <w:tcPr>
            <w:tcW w:w="146" w:type="dxa"/>
            <w:tcBorders/>
            <w:vAlign w:val="bottom"/>
          </w:tcPr>
          <w:p>
            <w:pPr>
              <w:pStyle w:val="TableContents"/>
              <w:bidi w:val="0"/>
              <w:spacing w:before="0" w:after="283"/>
              <w:jc w:val="left"/>
              <w:rPr/>
            </w:pPr>
            <w:r>
              <w:rPr/>
              <w:t> </w:t>
            </w:r>
          </w:p>
        </w:tc>
        <w:tc>
          <w:tcPr>
            <w:tcW w:w="137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42" w:type="dxa"/>
            <w:gridSpan w:val="2"/>
            <w:vMerge w:val="continue"/>
            <w:tcBorders/>
            <w:vAlign w:val="bottom"/>
          </w:tcPr>
          <w:p>
            <w:pPr>
              <w:pStyle w:val="Normal"/>
              <w:bidi w:val="0"/>
              <w:jc w:val="left"/>
              <w:rPr/>
            </w:pPr>
            <w:r>
              <w:rPr/>
            </w:r>
          </w:p>
        </w:tc>
      </w:tr>
      <w:tr>
        <w:trPr/>
        <w:tc>
          <w:tcPr>
            <w:tcW w:w="136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484,583</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726,875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6" w:type="dxa"/>
            <w:tcBorders/>
            <w:shd w:fill="CCEEFF" w:val="clear"/>
            <w:vAlign w:val="bottom"/>
          </w:tcPr>
          <w:p>
            <w:pPr>
              <w:pStyle w:val="TableContents"/>
              <w:bidi w:val="0"/>
              <w:spacing w:before="0" w:after="283"/>
              <w:jc w:val="left"/>
              <w:rPr/>
            </w:pPr>
            <w:r>
              <w:rPr/>
              <w:t> </w:t>
            </w:r>
          </w:p>
        </w:tc>
      </w:tr>
      <w:tr>
        <w:trPr/>
        <w:tc>
          <w:tcPr>
            <w:tcW w:w="13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6,990,000</w:t>
            </w:r>
          </w:p>
        </w:tc>
      </w:tr>
      <w:tr>
        <w:trPr/>
        <w:tc>
          <w:tcPr>
            <w:tcW w:w="136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vAlign w:val="bottom"/>
          </w:tcPr>
          <w:p>
            <w:pPr>
              <w:pStyle w:val="TableContents"/>
              <w:bidi w:val="0"/>
              <w:spacing w:before="0" w:after="283"/>
              <w:jc w:val="left"/>
              <w:rPr/>
            </w:pPr>
            <w:r>
              <w:rPr/>
              <w:t> </w:t>
            </w:r>
          </w:p>
        </w:tc>
        <w:tc>
          <w:tcPr>
            <w:tcW w:w="44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252,417</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378,625</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6" w:type="dxa"/>
            <w:tcBorders/>
            <w:vAlign w:val="bottom"/>
          </w:tcPr>
          <w:p>
            <w:pPr>
              <w:pStyle w:val="TableContents"/>
              <w:bidi w:val="0"/>
              <w:spacing w:before="0" w:after="283"/>
              <w:jc w:val="left"/>
              <w:rPr/>
            </w:pPr>
            <w:r>
              <w:rPr/>
              <w:t> </w:t>
            </w:r>
          </w:p>
        </w:tc>
      </w:tr>
      <w:tr>
        <w:trPr/>
        <w:tc>
          <w:tcPr>
            <w:tcW w:w="13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2024</w:t>
            </w:r>
          </w:p>
        </w:tc>
        <w:tc>
          <w:tcPr>
            <w:tcW w:w="146" w:type="dxa"/>
            <w:tcBorders/>
            <w:vAlign w:val="bottom"/>
          </w:tcPr>
          <w:p>
            <w:pPr>
              <w:pStyle w:val="TableContents"/>
              <w:bidi w:val="0"/>
              <w:spacing w:before="0" w:after="283"/>
              <w:jc w:val="left"/>
              <w:rPr/>
            </w:pPr>
            <w:r>
              <w:rPr/>
              <w:t> </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30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3,495,000</w:t>
            </w:r>
          </w:p>
        </w:tc>
      </w:tr>
      <w:tr>
        <w:trPr/>
        <w:tc>
          <w:tcPr>
            <w:tcW w:w="136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250,250</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375,375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6" w:type="dxa"/>
            <w:tcBorders/>
            <w:shd w:fill="CCEEFF" w:val="clear"/>
            <w:vAlign w:val="bottom"/>
          </w:tcPr>
          <w:p>
            <w:pPr>
              <w:pStyle w:val="TableContents"/>
              <w:bidi w:val="0"/>
              <w:spacing w:before="0" w:after="283"/>
              <w:jc w:val="left"/>
              <w:rPr/>
            </w:pPr>
            <w:r>
              <w:rPr/>
              <w:t> </w:t>
            </w:r>
          </w:p>
        </w:tc>
      </w:tr>
      <w:tr>
        <w:trPr/>
        <w:tc>
          <w:tcPr>
            <w:tcW w:w="13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3,495,000</w:t>
            </w:r>
          </w:p>
        </w:tc>
      </w:tr>
      <w:tr>
        <w:trPr/>
        <w:tc>
          <w:tcPr>
            <w:tcW w:w="136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 CTO</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vAlign w:val="bottom"/>
          </w:tcPr>
          <w:p>
            <w:pPr>
              <w:pStyle w:val="TableContents"/>
              <w:bidi w:val="0"/>
              <w:spacing w:before="0" w:after="283"/>
              <w:jc w:val="left"/>
              <w:rPr/>
            </w:pPr>
            <w:r>
              <w:rPr/>
              <w:t> </w:t>
            </w:r>
          </w:p>
        </w:tc>
        <w:tc>
          <w:tcPr>
            <w:tcW w:w="44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173,750</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260,625</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6" w:type="dxa"/>
            <w:tcBorders/>
            <w:vAlign w:val="bottom"/>
          </w:tcPr>
          <w:p>
            <w:pPr>
              <w:pStyle w:val="TableContents"/>
              <w:bidi w:val="0"/>
              <w:spacing w:before="0" w:after="283"/>
              <w:jc w:val="left"/>
              <w:rPr/>
            </w:pPr>
            <w:r>
              <w:rPr/>
              <w:t> </w:t>
            </w:r>
          </w:p>
        </w:tc>
      </w:tr>
      <w:tr>
        <w:trPr/>
        <w:tc>
          <w:tcPr>
            <w:tcW w:w="13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2024</w:t>
            </w:r>
          </w:p>
        </w:tc>
        <w:tc>
          <w:tcPr>
            <w:tcW w:w="146" w:type="dxa"/>
            <w:tcBorders/>
            <w:vAlign w:val="bottom"/>
          </w:tcPr>
          <w:p>
            <w:pPr>
              <w:pStyle w:val="TableContents"/>
              <w:bidi w:val="0"/>
              <w:spacing w:before="0" w:after="283"/>
              <w:jc w:val="left"/>
              <w:rPr/>
            </w:pPr>
            <w:r>
              <w:rPr/>
              <w:t> </w:t>
            </w:r>
          </w:p>
        </w:tc>
        <w:tc>
          <w:tcPr>
            <w:tcW w:w="44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30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1,864,000</w:t>
            </w:r>
          </w:p>
        </w:tc>
      </w:tr>
      <w:tr>
        <w:trPr/>
        <w:tc>
          <w:tcPr>
            <w:tcW w:w="136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 CPO</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15,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173,750</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260,625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6" w:type="dxa"/>
            <w:tcBorders/>
            <w:shd w:fill="CCEEFF" w:val="clear"/>
            <w:vAlign w:val="bottom"/>
          </w:tcPr>
          <w:p>
            <w:pPr>
              <w:pStyle w:val="TableContents"/>
              <w:bidi w:val="0"/>
              <w:spacing w:before="0" w:after="283"/>
              <w:jc w:val="left"/>
              <w:rPr/>
            </w:pPr>
            <w:r>
              <w:rPr/>
              <w:t> </w:t>
            </w:r>
          </w:p>
        </w:tc>
      </w:tr>
      <w:tr>
        <w:trPr/>
        <w:tc>
          <w:tcPr>
            <w:tcW w:w="13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 2024</w:t>
            </w:r>
          </w:p>
        </w:tc>
        <w:tc>
          <w:tcPr>
            <w:tcW w:w="146"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w:t>
            </w:r>
          </w:p>
        </w:tc>
        <w:tc>
          <w:tcPr>
            <w:tcW w:w="30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Service vesting-based restricted stock granted on August 1, 2024 as part of the company wide annual compensation review. The service vesting-based restricted stock award will vest 1/36 on a monthly schedule on September 1, 2024 with the remainder vesting over 3 years subject to the executive’s continued service with the Company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Amounts refer to target and maximum cash payments available to NEOs under the annual incentive compensation plan. Prorated salary changes effective August 1, 2024 were used for full year targets and maximum payouts. Despite our strong 2024 performance, our Compensation Committee exercised its discretion to reduce payouts under our 2024 non-equity incentive plan awards to 50% of our NEOs’ target amounts.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Outstanding Equity Awards at 2024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Company’s named executive officers as of December 31, 2024.</w:t>
      </w:r>
    </w:p>
    <w:tbl>
      <w:tblPr>
        <w:tblW w:w="10205" w:type="dxa"/>
        <w:jc w:val="left"/>
        <w:tblInd w:w="0" w:type="dxa"/>
        <w:tblLayout w:type="fixed"/>
        <w:tblCellMar>
          <w:top w:w="0" w:type="dxa"/>
          <w:left w:w="0" w:type="dxa"/>
          <w:bottom w:w="0" w:type="dxa"/>
          <w:right w:w="0" w:type="dxa"/>
        </w:tblCellMar>
      </w:tblPr>
      <w:tblGrid>
        <w:gridCol w:w="2676"/>
        <w:gridCol w:w="146"/>
        <w:gridCol w:w="1524"/>
        <w:gridCol w:w="146"/>
        <w:gridCol w:w="1099"/>
        <w:gridCol w:w="432"/>
        <w:gridCol w:w="146"/>
        <w:gridCol w:w="1481"/>
        <w:gridCol w:w="146"/>
        <w:gridCol w:w="301"/>
        <w:gridCol w:w="701"/>
        <w:gridCol w:w="146"/>
        <w:gridCol w:w="1261"/>
      </w:tblGrid>
      <w:tr>
        <w:trPr/>
        <w:tc>
          <w:tcPr>
            <w:tcW w:w="2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83"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r>
      <w:tr>
        <w:trPr/>
        <w:tc>
          <w:tcPr>
            <w:tcW w:w="2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2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exercisable(1)</w:t>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incentive </w:t>
              <w:br/>
              <w:t xml:space="preserve">plan awards: </w:t>
              <w:br/>
              <w:t xml:space="preserve">number of </w:t>
              <w:br/>
              <w:t xml:space="preserve">securities </w:t>
              <w:br/>
              <w:t xml:space="preserve">underlying </w:t>
              <w:br/>
              <w:t xml:space="preserve">unexercised </w:t>
              <w:br/>
              <w:t xml:space="preserve">unearned </w:t>
              <w:br/>
              <w:t xml:space="preserve">options </w:t>
              <w:br/>
              <w:t>(#)</w:t>
            </w:r>
          </w:p>
        </w:tc>
        <w:tc>
          <w:tcPr>
            <w:tcW w:w="146"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r>
      <w:tr>
        <w:trPr/>
        <w:tc>
          <w:tcPr>
            <w:tcW w:w="2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2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15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250,798</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57,879</w:t>
            </w:r>
          </w:p>
        </w:tc>
        <w:tc>
          <w:tcPr>
            <w:tcW w:w="4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9/27/2031</w:t>
            </w:r>
          </w:p>
        </w:tc>
      </w:tr>
      <w:tr>
        <w:trPr/>
        <w:tc>
          <w:tcPr>
            <w:tcW w:w="2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138,905</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9/6/2027</w:t>
            </w:r>
          </w:p>
        </w:tc>
      </w:tr>
      <w:tr>
        <w:trPr/>
        <w:tc>
          <w:tcPr>
            <w:tcW w:w="2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138,907</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8/15/2029</w:t>
            </w:r>
          </w:p>
        </w:tc>
      </w:tr>
      <w:tr>
        <w:trPr/>
        <w:tc>
          <w:tcPr>
            <w:tcW w:w="2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444,499</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10/27/2030</w:t>
            </w:r>
          </w:p>
        </w:tc>
      </w:tr>
      <w:tr>
        <w:trPr/>
        <w:tc>
          <w:tcPr>
            <w:tcW w:w="2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 CTO</w:t>
            </w:r>
          </w:p>
        </w:tc>
        <w:tc>
          <w:tcPr>
            <w:tcW w:w="146" w:type="dxa"/>
            <w:tcBorders/>
            <w:vAlign w:val="bottom"/>
          </w:tcPr>
          <w:p>
            <w:pPr>
              <w:pStyle w:val="TableContents"/>
              <w:bidi w:val="0"/>
              <w:spacing w:before="0" w:after="283"/>
              <w:jc w:val="left"/>
              <w:rPr/>
            </w:pPr>
            <w:r>
              <w:rPr/>
              <w:t> </w:t>
            </w:r>
          </w:p>
        </w:tc>
        <w:tc>
          <w:tcPr>
            <w:tcW w:w="15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166,688</w:t>
            </w:r>
          </w:p>
        </w:tc>
        <w:tc>
          <w:tcPr>
            <w:tcW w:w="14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8/15/2029</w:t>
            </w:r>
          </w:p>
        </w:tc>
      </w:tr>
      <w:tr>
        <w:trPr/>
        <w:tc>
          <w:tcPr>
            <w:tcW w:w="2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 CPO</w:t>
            </w:r>
          </w:p>
        </w:tc>
        <w:tc>
          <w:tcPr>
            <w:tcW w:w="146"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Awards are fully vested.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Grant Date of September 27, 2021; four year vesting schedule, under which 25% will vest 12 months after the grant date, and 3/48th of the shares will vest at the end of each quarter thereafter.</w:t>
      </w:r>
    </w:p>
    <w:tbl>
      <w:tblPr>
        <w:tblW w:w="10205" w:type="dxa"/>
        <w:jc w:val="left"/>
        <w:tblInd w:w="0" w:type="dxa"/>
        <w:tblLayout w:type="fixed"/>
        <w:tblCellMar>
          <w:top w:w="0" w:type="dxa"/>
          <w:left w:w="0" w:type="dxa"/>
          <w:bottom w:w="0" w:type="dxa"/>
          <w:right w:w="0" w:type="dxa"/>
        </w:tblCellMar>
      </w:tblPr>
      <w:tblGrid>
        <w:gridCol w:w="2526"/>
        <w:gridCol w:w="146"/>
        <w:gridCol w:w="1294"/>
        <w:gridCol w:w="146"/>
        <w:gridCol w:w="1234"/>
        <w:gridCol w:w="146"/>
        <w:gridCol w:w="226"/>
        <w:gridCol w:w="1186"/>
        <w:gridCol w:w="146"/>
        <w:gridCol w:w="1475"/>
        <w:gridCol w:w="146"/>
        <w:gridCol w:w="258"/>
        <w:gridCol w:w="1276"/>
      </w:tblGrid>
      <w:tr>
        <w:trPr/>
        <w:tc>
          <w:tcPr>
            <w:tcW w:w="2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33"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2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w:t>
              <w:br/>
              <w:t xml:space="preserve">stock that </w:t>
              <w:br/>
              <w:t xml:space="preserve">have not </w:t>
              <w:br/>
              <w:t>vested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w:t>
              <w:br/>
              <w:t xml:space="preserve">value of </w:t>
              <w:br/>
              <w:t xml:space="preserve">shares or </w:t>
              <w:br/>
              <w:t xml:space="preserve">units of </w:t>
              <w:br/>
              <w:t xml:space="preserve">stock that </w:t>
              <w:br/>
              <w:t xml:space="preserve">have not </w:t>
              <w:br/>
              <w:t>vested(2)</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vested(1)</w:t>
            </w:r>
          </w:p>
        </w:tc>
        <w:tc>
          <w:tcPr>
            <w:tcW w:w="146" w:type="dxa"/>
            <w:tcBorders/>
            <w:vAlign w:val="bottom"/>
          </w:tcPr>
          <w:p>
            <w:pPr>
              <w:pStyle w:val="TableContents"/>
              <w:bidi w:val="0"/>
              <w:spacing w:before="0" w:after="283"/>
              <w:jc w:val="left"/>
              <w:rPr/>
            </w:pPr>
            <w:r>
              <w:rPr/>
              <w:t> </w:t>
            </w:r>
          </w:p>
        </w:tc>
        <w:tc>
          <w:tcPr>
            <w:tcW w:w="153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incentive </w:t>
              <w:br/>
              <w:t xml:space="preserve">plan 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vested(2)</w:t>
              <w:br/>
              <w:t>($)</w:t>
            </w:r>
          </w:p>
        </w:tc>
      </w:tr>
      <w:tr>
        <w:trPr/>
        <w:tc>
          <w:tcPr>
            <w:tcW w:w="2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7/20/2022(3)</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5,059,200</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480,000</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9,523,200</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9/7/2022(4)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1,984,000</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8/3/2023(4)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333,333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6,613,327</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8/1/2024(4)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1,333,333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26,453,327</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7/20/2022(3)</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1,116,000</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3,968,000</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9/7/2022(4)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992,000</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8/3/2023(4)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194,444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3,857,769</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8/1/2024(4)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666,667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13,226,673</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r>
        <w:trPr/>
        <w:tc>
          <w:tcPr>
            <w:tcW w:w="2526" w:type="dxa"/>
            <w:tcBorders/>
            <w:shd w:fill="CCEEFF" w:val="clear"/>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8/4/2022(3)</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106,250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2,108,000</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6" w:type="dxa"/>
            <w:tcBorders/>
            <w:shd w:fill="CCEEFF"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3,968,000</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9/7/2022(4)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992,000</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8/3/2023(4)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194,444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3,857,769</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8/1/2024(4)</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666,667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13,226,673</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r>
      <w:tr>
        <w:trPr/>
        <w:tc>
          <w:tcPr>
            <w:tcW w:w="2526" w:type="dxa"/>
            <w:tcBorders/>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 CPO</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8/4/2022(3)</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1,686,400</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3,174,400</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9/7/2022(4)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771,558</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8/3/2023(4)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2,204,442</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r>
        <w:trPr/>
        <w:tc>
          <w:tcPr>
            <w:tcW w:w="2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8/1/2024(4)</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355,556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7,054,231</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24"/>
        <w:gridCol w:w="146"/>
        <w:gridCol w:w="1207"/>
        <w:gridCol w:w="146"/>
        <w:gridCol w:w="1232"/>
        <w:gridCol w:w="146"/>
        <w:gridCol w:w="226"/>
        <w:gridCol w:w="1066"/>
        <w:gridCol w:w="146"/>
        <w:gridCol w:w="1483"/>
        <w:gridCol w:w="146"/>
        <w:gridCol w:w="259"/>
        <w:gridCol w:w="1278"/>
      </w:tblGrid>
      <w:tr>
        <w:trPr/>
        <w:tc>
          <w:tcPr>
            <w:tcW w:w="272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35"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27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w:t>
              <w:br/>
              <w:t xml:space="preserve">stock that </w:t>
              <w:br/>
              <w:t xml:space="preserve">have not </w:t>
              <w:br/>
              <w:t>vested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w:t>
              <w:br/>
              <w:t xml:space="preserve">value of </w:t>
              <w:br/>
              <w:t xml:space="preserve">shares or </w:t>
              <w:br/>
              <w:t xml:space="preserve">units of </w:t>
              <w:br/>
              <w:t xml:space="preserve">stock that </w:t>
              <w:br/>
              <w:t xml:space="preserve">have not </w:t>
              <w:br/>
              <w:t>vested(2)</w:t>
            </w:r>
          </w:p>
        </w:tc>
        <w:tc>
          <w:tcPr>
            <w:tcW w:w="146" w:type="dxa"/>
            <w:tcBorders/>
            <w:vAlign w:val="bottom"/>
          </w:tcPr>
          <w:p>
            <w:pPr>
              <w:pStyle w:val="TableContents"/>
              <w:bidi w:val="0"/>
              <w:spacing w:before="0" w:after="283"/>
              <w:jc w:val="left"/>
              <w:rPr/>
            </w:pPr>
            <w:r>
              <w:rPr/>
              <w:t> </w:t>
            </w:r>
          </w:p>
        </w:tc>
        <w:tc>
          <w:tcPr>
            <w:tcW w:w="148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vested(1)</w:t>
            </w:r>
          </w:p>
        </w:tc>
        <w:tc>
          <w:tcPr>
            <w:tcW w:w="146" w:type="dxa"/>
            <w:tcBorders/>
            <w:vAlign w:val="bottom"/>
          </w:tcPr>
          <w:p>
            <w:pPr>
              <w:pStyle w:val="TableContents"/>
              <w:bidi w:val="0"/>
              <w:spacing w:before="0" w:after="283"/>
              <w:jc w:val="left"/>
              <w:rPr/>
            </w:pPr>
            <w:r>
              <w:rPr/>
              <w:t> </w:t>
            </w:r>
          </w:p>
        </w:tc>
        <w:tc>
          <w:tcPr>
            <w:tcW w:w="15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incentive </w:t>
              <w:br/>
              <w:t xml:space="preserve">plan 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vested(2)</w:t>
              <w:br/>
              <w:t>($)</w:t>
            </w:r>
          </w:p>
        </w:tc>
      </w:tr>
      <w:tr>
        <w:trPr/>
        <w:tc>
          <w:tcPr>
            <w:tcW w:w="272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 CTO</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8/4/2022(3)</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74,375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1,475,600</w:t>
            </w:r>
          </w:p>
        </w:tc>
        <w:tc>
          <w:tcPr>
            <w:tcW w:w="14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w:t>
            </w:r>
          </w:p>
        </w:tc>
        <w:tc>
          <w:tcPr>
            <w:tcW w:w="14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2,777,600</w:t>
            </w:r>
          </w:p>
        </w:tc>
      </w:tr>
      <w:tr>
        <w:trPr/>
        <w:tc>
          <w:tcPr>
            <w:tcW w:w="2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9/7/2022(4)</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771,558</w:t>
            </w:r>
          </w:p>
        </w:tc>
        <w:tc>
          <w:tcPr>
            <w:tcW w:w="14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8" w:type="dxa"/>
            <w:tcBorders/>
            <w:shd w:fill="CCEEFF" w:val="clear"/>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8/3/2023(4)</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111,111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2,204,442</w:t>
            </w:r>
          </w:p>
        </w:tc>
        <w:tc>
          <w:tcPr>
            <w:tcW w:w="14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8" w:type="dxa"/>
            <w:tcBorders/>
            <w:shd w:fill="CCEEFF" w:val="clear"/>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8/1/2024(4)</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355,556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7,054,231</w:t>
            </w:r>
          </w:p>
        </w:tc>
        <w:tc>
          <w:tcPr>
            <w:tcW w:w="14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78"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PSU awards with performance goals not currently expected to be achieved but are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amounts shown in columns (h) and (j) are determined by multiplying the number of shares or units shown in column (c) or (e), as applicable, by $19.84, the closing price of our common stock on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Vesting in equal monthly installments over 4 years (48 months) from the grant date listed subject to the executive’s continued employment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Vesting in equal monthly installments over 3 years (36 months) from the grant date listed subject to the executive’s continued employment through the applicable vesting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Option Exercises and Stock Vested at 2024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Option Exercises and Stock Vested table sets forth certain information regarding each exercise of stock options and each vesting of restricted stock during the last completed year for each of the named executive officers on an aggregated basis.</w:t>
      </w:r>
    </w:p>
    <w:tbl>
      <w:tblPr>
        <w:tblW w:w="9202" w:type="dxa"/>
        <w:jc w:val="left"/>
        <w:tblInd w:w="0" w:type="dxa"/>
        <w:tblLayout w:type="fixed"/>
        <w:tblCellMar>
          <w:top w:w="0" w:type="dxa"/>
          <w:left w:w="0" w:type="dxa"/>
          <w:bottom w:w="0" w:type="dxa"/>
          <w:right w:w="0" w:type="dxa"/>
        </w:tblCellMar>
      </w:tblPr>
      <w:tblGrid>
        <w:gridCol w:w="2731"/>
        <w:gridCol w:w="146"/>
        <w:gridCol w:w="1381"/>
        <w:gridCol w:w="146"/>
        <w:gridCol w:w="226"/>
        <w:gridCol w:w="1186"/>
        <w:gridCol w:w="376"/>
        <w:gridCol w:w="146"/>
        <w:gridCol w:w="1381"/>
        <w:gridCol w:w="146"/>
        <w:gridCol w:w="226"/>
        <w:gridCol w:w="1111"/>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bottom"/>
          </w:tcPr>
          <w:p>
            <w:pPr>
              <w:pStyle w:val="TableContents"/>
              <w:bidi w:val="0"/>
              <w:spacing w:before="0" w:after="283"/>
              <w:jc w:val="left"/>
              <w:rPr/>
            </w:pPr>
            <w:r>
              <w:rPr/>
              <w:t> </w:t>
            </w:r>
          </w:p>
        </w:tc>
        <w:tc>
          <w:tcPr>
            <w:tcW w:w="286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acquired on </w:t>
              <w:br/>
              <w:t xml:space="preserve">exercise </w:t>
              <w:br/>
              <w:t>(#)</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w:t>
              <w:br/>
              <w:t xml:space="preserve">realized on </w:t>
              <w:br/>
              <w:t xml:space="preserve">exercise </w:t>
              <w:br/>
              <w: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acquired on </w:t>
              <w:br/>
              <w:t xml:space="preserve">vesting </w:t>
              <w:br/>
              <w:t>(#)</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w:t>
              <w:br/>
              <w:t xml:space="preserve">realized on </w:t>
              <w:br/>
              <w:t xml:space="preserve">vesting </w:t>
              <w:br/>
              <w:t>($)</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 CEO</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833,435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10,706,059</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696,667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7,378,689</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 CFO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356,250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3,760,173</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 COO</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416,719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7,452,077</w:t>
            </w:r>
          </w:p>
        </w:tc>
        <w:tc>
          <w:tcPr>
            <w:tcW w:w="3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3,704,486</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 CTO</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221,944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2,128,345</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 CPO</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229,444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2,364,191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value realized on exercise equals the difference between the fair market value at the exercise date less the exercise price of the option.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Pension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defined benefit plans or other supplemental retirement plans for the named executive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Nonqualified Deferred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nonqualified defined contribution plans or other nonqualified deferred compensation plans for the named executive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Upon a Termination or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w:t>
      </w:r>
    </w:p>
    <w:tbl>
      <w:tblPr>
        <w:tblW w:w="12337" w:type="dxa"/>
        <w:jc w:val="left"/>
        <w:tblInd w:w="0" w:type="dxa"/>
        <w:tblLayout w:type="fixed"/>
        <w:tblCellMar>
          <w:top w:w="0" w:type="dxa"/>
          <w:left w:w="0" w:type="dxa"/>
          <w:bottom w:w="0" w:type="dxa"/>
          <w:right w:w="0" w:type="dxa"/>
        </w:tblCellMar>
      </w:tblPr>
      <w:tblGrid>
        <w:gridCol w:w="1211"/>
        <w:gridCol w:w="146"/>
        <w:gridCol w:w="325"/>
        <w:gridCol w:w="1206"/>
        <w:gridCol w:w="146"/>
        <w:gridCol w:w="765"/>
        <w:gridCol w:w="766"/>
        <w:gridCol w:w="146"/>
        <w:gridCol w:w="211"/>
        <w:gridCol w:w="781"/>
        <w:gridCol w:w="146"/>
        <w:gridCol w:w="341"/>
        <w:gridCol w:w="1265"/>
        <w:gridCol w:w="146"/>
        <w:gridCol w:w="269"/>
        <w:gridCol w:w="1322"/>
        <w:gridCol w:w="146"/>
        <w:gridCol w:w="371"/>
        <w:gridCol w:w="1190"/>
        <w:gridCol w:w="146"/>
        <w:gridCol w:w="211"/>
        <w:gridCol w:w="1081"/>
      </w:tblGrid>
      <w:tr>
        <w:trPr/>
        <w:tc>
          <w:tcPr>
            <w:tcW w:w="12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BASE </w:t>
              <w:br/>
              <w:t xml:space="preserve">SALARY </w:t>
              <w:br/>
              <w:t xml:space="preserve">CONTINUATION </w:t>
              <w:b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CASH BONUS </w:t>
              <w:br/>
              <w:t xml:space="preserve">CONTINUATION </w:t>
              <w:b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ACCRUED </w:t>
              <w:br/>
              <w:t xml:space="preserve">ANNUAL </w:t>
              <w:br/>
              <w:t xml:space="preserve">CASH </w:t>
              <w:br/>
              <w:t xml:space="preserve">BONUS </w:t>
              <w:br/>
              <w:t>($)</w:t>
            </w:r>
          </w:p>
        </w:tc>
        <w:tc>
          <w:tcPr>
            <w:tcW w:w="146"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CONTINUED </w:t>
              <w:br/>
              <w:t xml:space="preserve">VESTING &amp; </w:t>
              <w:br/>
              <w:t xml:space="preserve">EXERCISABILITY </w:t>
              <w:br/>
              <w:t xml:space="preserve">OF UNVESTED </w:t>
              <w:br/>
              <w:t xml:space="preserve">STOCK </w:t>
              <w:br/>
              <w:t>OPTIONS</w:t>
            </w:r>
            <w:r>
              <w:rPr>
                <w:rFonts w:ascii="Times New Roman PS Std;serif" w:hAnsi="Times New Roman PS Std;serif"/>
                <w:b/>
                <w:i w:val="false"/>
                <w:caps w:val="false"/>
                <w:smallCaps w:val="false"/>
                <w:sz w:val="8"/>
              </w:rPr>
              <w:t>(2)</w:t>
            </w:r>
            <w:r>
              <w:rPr>
                <w:rFonts w:ascii="Times New Roman PS Std;serif" w:hAnsi="Times New Roman PS Std;serif"/>
                <w:b/>
                <w:i w:val="false"/>
                <w:caps w:val="false"/>
                <w:smallCaps w:val="false"/>
                <w:sz w:val="16"/>
              </w:rPr>
              <w:br/>
              <w:t>($)</w:t>
            </w:r>
          </w:p>
        </w:tc>
        <w:tc>
          <w:tcPr>
            <w:tcW w:w="146"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CONTINUED </w:t>
              <w:br/>
              <w:t xml:space="preserve">VESTING OF </w:t>
              <w:br/>
              <w:t xml:space="preserve">UNVESTED </w:t>
              <w:br/>
              <w:t xml:space="preserve">STOCK </w:t>
              <w:br/>
              <w:t>UNITS</w:t>
            </w:r>
            <w:r>
              <w:rPr>
                <w:rFonts w:ascii="Times New Roman PS Std;serif" w:hAnsi="Times New Roman PS Std;serif"/>
                <w:b/>
                <w:i w:val="false"/>
                <w:caps w:val="false"/>
                <w:smallCaps w:val="false"/>
                <w:sz w:val="8"/>
              </w:rPr>
              <w:t>(3)</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HEALTH</w:t>
              <w:br/>
              <w:t xml:space="preserve">BENEFIT </w:t>
              <w:br/>
              <w:t>CONTINUATION</w:t>
            </w:r>
            <w:r>
              <w:rPr>
                <w:rFonts w:ascii="Times New Roman PS Std;serif" w:hAnsi="Times New Roman PS Std;serif"/>
                <w:b/>
                <w:i w:val="false"/>
                <w:caps w:val="false"/>
                <w:smallCaps w:val="false"/>
                <w:sz w:val="8"/>
              </w:rPr>
              <w:t>(4)</w:t>
            </w:r>
            <w:r>
              <w:rPr>
                <w:rFonts w:ascii="Times New Roman PS Std;serif" w:hAnsi="Times New Roman PS Std;serif"/>
                <w:b/>
                <w:i w:val="false"/>
                <w:caps w:val="false"/>
                <w:smallCaps w:val="false"/>
                <w:sz w:val="16"/>
              </w:rPr>
              <w:br/>
              <w:t>($)</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 Keyvan Mohajer, CEO</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Without Cause/With Good Reason</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133,250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533,000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666,250</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Change in Control</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533,000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533,000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49,633,053</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10,402</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50,709,456</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Nitesh Sharan, CFO</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Without Cause/With Good Reason</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110,500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287,300</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397,800</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Change in Control</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442,000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287,300</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713,417</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23,160,442</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6,025</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24,609,184</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Zagorsek, COO</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Without Cause/With Good Reason</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108,500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282,100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390,600</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Change in Control</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434,000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282,100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24,152,442</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24,875,792</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Timothy Stonehocker, CTO</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Without Cause/With Good Reason</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182,500</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273,750</w:t>
            </w:r>
          </w:p>
        </w:tc>
      </w:tr>
      <w:tr>
        <w:trPr/>
        <w:tc>
          <w:tcPr>
            <w:tcW w:w="12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Change in Control</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365,000</w:t>
            </w:r>
          </w:p>
        </w:tc>
        <w:tc>
          <w:tcPr>
            <w:tcW w:w="146" w:type="dxa"/>
            <w:tcBorders/>
            <w:vAlign w:val="bottom"/>
          </w:tcPr>
          <w:p>
            <w:pPr>
              <w:pStyle w:val="TableContents"/>
              <w:bidi w:val="0"/>
              <w:spacing w:before="0" w:after="283"/>
              <w:jc w:val="left"/>
              <w:rPr/>
            </w:pPr>
            <w:r>
              <w:rPr/>
              <w:t> </w:t>
            </w:r>
          </w:p>
        </w:tc>
        <w:tc>
          <w:tcPr>
            <w:tcW w:w="76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182,500</w:t>
            </w:r>
          </w:p>
        </w:tc>
        <w:tc>
          <w:tcPr>
            <w:tcW w:w="146"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2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14,283,431</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0.00</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14,830,931</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James Hom, CPO</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Without Cause/With Good Reason</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2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273,750</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Change in Control</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365,000</w:t>
            </w:r>
          </w:p>
        </w:tc>
        <w:tc>
          <w:tcPr>
            <w:tcW w:w="146"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182,500</w:t>
            </w:r>
          </w:p>
        </w:tc>
        <w:tc>
          <w:tcPr>
            <w:tcW w:w="14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14,891,031</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15,438,531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will pay an amount equal to 3 months of the NEOs’ then current base salary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the closing market price of a share of our Class A common stock as of December 31, 2024 ($19.84), minus, in the case of stock options, the exercise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will accelerate the vesting of any stock options that have time-based vesting and the RSUs such that will be deemed vested (as of the date of employment terminates). The Company may accelerate the vesting of PSUs in connection with the negotiation of any Change in Control transaction, which are included in the table.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when becoming eligible for substantially equivalent health insurance coverage in connection with new employment.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CEO Pay Ratio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mandate of the Dodd-Frank Act, the SEC adopted a rule requiring that we annually disclose the ratio of our median employee’s total annual compensation to the total annual compensation of our CEO, Keyvan Mohajer, who is also our principal executive officer (the “</w:t>
      </w:r>
      <w:r>
        <w:rPr>
          <w:rFonts w:ascii="Times New Roman PS Std;serif" w:hAnsi="Times New Roman PS Std;serif"/>
          <w:b/>
          <w:i w:val="false"/>
          <w:caps w:val="false"/>
          <w:smallCaps w:val="false"/>
          <w:sz w:val="20"/>
        </w:rPr>
        <w:t>CEO Pay Ratio</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median employee using annual total compensation, as determined pursuant to the Company’s tax and payroll records. We then determined the median employee’s compensation in accordance with Item 402(c)(2)(x) of Regulation S-K, as if the median employee’s pay were reportable in the Summary Compensation Table. Salary and wages were annualized for any permanent employees hired during the most recent fiscal year. A total of 373 employees globally who were employed by the Company on December 31, 2024, the last day of the Company’s fiscal year, were included in the determination of this calculation (including all employees, whether employed on a full-time, part-time, seasonal or temporary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Mohajer’s, the Company’s CEO, total compensation in 2024 per our Summary Compensation Table was $7,716,875 and our median employee’s total compensation in 2024 was $184,823. Therefore, the Company’s 2024 CEO Pay Ratio was 42:1.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 Versus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the Dodd-Frank Wall Street Reform and Consumer Protection Act and Item 402(v) of Regulation S-K, we are providing the following information regarding executive pay and performance. The table below shows pay both as reported in the Summary Compensation Table for the applicable fiscal year and as “compensation actually paid” (or “</w:t>
      </w:r>
      <w:r>
        <w:rPr>
          <w:rFonts w:ascii="Times New Roman PS Std;serif" w:hAnsi="Times New Roman PS Std;serif"/>
          <w:b/>
          <w:i w:val="false"/>
          <w:caps w:val="false"/>
          <w:smallCaps w:val="false"/>
          <w:sz w:val="20"/>
        </w:rPr>
        <w:t>CAP</w:t>
      </w:r>
      <w:r>
        <w:rPr>
          <w:rFonts w:ascii="Times New Roman PS Std;serif" w:hAnsi="Times New Roman PS Std;serif"/>
          <w:b w:val="false"/>
          <w:i w:val="false"/>
          <w:caps w:val="false"/>
          <w:smallCaps w:val="false"/>
          <w:sz w:val="20"/>
        </w:rPr>
        <w:t>”) for our principal executive officer and as an average of all of our other NEOs (the “</w:t>
      </w:r>
      <w:r>
        <w:rPr>
          <w:rFonts w:ascii="Times New Roman PS Std;serif" w:hAnsi="Times New Roman PS Std;serif"/>
          <w:b/>
          <w:i w:val="false"/>
          <w:caps w:val="false"/>
          <w:smallCaps w:val="false"/>
          <w:sz w:val="20"/>
        </w:rPr>
        <w:t>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NEOs</w:t>
      </w:r>
      <w:r>
        <w:rPr>
          <w:rFonts w:ascii="Times New Roman PS Std;serif" w:hAnsi="Times New Roman PS Std;serif"/>
          <w:b w:val="false"/>
          <w:i w:val="false"/>
          <w:caps w:val="false"/>
          <w:smallCaps w:val="false"/>
          <w:sz w:val="20"/>
        </w:rPr>
        <w:t>”) for the applicable fiscal year. Both the Summary Compensation Table pay and CAP are calculated in accordance with the requirements of Regulation S-K and may differ substantially from the manner in which the Compensation Committee makes decisions regarding executive pay. We describe the Compensation Committee’s decision-making process for executive compensation above in the CD&amp;A.</w:t>
      </w:r>
    </w:p>
    <w:tbl>
      <w:tblPr>
        <w:tblW w:w="12863" w:type="dxa"/>
        <w:jc w:val="left"/>
        <w:tblInd w:w="0" w:type="dxa"/>
        <w:tblLayout w:type="fixed"/>
        <w:tblCellMar>
          <w:top w:w="0" w:type="dxa"/>
          <w:left w:w="0" w:type="dxa"/>
          <w:bottom w:w="0" w:type="dxa"/>
          <w:right w:w="0" w:type="dxa"/>
        </w:tblCellMar>
      </w:tblPr>
      <w:tblGrid>
        <w:gridCol w:w="586"/>
        <w:gridCol w:w="146"/>
        <w:gridCol w:w="243"/>
        <w:gridCol w:w="1198"/>
        <w:gridCol w:w="146"/>
        <w:gridCol w:w="243"/>
        <w:gridCol w:w="1198"/>
        <w:gridCol w:w="146"/>
        <w:gridCol w:w="266"/>
        <w:gridCol w:w="1175"/>
        <w:gridCol w:w="146"/>
        <w:gridCol w:w="243"/>
        <w:gridCol w:w="1198"/>
        <w:gridCol w:w="146"/>
        <w:gridCol w:w="414"/>
        <w:gridCol w:w="817"/>
        <w:gridCol w:w="280"/>
        <w:gridCol w:w="484"/>
        <w:gridCol w:w="747"/>
        <w:gridCol w:w="146"/>
        <w:gridCol w:w="211"/>
        <w:gridCol w:w="841"/>
        <w:gridCol w:w="166"/>
        <w:gridCol w:w="146"/>
        <w:gridCol w:w="346"/>
        <w:gridCol w:w="1185"/>
      </w:tblGrid>
      <w:tr>
        <w:trPr/>
        <w:tc>
          <w:tcPr>
            <w:tcW w:w="5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Summary </w:t>
              <w:br/>
              <w:t xml:space="preserve">Compensation </w:t>
              <w:br/>
              <w:t xml:space="preserve">Total </w:t>
              <w:br/>
              <w:t xml:space="preserve">Compensation </w:t>
              <w:br/>
              <w:t>for PEO</w:t>
            </w:r>
            <w:r>
              <w:rPr>
                <w:rFonts w:ascii="Times New Roman PS Std;serif" w:hAnsi="Times New Roman PS Std;serif"/>
                <w:b/>
                <w:i w:val="false"/>
                <w:caps w:val="false"/>
                <w:smallCaps w:val="false"/>
                <w:sz w:val="8"/>
              </w:rPr>
              <w:t>(1)</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Compensation </w:t>
              <w:br/>
              <w:t xml:space="preserve">Actually Paid </w:t>
              <w:br/>
              <w:t>to PEO</w:t>
            </w:r>
            <w:r>
              <w:rPr>
                <w:rFonts w:ascii="Times New Roman PS Std;serif" w:hAnsi="Times New Roman PS Std;serif"/>
                <w:b/>
                <w:i w:val="false"/>
                <w:caps w:val="false"/>
                <w:smallCaps w:val="false"/>
                <w:sz w:val="8"/>
              </w:rPr>
              <w:t>(2)</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Average </w:t>
              <w:br/>
              <w:t xml:space="preserve">Summary </w:t>
              <w:br/>
              <w:t xml:space="preserve">Compensation </w:t>
              <w:br/>
              <w:t xml:space="preserve">Table Total </w:t>
              <w:br/>
              <w:t xml:space="preserve">Compensation </w:t>
              <w:br/>
              <w:t xml:space="preserve">Paid to Non- </w:t>
              <w:br/>
              <w:t>PEO NEOs</w:t>
            </w:r>
            <w:r>
              <w:rPr>
                <w:rFonts w:ascii="Times New Roman PS Std;serif" w:hAnsi="Times New Roman PS Std;serif"/>
                <w:b/>
                <w:i w:val="false"/>
                <w:caps w:val="false"/>
                <w:smallCaps w:val="false"/>
                <w:sz w:val="8"/>
              </w:rPr>
              <w:t>(1)</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Average </w:t>
              <w:br/>
              <w:t xml:space="preserve">Compensation </w:t>
              <w:br/>
              <w:t xml:space="preserve">Actually Paid </w:t>
              <w:br/>
              <w:t xml:space="preserve">to Non-CEO </w:t>
              <w:br/>
              <w:t>NEOs</w:t>
            </w:r>
            <w:r>
              <w:rPr>
                <w:rFonts w:ascii="Times New Roman PS Std;serif" w:hAnsi="Times New Roman PS Std;serif"/>
                <w:b/>
                <w:i w:val="false"/>
                <w:caps w:val="false"/>
                <w:smallCaps w:val="false"/>
                <w:sz w:val="8"/>
              </w:rPr>
              <w:t>(2)</w:t>
            </w:r>
          </w:p>
        </w:tc>
        <w:tc>
          <w:tcPr>
            <w:tcW w:w="146" w:type="dxa"/>
            <w:vMerge w:val="restart"/>
            <w:tcBorders/>
            <w:vAlign w:val="bottom"/>
          </w:tcPr>
          <w:p>
            <w:pPr>
              <w:pStyle w:val="TableContents"/>
              <w:bidi w:val="0"/>
              <w:spacing w:before="0" w:after="283"/>
              <w:jc w:val="left"/>
              <w:rPr/>
            </w:pPr>
            <w:r>
              <w:rPr/>
              <w:t> </w:t>
            </w:r>
          </w:p>
        </w:tc>
        <w:tc>
          <w:tcPr>
            <w:tcW w:w="2742"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Initial Fixed $100 </w:t>
              <w:br/>
              <w:t>Investment Based On:</w:t>
            </w:r>
          </w:p>
        </w:tc>
        <w:tc>
          <w:tcPr>
            <w:tcW w:w="146" w:type="dxa"/>
            <w:tcBorders/>
            <w:vAlign w:val="bottom"/>
          </w:tcPr>
          <w:p>
            <w:pPr>
              <w:pStyle w:val="TableContents"/>
              <w:bidi w:val="0"/>
              <w:spacing w:before="0" w:after="283"/>
              <w:jc w:val="left"/>
              <w:rPr/>
            </w:pPr>
            <w:r>
              <w:rPr/>
              <w:t> </w:t>
            </w:r>
          </w:p>
        </w:tc>
        <w:tc>
          <w:tcPr>
            <w:tcW w:w="121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Net </w:t>
              <w:br/>
              <w:t>Income</w:t>
            </w:r>
            <w:r>
              <w:rPr>
                <w:rFonts w:ascii="Times New Roman PS Std;serif" w:hAnsi="Times New Roman PS Std;serif"/>
                <w:b/>
                <w:i w:val="false"/>
                <w:caps w:val="false"/>
                <w:smallCaps w:val="false"/>
                <w:sz w:val="8"/>
              </w:rPr>
              <w:t>(4)</w:t>
            </w:r>
          </w:p>
        </w:tc>
        <w:tc>
          <w:tcPr>
            <w:tcW w:w="146" w:type="dxa"/>
            <w:vMerge w:val="restart"/>
            <w:tcBorders/>
            <w:vAlign w:val="bottom"/>
          </w:tcPr>
          <w:p>
            <w:pPr>
              <w:pStyle w:val="TableContents"/>
              <w:bidi w:val="0"/>
              <w:spacing w:before="0" w:after="283"/>
              <w:jc w:val="left"/>
              <w:rPr/>
            </w:pPr>
            <w:r>
              <w:rPr/>
              <w:t> </w:t>
            </w:r>
          </w:p>
        </w:tc>
        <w:tc>
          <w:tcPr>
            <w:tcW w:w="153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Revenue </w:t>
              <w:br/>
              <w:t>(in thousands)</w:t>
            </w:r>
            <w:r>
              <w:rPr>
                <w:rFonts w:ascii="Times New Roman PS Std;serif" w:hAnsi="Times New Roman PS Std;serif"/>
                <w:b/>
                <w:i w:val="false"/>
                <w:caps w:val="false"/>
                <w:smallCaps w:val="false"/>
                <w:sz w:val="8"/>
              </w:rPr>
              <w:t>(5)</w:t>
            </w:r>
          </w:p>
        </w:tc>
      </w:tr>
      <w:tr>
        <w:trPr/>
        <w:tc>
          <w:tcPr>
            <w:tcW w:w="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Total </w:t>
              <w:br/>
              <w:t xml:space="preserve">Shareholder </w:t>
              <w:br/>
              <w:t>Return</w:t>
            </w:r>
            <w:r>
              <w:rPr>
                <w:rFonts w:ascii="Times New Roman PS Std;serif" w:hAnsi="Times New Roman PS Std;serif"/>
                <w:b/>
                <w:i w:val="false"/>
                <w:caps w:val="false"/>
                <w:smallCaps w:val="false"/>
                <w:sz w:val="8"/>
              </w:rPr>
              <w:t>(3)</w:t>
            </w:r>
          </w:p>
        </w:tc>
        <w:tc>
          <w:tcPr>
            <w:tcW w:w="280"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Peer Group </w:t>
              <w:br/>
              <w:t xml:space="preserve">Total </w:t>
              <w:br/>
              <w:t xml:space="preserve">Shareholder </w:t>
              <w:br/>
              <w:t>Return</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21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1" w:type="dxa"/>
            <w:gridSpan w:val="2"/>
            <w:vMerge w:val="continue"/>
            <w:tcBorders/>
            <w:vAlign w:val="bottom"/>
          </w:tcPr>
          <w:p>
            <w:pPr>
              <w:pStyle w:val="Normal"/>
              <w:bidi w:val="0"/>
              <w:jc w:val="left"/>
              <w:rPr/>
            </w:pPr>
            <w:r>
              <w:rPr/>
            </w:r>
          </w:p>
        </w:tc>
      </w:tr>
      <w:tr>
        <w:trPr/>
        <w:tc>
          <w:tcPr>
            <w:tcW w:w="5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7,716,875</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54,715,854</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3,152,854</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22,622,580</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265</w:t>
            </w:r>
          </w:p>
        </w:tc>
        <w:tc>
          <w:tcPr>
            <w:tcW w:w="28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(350,681</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84,693</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1,863,978</w:t>
            </w:r>
          </w:p>
        </w:tc>
        <w:tc>
          <w:tcPr>
            <w:tcW w:w="146"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2,220,167</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998,949</w:t>
            </w:r>
          </w:p>
        </w:tc>
        <w:tc>
          <w:tcPr>
            <w:tcW w:w="146" w:type="dxa"/>
            <w:tcBorders/>
            <w:vAlign w:val="bottom"/>
          </w:tcPr>
          <w:p>
            <w:pPr>
              <w:pStyle w:val="TableContents"/>
              <w:bidi w:val="0"/>
              <w:spacing w:before="0" w:after="283"/>
              <w:jc w:val="left"/>
              <w:rPr/>
            </w:pPr>
            <w:r>
              <w:rPr/>
              <w:t> </w:t>
            </w:r>
          </w:p>
        </w:tc>
        <w:tc>
          <w:tcPr>
            <w:tcW w:w="24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1,218,070</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w:t>
            </w:r>
          </w:p>
        </w:tc>
        <w:tc>
          <w:tcPr>
            <w:tcW w:w="280" w:type="dxa"/>
            <w:tcBorders/>
            <w:vAlign w:val="bottom"/>
          </w:tcPr>
          <w:p>
            <w:pPr>
              <w:pStyle w:val="TableContents"/>
              <w:bidi w:val="0"/>
              <w:spacing w:before="0" w:after="283"/>
              <w:jc w:val="left"/>
              <w:rPr/>
            </w:pPr>
            <w:r>
              <w:rPr/>
              <w:t> </w:t>
            </w:r>
          </w:p>
        </w:tc>
        <w:tc>
          <w:tcPr>
            <w:tcW w:w="48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7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(88,937</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45,873</w:t>
            </w:r>
          </w:p>
        </w:tc>
      </w:tr>
      <w:tr>
        <w:trPr/>
        <w:tc>
          <w:tcPr>
            <w:tcW w:w="58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10,435,542</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3,652,792</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5,260,854</w:t>
            </w:r>
          </w:p>
        </w:tc>
        <w:tc>
          <w:tcPr>
            <w:tcW w:w="14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1,239,969</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w:t>
            </w:r>
          </w:p>
        </w:tc>
        <w:tc>
          <w:tcPr>
            <w:tcW w:w="28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74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(116,713</w:t>
            </w:r>
          </w:p>
        </w:tc>
        <w:tc>
          <w:tcPr>
            <w:tcW w:w="16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31,129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2023 and 2024, our PEO was Dr. Mohajer, and our Non-PEO NEOs were Messrs. Sharan, Zagorsek, Hom, and Stonehocker. For 2022, our PEO was Dr. Mohajer, and our Non-PEO NEOs were Messrs. Sharan and Irani.</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following table describes the adjustments to the Summary Compensation Table total pay for our PEO, as well as the average for our Non-PEO NEOs, to determine CAP, which has been computed in accordance with Item 402(v). Amounts do not reflect actual compensation earned or paid to our NEOs during the applicable year. Year-End Fair Value of Equity Awards Granted in the Year and Year Over Year Change in Fair Value of Equity Awards Granted in Prior Years were calculated using the closing market price of a share of our Class A common stock as of December 31, 2024 ($19.84).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reflect the cumulative total shareholder return (TSR) of our common stock and peer group at the end of each fiscal year. The TSR value listed in each year reflects what the cumulative value of $100 would be if invested on the date the Company began trading on Nasdaq following its Business Combination. The Peer Group consisted of BigBear.ai Holdings (BBAI), Cerence (CRNC), Five9 (FIVN), KORE Group Holdings (KORE), LivePerson (LPSN), Movella Holdings (MVLA), Fiscalnote Holdings (NOTE), Planet Labs (PL), Presto Automation (PRST), RingCentral (RNG), and Veritone (VERI).</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dollar amounts reported represent the net income reflected in the Company’s audited financial statements for the applicable year. SoundHound’s significant 2024 year-end stock price increase resulted in an increase in its fair value of contingent liabilities, negatively impacting the company’s net loss by $223 million. The fluctuation is non-operating and non-cash in nature and is calculated based on mark to market fair value accounting standards in accordance with GAAP.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While we use many financial and non-financial metrics to develop our executive compensation programs, revenue is the financial performance measure that, in our assessment, represents the most important financial performance measure used to link compensation actually paid to NEOs to company performance in our most recently completed fiscal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309"/>
        <w:gridCol w:w="146"/>
        <w:gridCol w:w="241"/>
        <w:gridCol w:w="1186"/>
        <w:gridCol w:w="181"/>
        <w:gridCol w:w="146"/>
        <w:gridCol w:w="241"/>
        <w:gridCol w:w="1141"/>
        <w:gridCol w:w="181"/>
        <w:gridCol w:w="146"/>
        <w:gridCol w:w="241"/>
        <w:gridCol w:w="1186"/>
        <w:gridCol w:w="181"/>
        <w:gridCol w:w="146"/>
        <w:gridCol w:w="241"/>
        <w:gridCol w:w="1066"/>
        <w:gridCol w:w="226"/>
      </w:tblGrid>
      <w:tr>
        <w:trPr/>
        <w:tc>
          <w:tcPr>
            <w:tcW w:w="330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PEO</w:t>
            </w:r>
          </w:p>
        </w:tc>
        <w:tc>
          <w:tcPr>
            <w:tcW w:w="146" w:type="dxa"/>
            <w:tcBorders/>
            <w:vAlign w:val="bottom"/>
          </w:tcPr>
          <w:p>
            <w:pPr>
              <w:pStyle w:val="TableContents"/>
              <w:bidi w:val="0"/>
              <w:spacing w:before="0" w:after="283"/>
              <w:jc w:val="left"/>
              <w:rPr/>
            </w:pPr>
            <w:r>
              <w:rPr/>
              <w:t> </w:t>
            </w:r>
          </w:p>
        </w:tc>
        <w:tc>
          <w:tcPr>
            <w:tcW w:w="32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of Non-PEO NEOs</w:t>
            </w:r>
          </w:p>
        </w:tc>
      </w:tr>
      <w:tr>
        <w:trPr/>
        <w:tc>
          <w:tcPr>
            <w:tcW w:w="33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in Table:</w:t>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3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as reported in the Summary Compensation Table (“SCT”)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7,716,875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1,863,978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3,152,854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998,949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Grant Date Fair Value of Equity Awards as reported in SCT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(6,990,000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(1,326,000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(2,679,500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(607,750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Year-End Fair Value of Equity Awards Granted in the 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27,948,118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1,178,666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10,140,452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535,950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Change in Fair Value of Outstanding and Unvested Equity Awards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15,154,469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301,400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6,759,849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112,483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Fair Value as of Vesting Date of Equity Awards Granted and Vested in the 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1,494,792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119,405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Year over Year Change in Fair Value of Equity Awards Granted in Prior Years that Vested in the Year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9,391,600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4,675,922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3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Actually Paid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54,715,854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2,220,167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22,622,580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1,218,070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Chart 1: Total Stockholder Return versus Compensation Actually Paid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76825" cy="31667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76825" cy="316674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Chart 2: Net Income (Loss) versus Compensation Actually Paid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511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51155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significant 2024 year-end stock price increase resulted in an increase in its fair value of contingent liabilities, negatively impacting the company’s net loss by $223 million. The fluctuation is non-operating and non-cash in nature and is calculated based on mark to market fair value accounting standards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Chart 3: Revenue versus Compensation Actually Paid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4626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6265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Tabular List of Financial Performance Measures</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performance measures represent the most important financial performance measures used by us to link compensation actually paid to our NEOs for our most recently completed fiscal year:</w:t>
      </w:r>
    </w:p>
    <w:p>
      <w:pPr>
        <w:pStyle w:val="TextBody"/>
        <w:keepNext w:val="false"/>
        <w:pageBreakBefore w:val="false"/>
        <w:widowControl/>
        <w:pBdr/>
        <w:bidi w:val="0"/>
        <w:spacing w:before="11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Revenue</w:t>
      </w:r>
    </w:p>
    <w:p>
      <w:pPr>
        <w:pStyle w:val="TextBody"/>
        <w:keepNext w:val="false"/>
        <w:pageBreakBefore w:val="false"/>
        <w:widowControl/>
        <w:pBdr/>
        <w:bidi w:val="0"/>
        <w:spacing w:before="11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Adjusted EBITDA</w:t>
      </w:r>
    </w:p>
    <w:p>
      <w:pPr>
        <w:pStyle w:val="TextBody"/>
        <w:keepNext w:val="false"/>
        <w:pageBreakBefore w:val="false"/>
        <w:widowControl/>
        <w:pBdr/>
        <w:bidi w:val="0"/>
        <w:spacing w:before="11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Recurring Revenue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most recently engaged Compensia in July 2024 to provide compensation consulting services. At this time, Compensia provided services related to the review of our compensation levels and equity awards against peer practices and provided perspectives on board compensation trends, particularly with respect to the Company’s peer group. Compensia did not provide any services to the Company other than its engagement by the Compensation Committee.</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2024, our Board revised and approved a director compensation policy, which provides to each of the non-employee directors (i) an annual retainer of $35,000,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$177,500, which shall vest over four quarters; and (iv) travel expense reimbursement. Prior to August 1, 2024, our Board remained on the previous director compensation policy, where the annual retainer was $32,000 and annual grant of restrictive stock had a grant day value of $165,000, while everything else remained the same.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compensation earned by our non-employee directors for the year ended December 31, 2024.</w:t>
      </w:r>
    </w:p>
    <w:tbl>
      <w:tblPr>
        <w:tblW w:w="6740" w:type="dxa"/>
        <w:jc w:val="left"/>
        <w:tblInd w:w="0" w:type="dxa"/>
        <w:tblLayout w:type="fixed"/>
        <w:tblCellMar>
          <w:top w:w="0" w:type="dxa"/>
          <w:left w:w="0" w:type="dxa"/>
          <w:bottom w:w="0" w:type="dxa"/>
          <w:right w:w="0" w:type="dxa"/>
        </w:tblCellMar>
      </w:tblPr>
      <w:tblGrid>
        <w:gridCol w:w="1366"/>
        <w:gridCol w:w="146"/>
        <w:gridCol w:w="1681"/>
        <w:gridCol w:w="146"/>
        <w:gridCol w:w="886"/>
        <w:gridCol w:w="376"/>
        <w:gridCol w:w="146"/>
        <w:gridCol w:w="916"/>
        <w:gridCol w:w="146"/>
        <w:gridCol w:w="931"/>
      </w:tblGrid>
      <w:tr>
        <w:trPr/>
        <w:tc>
          <w:tcPr>
            <w:tcW w:w="13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or </w:t>
              <w:br/>
              <w:t xml:space="preserve">Paid in Cash </w:t>
              <w:br/>
              <w:t>($)</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Awards(1) </w:t>
              <w:b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Ball</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166,779</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231,379</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65,500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166,779</w:t>
            </w:r>
          </w:p>
        </w:tc>
        <w:tc>
          <w:tcPr>
            <w:tcW w:w="37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232,279</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166,779</w:t>
            </w:r>
          </w:p>
        </w:tc>
        <w:tc>
          <w:tcPr>
            <w:tcW w:w="37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210,279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values reported here are the aggregate grant date fair values of such awards computed in accordance with FASB ASC Topic 718.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Eric Ball has 11,762 stock options and 22,938 Restricted Stock Awards unvested outstanding as of the end of the Company’s most recently completed fiscal year.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Lawrence Marcus has 27,946 Restricted Stock Awards unvested outstanding as of the end of the Company’s most recently completed fiscal year.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Diana Sroka has 11,762 Stock Options and 22,938 Restricted Stock Awards unvested outstanding as of the end of the Company’s most recently completed fiscal year.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Recovery and Clawback Policy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 2023, our board of directors approved the adoption of the Executive Compensation Clawback Policy (the “</w:t>
      </w:r>
      <w:r>
        <w:rPr>
          <w:rFonts w:ascii="Times New Roman PS Std;serif" w:hAnsi="Times New Roman PS Std;serif"/>
          <w:b/>
          <w:i w:val="false"/>
          <w:caps w:val="false"/>
          <w:smallCaps w:val="false"/>
          <w:sz w:val="20"/>
        </w:rPr>
        <w:t>Clawback Policy</w:t>
      </w:r>
      <w:r>
        <w:rPr>
          <w:rFonts w:ascii="Times New Roman PS Std;serif" w:hAnsi="Times New Roman PS Std;serif"/>
          <w:b w:val="false"/>
          <w:i w:val="false"/>
          <w:caps w:val="false"/>
          <w:smallCaps w:val="false"/>
          <w:sz w:val="20"/>
        </w:rPr>
        <w:t>”), in order to comply with the final clawback rules adopted by the SEC under Rule 10D-1 under the Exchange Act and the listing standards, as set forth in the Nasdaq Listing Rule 5608 (the “</w:t>
      </w:r>
      <w:r>
        <w:rPr>
          <w:rFonts w:ascii="Times New Roman PS Std;serif" w:hAnsi="Times New Roman PS Std;serif"/>
          <w:b/>
          <w:i w:val="false"/>
          <w:caps w:val="false"/>
          <w:smallCaps w:val="false"/>
          <w:sz w:val="20"/>
        </w:rPr>
        <w:t>Final Clawback Rules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Clawback Policy provides for the mandatory recovery of erroneously awarded incentive-based compensation from our current and former executive officers as defined in Rule 10D-1 (“</w:t>
      </w:r>
      <w:r>
        <w:rPr>
          <w:rFonts w:ascii="Times New Roman PS Std;serif" w:hAnsi="Times New Roman PS Std;serif"/>
          <w:b/>
          <w:i w:val="false"/>
          <w:caps w:val="false"/>
          <w:smallCaps w:val="false"/>
          <w:sz w:val="20"/>
        </w:rPr>
        <w:t>Covered Officers</w:t>
      </w:r>
      <w:r>
        <w:rPr>
          <w:rFonts w:ascii="Times New Roman PS Std;serif" w:hAnsi="Times New Roman PS Std;serif"/>
          <w:b w:val="false"/>
          <w:i w:val="false"/>
          <w:caps w:val="false"/>
          <w:smallCaps w:val="false"/>
          <w:sz w:val="20"/>
        </w:rPr>
        <w:t>”)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2023, certain restatements of the Company’s financial statements were made to the Company’s condensed consolidated financial statements as of and for the three and nine months ended September 30, 2022, as of and for the year ended December 31, 2022, and as of and for the three months ended March 31, 2023 and the three and six months ended June 30, 2023. In accordance with the Clawback Policy, a recovery analysis of incentive-based compensation received by any of the Company’s executive officers during the period from and after October 2, 2023 was required. The Company conducted a recovery analysis and concluded that the incentive-based compensation received during the recovery period did not trigger a recovery.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Considerations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reviews our compensation programs continuously throughout the year to assess and mitigate against material risks. The Compensation Committee believes that the design of our annual and long-term incentives focuses performance on long-term value creation and discourages short-term risk taking at the expense of long-term results. A substantial portion of employees’ compensation is delivered in the form of equity awards, further aligning their interests with those of stockholders.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believes that the following risk oversight and compensation design features safeguard against excessive risk-taking: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Board as a whole has responsibility for risk oversight and regularly reviews reports on the deliberations of its committees. In addition, our Board reviews the strategic, financial, and execution risks and exposures associated with the financial, operational, and capital decisions that serve as inputs to our compensation programs.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discussions with management, the Compensation Committee gains insight into a reasonable range of future company performance expectations. This information is incorporated into decisions regarding the compensation of our named executive officers.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majority of compensation provided to our named executive officers is delivered through equity awards, with payout based on long-term company performance. Our RSU awards vest over a long-term period, and our PSU awards are earned based on company performance. As the compensation of our named executive officers is tied to long-term performance, their interests are closely aligned with our stockholders’ interests and they are motivated to carefully assess risks to the company to protect their compensation.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equity compensation comprises a high percentage of our named executive officers’ overall pay: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equity awards are subject to vesting conditions and performance goals that promote focus on long-term interests rather than only short-term results and create compelling incentives for executive retention.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prohibit all speculative, short-sale, short-term, and hedging transactions involving our securities. As a result, our named executive officers cannot insulate themselves from the effects of poor stock performance.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internal controls over financial reporting, the measurement and calculation of performance relative to goals, and other financial, operational, and compliance policies and practices designed to protect our compensation programs from manipulation by any employee.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 and Management and Related Stockholder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known to the Company regarding beneficial ownership of shares of the Company’s Class A Common Stock and Class B Common Stock as of March 27, 2025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the Company to be the beneficial owner of more than 5% of the Company’s outstanding Class A Common Stock and Class B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Company’s named executive officers and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beneficial ownership is based on 400,591,189 shares of Common Stock issued and outstanding as of March 27, 2025, which calculation includes (i) 368,055,781 shares of the Company’s Class A Common Stock and (ii) 32,535,408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the Record Date, a total of 693,409,861 votes may be cast at any meeting of stockholders.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 rules, shares of our Class A Common Stock which may be acquired upon exercise of stock options or warrants which are currently exercisable or which become exercisable within 60 days after March 27, 2025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tbl>
      <w:tblPr>
        <w:tblW w:w="10205" w:type="dxa"/>
        <w:jc w:val="left"/>
        <w:tblInd w:w="0" w:type="dxa"/>
        <w:tblLayout w:type="fixed"/>
        <w:tblCellMar>
          <w:top w:w="0" w:type="dxa"/>
          <w:left w:w="0" w:type="dxa"/>
          <w:bottom w:w="0" w:type="dxa"/>
          <w:right w:w="0" w:type="dxa"/>
        </w:tblCellMar>
      </w:tblPr>
      <w:tblGrid>
        <w:gridCol w:w="4347"/>
        <w:gridCol w:w="146"/>
        <w:gridCol w:w="1224"/>
        <w:gridCol w:w="146"/>
        <w:gridCol w:w="511"/>
        <w:gridCol w:w="360"/>
        <w:gridCol w:w="146"/>
        <w:gridCol w:w="1224"/>
        <w:gridCol w:w="146"/>
        <w:gridCol w:w="646"/>
        <w:gridCol w:w="286"/>
        <w:gridCol w:w="146"/>
        <w:gridCol w:w="537"/>
        <w:gridCol w:w="340"/>
      </w:tblGrid>
      <w:tr>
        <w:trPr/>
        <w:tc>
          <w:tcPr>
            <w:tcW w:w="43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712" w:type="dxa"/>
            <w:gridSpan w:val="1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Beneficial Ownership Table</w:t>
            </w:r>
          </w:p>
        </w:tc>
      </w:tr>
      <w:tr>
        <w:trPr/>
        <w:tc>
          <w:tcPr>
            <w:tcW w:w="4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Owners</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Class A </w:t>
              <w:br/>
              <w:t xml:space="preserve">Common </w:t>
              <w:br/>
              <w:t>Stock</w:t>
            </w:r>
          </w:p>
        </w:tc>
        <w:tc>
          <w:tcPr>
            <w:tcW w:w="146" w:type="dxa"/>
            <w:tcBorders/>
            <w:vAlign w:val="bottom"/>
          </w:tcPr>
          <w:p>
            <w:pPr>
              <w:pStyle w:val="TableContents"/>
              <w:bidi w:val="0"/>
              <w:spacing w:before="0" w:after="283"/>
              <w:jc w:val="left"/>
              <w:rPr/>
            </w:pPr>
            <w:r>
              <w:rPr/>
              <w:t> </w:t>
            </w:r>
          </w:p>
        </w:tc>
        <w:tc>
          <w:tcPr>
            <w:tcW w:w="87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Class</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Class B </w:t>
              <w:br/>
              <w:t xml:space="preserve">Common </w:t>
              <w:br/>
              <w:t>Stock</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Class</w:t>
            </w:r>
          </w:p>
        </w:tc>
        <w:tc>
          <w:tcPr>
            <w:tcW w:w="146"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Voting </w:t>
              <w:br/>
              <w:t>Power</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Keyvan Mohajer(1)</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171,666</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14,139,064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Hom(2)</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180,540</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1,812,588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Larry Marcus(3)</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173,190</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Diana Sroka(4)</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214,570</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Ball(5)</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516,877</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Seyed Majid Emami(6)</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211,918</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16,583,756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3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Stonehocker(7)</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481,806</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Nitesh Sharan(8)</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984,881</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Zagorsek(9)</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1,280,753</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(9 individuals)</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4,216,201</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6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32,535,408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Holders</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3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Vanguard Group(10)</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32,031,662</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36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4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Inc.(11)</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23,276,075</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36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2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171,666 shares of Class A Common Stock issuable upon vesting of outstanding RSUs that vest within 60 days of March 27, 2025.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53,056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4,007 shares of Class A Common Stock issuable upon vesting of outstanding RSUs that vest within 60 days of March 27, 2025 and 108,117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84,685 shares of Class A Common Stock that are issuable upon exercise of stock options which are exercisable within 60 days of March 27, 2025 and 2,003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84,685 shares of Class A Common Stock that are issuable upon exercise of stock options which are exercisable within 60 days of March 27, 2025 and 2,003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53,056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103,127 shares of Class A Common Stock in exchange for securities pursuant to the Merger Agreement, 166,688 shares of Class A Common Stock that are issuable upon exercise of stock options that are currently exercisable or exercisable within 60 days of March 27, 2025, and 51,806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282,593 shares of Class A Common Stock that are issuable upon exercise of stock options which are currently exercisable or exercisable within 60 days of March 27, 2025 and 86,112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722,311 shares of Class A Common Stock that are issuable upon exercise of stock options which are currently exercisable or exercisable within 60 days of March 27, 2025 and 86,112 shares of Class A Common Stock issuable upon vesting of outstanding RSUs that vest within 60 days of March 27,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According to a Schedule 13G/A filed on January 31, 2025, The Vanguard Group beneficially owns 32,031,662 shares of Class A Common Stock. The Vanguard Group, Inc.’s clients, including investment companies registered under the Investment Company Act of 1940 and other managed accounts, have the right to receive or the power to direct the receipt of dividends from, or the proceeds from the sale of, the securities beneficially owned by The Vanguard Group. The principal business address for The Vanguard Group is 100 Vanguard Blvd., Malvern, PA 19355.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According to a Schedule 13G/A filed on November 12, 2024, BlackRock, Inc. beneficially owns 23,276,075 shares of Class A Common Stock. The principal business address for BlackRock, Inc. is 50 Hudson Yards, New York, NY 10001.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as of December 31, 2024 relating to all our equity compensation plans:</w:t>
      </w:r>
    </w:p>
    <w:tbl>
      <w:tblPr>
        <w:tblW w:w="10205" w:type="dxa"/>
        <w:jc w:val="left"/>
        <w:tblInd w:w="0" w:type="dxa"/>
        <w:tblLayout w:type="fixed"/>
        <w:tblCellMar>
          <w:top w:w="0" w:type="dxa"/>
          <w:left w:w="0" w:type="dxa"/>
          <w:bottom w:w="0" w:type="dxa"/>
          <w:right w:w="0" w:type="dxa"/>
        </w:tblCellMar>
      </w:tblPr>
      <w:tblGrid>
        <w:gridCol w:w="3497"/>
        <w:gridCol w:w="146"/>
        <w:gridCol w:w="1570"/>
        <w:gridCol w:w="146"/>
        <w:gridCol w:w="462"/>
        <w:gridCol w:w="1079"/>
        <w:gridCol w:w="146"/>
        <w:gridCol w:w="1486"/>
        <w:gridCol w:w="146"/>
        <w:gridCol w:w="1527"/>
      </w:tblGrid>
      <w:tr>
        <w:trPr/>
        <w:tc>
          <w:tcPr>
            <w:tcW w:w="3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5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w:t>
              <w:br/>
              <w:t>(in thousands)</w:t>
            </w:r>
          </w:p>
        </w:tc>
        <w:tc>
          <w:tcPr>
            <w:tcW w:w="146" w:type="dxa"/>
            <w:tcBorders/>
            <w:vAlign w:val="bottom"/>
          </w:tcPr>
          <w:p>
            <w:pPr>
              <w:pStyle w:val="TableContents"/>
              <w:bidi w:val="0"/>
              <w:spacing w:before="0" w:after="283"/>
              <w:jc w:val="left"/>
              <w:rPr/>
            </w:pPr>
            <w:r>
              <w:rPr/>
              <w:t> </w:t>
            </w:r>
          </w:p>
        </w:tc>
        <w:tc>
          <w:tcPr>
            <w:tcW w:w="15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Price </w:t>
              <w:br/>
              <w:t xml:space="preserve">of Outstanding </w:t>
              <w:br/>
              <w:t>Options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Granted </w:t>
              <w:br/>
              <w:t xml:space="preserve">Restricted </w:t>
              <w:br/>
              <w:t xml:space="preserve">Stock Awards </w:t>
              <w:br/>
              <w:t xml:space="preserve">Outstanding </w:t>
              <w:br/>
              <w:t>(in thousands)</w:t>
            </w:r>
          </w:p>
        </w:tc>
        <w:tc>
          <w:tcPr>
            <w:tcW w:w="146" w:type="dxa"/>
            <w:tcBorders/>
            <w:vAlign w:val="bottom"/>
          </w:tcPr>
          <w:p>
            <w:pPr>
              <w:pStyle w:val="TableContents"/>
              <w:bidi w:val="0"/>
              <w:spacing w:before="0" w:after="283"/>
              <w:jc w:val="left"/>
              <w:rPr/>
            </w:pPr>
            <w:r>
              <w:rPr/>
              <w:t> </w:t>
            </w:r>
          </w:p>
        </w:tc>
        <w:tc>
          <w:tcPr>
            <w:tcW w:w="152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(in thousands)</w:t>
            </w:r>
          </w:p>
        </w:tc>
      </w:tr>
      <w:tr>
        <w:trPr/>
        <w:tc>
          <w:tcPr>
            <w:tcW w:w="3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25,420</w:t>
            </w:r>
          </w:p>
        </w:tc>
        <w:tc>
          <w:tcPr>
            <w:tcW w:w="146"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16,716</w:t>
            </w:r>
          </w:p>
        </w:tc>
        <w:tc>
          <w:tcPr>
            <w:tcW w:w="146"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r>
      <w:tr>
        <w:trPr/>
        <w:tc>
          <w:tcPr>
            <w:tcW w:w="34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bottom"/>
          </w:tcPr>
          <w:p>
            <w:pPr>
              <w:pStyle w:val="TableContents"/>
              <w:bidi w:val="0"/>
              <w:spacing w:before="0" w:after="283"/>
              <w:jc w:val="left"/>
              <w:rPr/>
            </w:pPr>
            <w:r>
              <w:rPr/>
              <w:t> </w:t>
            </w:r>
          </w:p>
        </w:tc>
        <w:tc>
          <w:tcPr>
            <w:tcW w:w="15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25,420</w:t>
            </w:r>
          </w:p>
        </w:tc>
        <w:tc>
          <w:tcPr>
            <w:tcW w:w="146" w:type="dxa"/>
            <w:tcBorders/>
            <w:shd w:fill="CCEEFF" w:val="clear"/>
            <w:vAlign w:val="bottom"/>
          </w:tcPr>
          <w:p>
            <w:pPr>
              <w:pStyle w:val="TableContents"/>
              <w:bidi w:val="0"/>
              <w:spacing w:before="0" w:after="283"/>
              <w:jc w:val="left"/>
              <w:rPr/>
            </w:pPr>
            <w:r>
              <w:rPr/>
              <w:t> </w:t>
            </w:r>
          </w:p>
        </w:tc>
        <w:tc>
          <w:tcPr>
            <w:tcW w:w="4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16,716</w:t>
            </w:r>
          </w:p>
        </w:tc>
        <w:tc>
          <w:tcPr>
            <w:tcW w:w="146" w:type="dxa"/>
            <w:tcBorders/>
            <w:shd w:fill="CCEEFF" w:val="clear"/>
            <w:vAlign w:val="bottom"/>
          </w:tcPr>
          <w:p>
            <w:pPr>
              <w:pStyle w:val="TableContents"/>
              <w:bidi w:val="0"/>
              <w:spacing w:before="0" w:after="283"/>
              <w:jc w:val="left"/>
              <w:rPr/>
            </w:pPr>
            <w:r>
              <w:rPr/>
              <w:t> </w:t>
            </w:r>
          </w:p>
        </w:tc>
        <w:tc>
          <w:tcPr>
            <w:tcW w:w="15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Transactions, and 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each transaction since January 1, 2024 and each currently proposed transaction in which: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has been or is to be a participant;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involved exceeded or exceeds $120,000;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SoundHound’s directors, executive officers or holders of more than 5% of its capital stock, or any immediate family member of, or person sharing the household with, any of these individuals, had or will have a direct or indirect material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2024, there have not been any related-party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2022, SoundHound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during the applicable period was, one of SoundHound’s officers or one of SoundHound’s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by SoundHound to be the beneficial owner of more than five percent (5%) of its voting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firm, corporation or other entity in which any of the foregoing persons is a partner or principal or in a similar position or in which such person has a ten percent (10%) or greater beneficial ownership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costs and benefits to SoundHound;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a director’s independence in the event that the related person is a director, immediate family member of a director or an entity with which a director is affiliated;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other sources for comparable services or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available to or from, as the case may be, unrelated third parties or to or from employees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99604"/>
      <w:bookmarkEnd w:id="6"/>
      <w:r>
        <w:rPr>
          <w:rFonts w:ascii="Times New Roman PS Std;serif" w:hAnsi="Times New Roman PS Std;serif"/>
          <w:b/>
          <w:i w:val="false"/>
          <w:caps/>
          <w:sz w:val="20"/>
        </w:rPr>
        <w:t>PROPOSAL 2</w:t>
        <w:br/>
        <w:t>RATIFICATION OF THE APPOINTMENT OF THE</w:t>
        <w:br/>
        <w:t>COMPANY’S INDEPENDENT AUDITORS FOR FISCAL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of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year ending December 31, 2025. If our stockholders do not ratify the selection, it will be considered as notice to the Board and the Audit Committee to consider its appointment for future years. Prior to the appointment of PricewaterhouseCoopers LLP, Armanino LLP served as the Company’s independent registered public accounting firm from 2020 through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representatives of PricewaterhouseCoopers LLP is not expected to attend the Annual Meeting; however, if a representative is present, they will have the opportunity to make a statement if they desire to do so and are not expected to be available to respond to appropriate questions.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Audit-Related and All Other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 consist of fees billed for professional services rendered for the audit of our consolidated financial statements, including business combination activities during the year, the audit of our internal control over financial reporting, reviews of our quarterly financial statements, and reviews of SEC registration statements and related consents and comfort letters. The aggregate fees billed by PricewaterhouseCoopers LLP for audit fees, inclusive of required filings with the SEC for the years ended December 31, 2024 and 2023 totaled $4,999,000 and $1,651,835,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Audit-Related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years ended December 31, 2024 and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 consist of fees billed for professional services relating to tax compliance, tax planning and tax advice. There were no tax fees billed by PricewaterhouseCoopers LLP for the years ended December 31, 2024 and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aggregate of $2,000 and $2,000 was billed by PricewaterhouseCoopers LLP as other fees for the years ended December 31, 2024 and 2023,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and discussed our financial statements for the fiscal year ended December 31, 2024 with both management and PricewaterhouseCoopers LLP, our independent registered public accounting firm. In its discussion, management has represented to the Audit Committee that our financial statements for the fiscal year ended December 31, 2024 were prepared in accordance with generally accepted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w:t>
      </w:r>
      <w:r>
        <w:rPr>
          <w:rFonts w:ascii="Times New Roman PS Std;serif" w:hAnsi="Times New Roman PS Std;serif"/>
          <w:b/>
          <w:i w:val="false"/>
          <w:caps w:val="false"/>
          <w:smallCaps w:val="false"/>
          <w:sz w:val="20"/>
        </w:rPr>
        <w:t>PCAOB</w:t>
      </w:r>
      <w:r>
        <w:rPr>
          <w:rFonts w:ascii="Times New Roman PS Std;serif" w:hAnsi="Times New Roman PS Std;serif"/>
          <w:b w:val="false"/>
          <w:i w:val="false"/>
          <w:caps w:val="false"/>
          <w:smallCaps w:val="false"/>
          <w:sz w:val="20"/>
        </w:rPr>
        <w:t>”) in Rule 3200T.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PricewaterhouseCoopers LLP, Certified Public Accountants, such firm’s independence and the compatibility of the non-audit services provided by the firm with its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Submitted by the Audit Committee of the Board of Directors</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Eric Ball (Chair of the Audit Committee)</w:t>
        <w:br/>
        <w:t>Larry Marcus</w:t>
        <w:br/>
        <w:t>Diana Sroka</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Ratification of the appointment by the Audit Committee of the Auditor as the Company’s independent registered public accounting firm for the fiscal year ending December 31, 2025 requires the affirmative vote of the holders of a majority of the voting power of the Common Stock represented and entitled to vote at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BOARD UNANIMOUSLY RECOMMENDS A VOTE FOR THE </w:t>
      </w:r>
      <w:r>
        <w:rPr>
          <w:rFonts w:ascii="Times New Roman PS Std;serif" w:hAnsi="Times New Roman PS Std;serif"/>
          <w:b/>
          <w:i w:val="false"/>
          <w:caps/>
          <w:sz w:val="20"/>
        </w:rPr>
        <w:t>RATIFICATION OF THE APPOINTMENT BY THE BOARD OF PricewaterhouseCoopers LLP, CERTIFIED PUBLIC ACCOUNTANTS AS THE COMPANY’S INDEPENDENT REGISTERED PUBLIC ACCOUNTING FIRM FOR THE FISCAL YEAR ENDING December 31, 2025.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605"/>
      <w:bookmarkEnd w:id="7"/>
      <w:r>
        <w:rPr>
          <w:rFonts w:ascii="Times New Roman PS Std;serif" w:hAnsi="Times New Roman PS Std;serif"/>
          <w:b/>
          <w:i w:val="false"/>
          <w:caps w:val="false"/>
          <w:smallCaps w:val="false"/>
          <w:sz w:val="20"/>
        </w:rPr>
        <w:t>PROPOSAL 3</w:t>
        <w:br/>
        <w:t>AUTHORIZED SHARE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of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2025, the Board unanimously approved an amendment to the Certificate of Incorporation, subject to stockholder approval, to increase the number of shares of Class A Common Stock authorized by 300,000,000, from 455,000,000 to 755,000,000, with a corresponding increase to the total number of shares of all classes of stock that the Corporation has authority to issue, which would be increased from 500,000,000 to 800,000,000. The Board directed the Authorized Share Proposal to be submitted to a vote of the Company’s stockholders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currently authorizes the issuance of up to 500,000,000 shares, consisting of 455,000,000 shares of Class A Common Stock, 44,000,000 shares of Class B Common Stock and 1,000,000 shares of preferred stock. The Authorized Share Proposal will not increase or otherwise affect the Company’s authorized Class B Common Stock or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Record Date, the Company had an aggregate 368,055,781 shares of Class A Common Stock issued and outstanding, 32,535,408 shares of Class B Common Stock issued and outstanding and no shares of preferred stock issued or outstanding. Additionally, on the Record Date, there were 3,662,845 shares of Class A Common Stock issuable upon exercise of outstanding warrants, 5,737,672 shares of Class A Common Stock issuable upon exercise of outstanding stock options, 23,927,508 shares of Class A Common Stock issuable upon vesting of restricted stock units and 18,257,365 shares of Class A Common Stock issuable upon the achievement of certain milestones.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Reasons for the Authorized Share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it is in the best interest of the Company to increase the number of authorized shares of Class A Common Stock in order to give the Company greater flexibility in considering and planning for future potential business needs.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additional shares of Class A Common Stock will be available for issuance by the Board for various corporate purposes, including but not limited to raising capital, providing equity incentives to employees, officers or directors, effecting stock dividends, establishing strategic relationships with other companies and expanding our business through the acquisition of other businesses or products. If the amendment is approved, the additional authorized shares would be available for issuance at the discretion of the Board and without further stockholder approval, except as may be required by law or the rules of the Company’s then-current listing market or exchange. As of the date of this proxy statement, and other than the Company’s currently active “at-the-market” offering program, the Company does not currently have any plan or arrangement to issue any additional shares of Class A Common Stock, including through a financing transaction, if this proposal is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additional shares of Class A Common Stock to be authorized by adoption of the Authorized Share Proposal would have rights identical to the currently issued and outstanding shares of Class A Common Stock of the Company. Adoption of the Authorized Share Proposal would not affect the rights of existing holders of Class A Common Stock and would not have any immediate dilutive effect on the proportionate voting power or other rights of existing stockholders. Like existing holders, holders of shares of Class A Common Stock issued following adoption of the proposed amendment would not be entitled to pre-emptive rights with respect to any future issuances of Common Stock or preferred stock. Any issuance of shares other than in connection with a stock split would reduce the proportionate ownership interest in the Company that each holder had immediately prior to the issuance and, depending on the price at which such shares are issued, could have a negative effect on the market price of the Class A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Anti-Takeover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not proposed the increase in the number of authorized shares of Class A Common Stock with the intention of using the additional authorized shares for anti-takeover purposes, but the Company would be able to use the additional shares to oppose a hostile takeover attempt or delay or prevent changes in control or management of the Company. For example, without further stockholder approval, the Board could sell shares of Class A Common Stock in a private transaction to purchasers who would oppose a takeover and/or favor the current Board. In addition, the Certificate of Incorporation authorizes the issuance of “blank check” preferred stock with the designations, rights and preferences as may be determined from time to time by the Board. Accordingly, the Board is empowered, without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approval, to issue preferred stock with dividend, liquidation, conversion, voting or other rights that could adversely affect the voting power or other rights of the holders of our Class A Common Stock. The issuance of preferred stock could discourage, delay or prevent a change in control of the Company and also may have the effect of discouraging a third party from making a tender offer or otherwise attempting to obtain control of the Company even though the transaction might be economically beneficial to the Company and its stockholders. Although this proposal to increase the authorized number of shares of Class A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management, including transactions in which the stockholders might otherwise receive a premium for their shares over then-current market prices.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Effecting the Amendment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Authorized Share Proposal is approved by the stockholders, shortly after the Annual Meeting we will file an amendment to the Certificate of Incorporation with the Secretary of State of the State of Delaware, with such amendment to become effective upon filing. The form of amendment proposed by the Company to Section 4.1 of Article IV of the Certificate of Incorporation is attached to this proxy statement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If more than one of the Charter Amendment Proposals are approved by stockholders, we may file an amended and restated certificate of incorporation to affect the amendment herein. Neither Delaware law, nor the Certificate of Incorporation, nor the Bylaws provides for appraisal or other similar rights for dissenting stockholders in connection with this proposal. Accordingly, the Company’s stockholders will have no right to dissent and obtain payment for their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“FOR” THE AUTHORIZED SHARE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606"/>
      <w:bookmarkEnd w:id="8"/>
      <w:r>
        <w:rPr>
          <w:rFonts w:ascii="Times New Roman PS Std;serif" w:hAnsi="Times New Roman PS Std;serif"/>
          <w:b/>
          <w:i w:val="false"/>
          <w:caps w:val="false"/>
          <w:smallCaps w:val="false"/>
          <w:sz w:val="20"/>
        </w:rPr>
        <w:t>PROPOSAL 4</w:t>
        <w:br/>
      </w:r>
      <w:r>
        <w:rPr>
          <w:rFonts w:ascii="Times New Roman PS Std;serif" w:hAnsi="Times New Roman PS Std;serif"/>
          <w:b/>
          <w:i w:val="false"/>
          <w:caps/>
          <w:sz w:val="20"/>
        </w:rPr>
        <w:t>Opportunity Waiver Limitation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directors and officers of a corporation owe fiduciary duties to the corporation and its stockholders, including the duty of loyalty. A recognized common law principle of the duty of loyalty under Delaware law is the corporate opportunity doctrine, which provides that a director or officer may not appropriate to himself or herself a business opportunity properly belonging to the corporation. Delaware law weighs various factors in considering whether a business opportunity properly belongs to the corporation, including whether the opportunity is in the corporation’s line of business, whether the corporation is financially able to exploit the opportunity, whether the corporation has an interest or expectancy in the opportunity, and whether the fiduciary would be placed in a position inimical to his duties to the corporation by taking the opportunity for him- or herself.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corporation determines not to pursue a corporate opportunity, however, it is no longer considered a breach of the duty of loyalty for a director or officer to take such corporate opportunity. Furthermore, Section 122(17) of the Delaware General Corporation Law (the “DGCL”) allows a corporation to “[r]enounce, in its certificate of incorporation or by action of its board of directors, any interest or expectancy of the corporation in, or in being offered an opportunity to participate in, specified business opportunities or specified classes or categories of business opportunities that are presented to the corporation or 1 or more of its officers, directors or stockholders.” The legislative synopsis accompanying the adoption of Section 122(17) in 2000 states that “[n]ew subsection 122(17) clarifies that a corporation has the power to renounce in advance in its certificate of incorporation … specified business opportunities or specified classes or categories of business opportunities” and explains that subsection was added to “eliminate uncertainty regarding the power of a corporation to renounce corporate opportunities in advance.”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XII, Section 12.1 of our Certificate of Incorporation currently states as follows: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Section 12.1 Corporate Opportunity</w:t>
      </w:r>
      <w:r>
        <w:rPr>
          <w:rFonts w:ascii="Times New Roman PS Std;serif" w:hAnsi="Times New Roman PS Std;serif"/>
          <w:b w:val="false"/>
          <w:i w:val="false"/>
          <w:caps w:val="false"/>
          <w:smallCaps w:val="false"/>
          <w:sz w:val="20"/>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Reasons for Opportunity Waiver Limitation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2025, a stockholder of the Company (Jonathan Jones) filed a putative class action against the Company and its directors in the Court of Chancery of the State of Delaware (the “Corporate Opportunity Action”). The complaint in the Jones Action alleges, among other things, that Article XII, Section 12.1 of the Certificate of Incorporation violates Delaware law because its renunciation of corporate opportunities is impermissibly broad because it is not sufficiently limited to specified business opportunities or specified classes or categories of business opportunities and impermissibly waives fiduciary duties of the Company’s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and its directors deny any and all wrongdoing alleged in the Corporate Opportunity Action. However, because the Corporate Opportunity Action called into question the validity of Article XII of the Certificate of Incorporation, and to avoid the cost and distraction of litigation, the Board determined that it was advisable and in the best interests of the Company and its stockholders to revise Article XII of the Certificate of Incorporation to read as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this proxy statement (the “Opportunity Waiver Limitation Amendment”) and to submit the Opportunity Waiver Limitation Amendment to the stockholders of the Company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Board’s approval of the Opportunity Waiver Limitation Amendment, the Amendment was proposed to the plaintiff in the Corporate Opportunity Action. The plaintiff agreed that the proposed language mooted his claims, and on April 3, 2025, filed a letter to the Court advising that the parties had reached an agreement to moot the plaintiff’s claims. The letter also explained that the Opportunity Waiver Limitation Amendment will be submitted for a stockholder vote in connection with the upcoming annual stockholder meeting, and if the amendment is approved, the parties will proceed to jointly seek dismissal of the Corporate Opportunity 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Proposed Opportunity Waiver Limitation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Proposal 4 regarding the Opportunity Waiver Limitation Amendment is approved by our stockholders, then Article XII of the Certificate of Incorporation would be revised such that the waiver would be limited to cover only the Company’s independent directors and would be further limited to waive only “Included Opportunities.” An “Included Opportunity” is any business opportunity relating to the research, development, manufacture, operation, production, or delivery of products or services related to conversational intelligence, voice artificial intelligence, voice interaction technology, automated voice technology or voice-enable products, voice-enable computing or voice-enable technologies that the Company is legally and contractually permitted to undertake and would otherwise be reasonable for the Company to pursue and that is presented to, offered to, acquired, created or developed by, or which otherwise comes into the possession of, any of the Company’s independent directors, unless such business opportunity is presented to, offered to, acquired, created or developed by, or which otherwise comes into the possession of such independent director, expressly and solely in his or her capacity as a director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form of the proposed amendments to Article XII of the Certificate of Incorporation to effectuate the Opportunity Waiver Limitation Amendment, including the complete definition of “Included Opportunities,” is included as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Opportunity Waiver Limitation Amendment is approved by our stockholders, then the Company will have authority to file the Opportunity Waiver Limitation Amendment with the Secretary of State of the State of Delaware, with such amendment to become effective upon its filing. It is currently anticipated that, if the Opportunity Waiver Limitation Proposal is approved by our stockholders, the Company will file the Opportunity Waiver Limitation Amendment promptly after obtaining such approval. If more than one of the Charter Amendment Proposals are approved by stockholders, we may file an amended and restated certificate of incorporation to affect the amendment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sz w:val="20"/>
        </w:rPr>
      </w:pPr>
      <w:r>
        <w:rPr>
          <w:rFonts w:ascii="Times New Roman PS Std;serif" w:hAnsi="Times New Roman PS Std;serif"/>
          <w:b/>
          <w:i w:val="false"/>
          <w:caps/>
          <w:sz w:val="20"/>
        </w:rPr>
        <w:t>THE BOARD OF DIRECTORS UNANIMOUSLY RECOMMENDS A VOTE “FOR” THE Opportunity Waiver Limitation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607"/>
      <w:bookmarkEnd w:id="9"/>
      <w:r>
        <w:rPr>
          <w:rFonts w:ascii="Times New Roman PS Std;serif" w:hAnsi="Times New Roman PS Std;serif"/>
          <w:b/>
          <w:i w:val="false"/>
          <w:caps w:val="false"/>
          <w:smallCaps w:val="false"/>
          <w:sz w:val="20"/>
        </w:rPr>
        <w:t>PROPOSAL 5</w:t>
        <w:br/>
        <w:t>OFFICER EXCULPATION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 of Delaware enacted legislation in 2022 that expands exculpation protection to officers, thereby enabling companies to eliminate the monetary liability of certain officers in certain circumstances, similar to, but more limited than, the protection already afforded to directors under our Certificate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line with the update to Delaware law, our Board has unanimously adopted a resolution to amend our Certificate of Incorporation, subject to stockholder approval, to extend exculpation to certain officers to provide for the elimination of monetary liability of certain officers of the Company for certain breaches of the fiduciary duty of 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stockholder approval to amend the Certificate of Incorporation to extend exculpation to certain officers to the fullest extent permitted by Delaware law (the “Proposed Exculpation Amendment”). In addition, while the Proposed Exculpation Amendment also includes conforming changes to the existing exculpation provision related to directors of the Company set forth in VIII of the Certificate of Incorporation, the current exculpation protections applicable to directors remain unchanged as a result of the Proposed Exculpation Amendment.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 and Possible Effects of the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Exculpation Amendment is a result of the Board’s ongoing review of corporate governance best practices and recent changes in Delaware law. In developing the Proposed Exculpation Amendment, the Board (including all members of the Corporate Governance and Nominating Committee) carefully considered the implications of amending our Certificate of Incorporation to provide exculpation from certain liability for certain of our officers as permitted by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better position the Company to attract and retain qualified officers, the Board believes that it is important to extend exculpation protection to officers to the fullest extent permitted by Delaware law. In the absence of such protection, such individuals might be deterred from serving as officers due to exposure to personal liability and the risk of incurring substantial expense in defending lawsuits, regardless of merit.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their role often requires officers to make decisions on crucial matters, frequently in response to time-sensitive opportunities and challenges, which can create substantial risk of lawsuits that seek to impose liability with the benefit of hindsight, regardless of their merit. Aligning the protections available to our officers with those currently available to our directors to the extent such protections are permitted under Delaware law would empower officers to exercise their business judgment in furtherance of stockholder interests, without the potential distractions posed by the risk of personal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the Proposed Exculpation Amendment strikes the appropriate balance between furthering our goals of attracting and retaining quality officers with promoting accountability to stockholders because, consistent with the update to Delaware law, the Proposed Exculpation Amendment would exculpate certain officers only in connection with direct claims brought by stockholders, including class actions, and would not eliminate or limit liability for breaches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accordance with Delaware law, under the Proposed Exculpation Amendment, the only officers who would be eligible for exculpation would be (i) anyone serving as our President, Chief Executive Officer, Chief Operating Officer, Chief Financial Officer, Chief Legal Officer, Chief Accounting Officer, Controller and Treasurer, (ii) any other officer identified in our public filings as one of our most highly compensated executive officers, and (iii) any other officer who has consented in a written agreement to be identified as an officer of the Company for purposes of service of process in Delaware.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narrow class and type of claims for which officers would be exculpated and the benefits the Board believes would accrue to the Company and our stockholders, which include enhancing our ability to attract and retain talented officers and potentially reducing future litigation costs associated with frivolous lawsuits, the Board has declared the Proposed Exculpation Amendment to be advisable and has determined that it is in the best interests of the Company and our stockholders.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general description of the Proposed Exculpation Amendment set forth above is qualified in its entirety by reference to the text of the Proposed Exculpation Amendment, which is attached as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to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Proposal 5 is approved, the Company intends to file a certificate of amendment to the Certificate of Incorporation with the Secretary of State of the State of Delaware, with such amendment to become effective at the time of the filing. The Board reserves the right to elect to abandon the Proposed Exculpation Amendment at any time before it becomes effective even if it is approved by the stockholders. If Proposal 5 is not approved by the requisite vote of the stockholders, then a certificate of amendment to the Certificate will not be filed with the Secretary of State of the State of Delaware, Article VIII will remain unchanged, and our officers will not be entitled to exculpation under the DGCL. If more than one of the Charter Amendment Proposals are approved by stockholders, we may file an amended and restated certificate of incorporation to affect the amendment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THE BOARD OF DIRECTORS UNANIMOUSLY RECOMMENDS A VOTE “FOR” THE </w:t>
      </w:r>
      <w:r>
        <w:rPr>
          <w:rFonts w:ascii="Times New Roman PS Std;serif" w:hAnsi="Times New Roman PS Std;serif"/>
          <w:b/>
          <w:i w:val="false"/>
          <w:caps w:val="false"/>
          <w:smallCaps w:val="false"/>
          <w:sz w:val="20"/>
        </w:rPr>
        <w:t>OFFICER EXCULPATION PROPOSAL</w:t>
      </w:r>
      <w:r>
        <w:rPr>
          <w:rFonts w:ascii="Times New Roman PS Std;serif" w:hAnsi="Times New Roman PS Std;serif"/>
          <w:b/>
          <w:i w:val="false"/>
          <w:caps/>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608"/>
      <w:bookmarkEnd w:id="10"/>
      <w:r>
        <w:rPr>
          <w:rFonts w:ascii="Times New Roman PS Std;serif" w:hAnsi="Times New Roman PS Std;serif"/>
          <w:b/>
          <w:i w:val="false"/>
          <w:caps w:val="false"/>
          <w:smallCaps w:val="false"/>
          <w:sz w:val="20"/>
        </w:rPr>
        <w:t>PROPOSAL 6</w:t>
        <w:br/>
        <w:t>242(d)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August 1, 2023, Section 242 of the DGCL was amended to add subsection (d), which, among other things, modifies the voting standard for the approval by stockholders of a Delaware corporation of an amendment to the corporation’s certificate of incorporation under certain circumstances to implement an increase or decrease in the number of authorized shares of one or more classes of the capital stock of the corporation or to effect a forward or reverse stock split with respect to one or more classes of the corporation’s outstanding capital stock. Prior to this amendment of Section 242, Delaware corporations were required to obtain the affirmative vote of a majority of the voting power of the outstanding shares entitled to vote on such a proposal, which is consistent with our Certificate of Incorporation in its current form. Pursuant to new Section 242(d)(2) of the DGCL, unless otherwise required by a corporation’s charter, the threshold for stockholder approval of a charter amendment to implement an increase or decrease in the number of authorized shares of a class of capital stock of a corporation or to effect a reverse stock split with respect to issued shares of a class of capital stock of a corporation is now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Additionally, new Section 242(d)(1) provides that a corporation may effect a forward stock split of a class of stock (and, in connection therewith, increase the number of authorized shares of such class up to an amount proportionate to the split) without a stockholder vote if the corporation has only one class of shares outstanding and that class is not divided into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current Certificate of Incorporation, it would require the affirmative vote of the holders of a majority of the voting power of the outstanding shares of capital stock of the Corporation entitled to vote generally in the election of directors, voting together as a single class, to effect an increase or decrease in the number of authorized shares of any class of capital stock of the Company or to effect a forward or reverse stock split of the outstanding shares of any class, notwithstanding that a lesser percentage may be permitted from time to time by applicable law. Accordingly, and in line with the update to Delaware law, our Board has unanimously adopted a resolution to amend our Certificate of Incorporation, subject to stockholder approval, to effectively adopt the reduced voting standard for stockholder approval to implement an increase or decrease in the number of authorized shares of a class of our capital stock or to effect a forward or reverse stock split of a class of our capital stock (the “Voting Requirement Amendment”). The text of the form of the Voting Requirement Amendment, which will affect Article IV and Article X of the Certificate of Incorporation, is set forth in </w:t>
      </w:r>
      <w:r>
        <w:rPr>
          <w:rFonts w:ascii="Times New Roman PS Std;serif" w:hAnsi="Times New Roman PS Std;serif"/>
          <w:b w:val="false"/>
          <w:i w:val="false"/>
          <w:caps w:val="false"/>
          <w:smallCaps w:val="false"/>
          <w:sz w:val="20"/>
          <w:u w:val="single"/>
        </w:rPr>
        <w:t>Annex D</w:t>
      </w:r>
      <w:r>
        <w:rPr>
          <w:rFonts w:ascii="Times New Roman PS Std;serif" w:hAnsi="Times New Roman PS Std;serif"/>
          <w:b w:val="false"/>
          <w:i w:val="false"/>
          <w:caps w:val="false"/>
          <w:smallCaps w:val="false"/>
          <w:sz w:val="20"/>
        </w:rPr>
        <w:t> to this proxy statement.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 and Possible Effects of the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proposed Voting Requirement Amendment is approved, our Certificate of Incorporation will allow increases and decreases in the number of authorized shares of any class of capital stock of the Company and reverse stock splits to be approved by the affirmative vote of a majority of the votes cast, so long as (a) the applicable class is listed on a national securities exchange immediately before the charter amendment becomes effective and (b) the Company will meet exchange listing requirements immediately after the amendment becomes effective. If at any time the Company has only one class of stock outstanding, such as in the event that all Class B Common Stock were to have converted to Class A Common Stock, our Certificate of Incorporation as amended by the Voting Requirement Amendment would also permit the Company to effect forward stock splits (and proportionate increases to authorized shares) without a stockholder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our large retail stockholder base and generally low voting participation of non-insiders, the Voting Requirement Amendment will enable us to streamline corporate actions that are generally viewed as routine matters that would otherwise require time-consuming and expensive stockholder outreach in connection with seeking to obtain the required stockholder approval. The addition of the voting standard set forth in Section 242(d)(2) of the DGCL may also provide a benefit to stockholders in the future as well to allow us to more easily approve a reverse stock split which could impact, among other things, our ability to maintain our exchange listing.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Timing and Effect of the Voting Requirement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proposed Voting Requirement Amendment is approved by our stockholders, it will become effective immediately upon the filing of a certificate of amendment with the Secretary of State of the State of Delaware, which we expect to file promptly after the Annual Meeting. If more than one of the Charter Amendment Proposals are approved by stockholders, we may file an amended and restated certificate of incorporation to affect the amendment herein. If the proposed Voting Requirement Amendment is not approved by our stockholders, our Certificate of Incorporation will not be amended to reflect this change.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Recommendations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 xml:space="preserve">THE BOARD OF DIRECTORS UNANIMOUSLY RECOMMENDS A VOTE “FOR” THE </w:t>
      </w:r>
      <w:r>
        <w:rPr>
          <w:rFonts w:ascii="Times New Roman PS Std;serif" w:hAnsi="Times New Roman PS Std;serif"/>
          <w:b/>
          <w:i w:val="false"/>
          <w:caps w:val="false"/>
          <w:smallCaps w:val="false"/>
          <w:sz w:val="20"/>
        </w:rPr>
        <w:t>242(d) PROPOSAL</w:t>
      </w:r>
      <w:r>
        <w:rPr>
          <w:rFonts w:ascii="Times New Roman PS Std;serif" w:hAnsi="Times New Roman PS Std;serif"/>
          <w:b/>
          <w:i w:val="false"/>
          <w:caps/>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609"/>
      <w:bookmarkEnd w:id="11"/>
      <w:r>
        <w:rPr>
          <w:rFonts w:ascii="Times New Roman PS Std;serif" w:hAnsi="Times New Roman PS Std;serif"/>
          <w:b/>
          <w:i w:val="false"/>
          <w:caps w:val="false"/>
          <w:smallCaps w:val="false"/>
          <w:sz w:val="20"/>
        </w:rPr>
        <w:t>PROPOSAL 7</w:t>
        <w:br/>
        <w:t>STOCKHOLDER RATIFICATION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of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2025, the Board unanimously approved an amendment to the Certificate of Incorporation, subject to stockholder approval, to remove Section 5.2.2 of Article V of the Certificate of Incorporation. Section 5.2.2 of Article V of the Certificate of Incorporation provides that the directors of the Company may submit any contract or act for approval or ratification at any meeting of Company’s stockholders called for the purpose of considering any such act or contract, and any contract or act that is approved or ratified by the vote of the holders of a majority of the stock of the Corporation which is represented in person or by proxy at such meeting and entitled to vote thereat, unless a higher vote is required by applicable law, shall be as valid and binding upon the Company and upon all Company stockholders as though it had been approved or ratified by every stockholder of the Company, whether or not the contract or act would otherwise be open to legal attack because of directors’ interests, or for any other reason.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Reasons for the Ratification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several years, there has been significant litigation questioning the validity of certain provisions contained in charters of Delaware corporations and, at the same time, the Delaware legislature has been actively updating the DGCL to adapt to an ever-changing corporate environment. Additionally, there have been questions raised as to whether conclusive determinations made by directors constitute an impermissible elimination of liability of directors. To reduce the likelihood of a possible claim in the future and because the Board has determined that the rights afforded by Section 5.2.2 are unnecessary for the continued governance of the Company, the Board adopted a proposal to remove Section 5.2.2 from the Certificate of Incorporation.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of the Stockholder Ratification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Stockholder Ratification Proposal is approved by our stockholders, then the Company will have authority to file an amendment to the Certificate of Incorporation with the Secretary of State of the State of Delaware, which will become effective upon its filing, to remove Section 5.2.2 of Article V of the Certificate of Incorporation. It is currently anticipated that, if the Stockholder Ratification Proposal is approved by our stockholders, the Company will file an amendment to the Certificate of Incorporation promptly after obtaining such approval. If more than one of the Charter Amendment Proposals are approved by stockholders, we may file an amended and restated certificate of incorporation to affect the amendment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the voting power of all of the shares of Common Stock outstanding on the Record Date is required to approve Stockholder Ratification Proposal. Abstentions and broker non-votes will have the effect of a vote against this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sz w:val="20"/>
        </w:rPr>
      </w:pPr>
      <w:r>
        <w:rPr>
          <w:rFonts w:ascii="Times New Roman PS Std;serif" w:hAnsi="Times New Roman PS Std;serif"/>
          <w:b/>
          <w:i w:val="false"/>
          <w:caps/>
          <w:sz w:val="20"/>
        </w:rPr>
        <w:t>THE BOARD OF DIRECTORS UNANIMOUSLY RECOMMENDS A VOTE “FOR” THE STOCKHOLDER RATIFICATION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610"/>
      <w:bookmarkEnd w:id="12"/>
      <w:r>
        <w:rPr>
          <w:rFonts w:ascii="Times New Roman PS Std;serif" w:hAnsi="Times New Roman PS Std;serif"/>
          <w:b/>
          <w:i w:val="false"/>
          <w:caps w:val="false"/>
          <w:smallCaps w:val="false"/>
          <w:sz w:val="20"/>
        </w:rPr>
        <w:t>OTHER INFORMATION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Proxy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 may revoke his, her or its proxy at any time prior to its use by giving written notice to the Secretary of the Company or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Securities Outstanding; Votes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an aggregate of 400,591,189 shares of Common Stock outstanding, consisting of 368,055,781 shares of Class A Common Stock and 32,535,408 shares of Class B Common Stock. Stockholders are entitled to one vote for each share of Class A Common Stock owned and 10 votes for each share of Class B Common Stock owned. Accordingly, a total of 693,409,861 votes may be cast at the Annual Meeting. In the election of directors, the five persons receiving the highest number of affirmative votes cast at the Annual Meeting will be elected. The affirmative vote of the holders of a majority of the voting power of the Common Stock represented and entitled to vote at the Annual Meeting is required for approval of proposal 2. The affirmative vote of the holders of a majority of the voting power of all of the shares of Common Stock outstanding on the Record Date is required to approve proposals 3 through 7. Shares of the Common Stock represented by executed proxies received by the Company will be counted for purposes of establishing a quorum at the Annual Meeting, regardless of how or whether such shares are voted on any specific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Deadline for Submission of Stockholder Proposals and Director Nominations for 2026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intending to present a proposal or propose a director nominee at our 2026 Annual Meeting must comply with the requirements set forth in the Bylaws and comply with the requirement of Rule 14a-8 of the Exchange Act. The Bylaws require, among other things, that a stockholder must have given timely notice of any proposal in writing to the Secretary of the Company. To be timely, a stockholder’s notice must be delivered to or mailed and received at the principal executive offices of the Company not less than 60 days nor more than 90 days prior to 2026 Annual Meeting of Stockholders; provided, however, that in the event that less than 70 days’ notice or prior public disclosure of the date of the 2026 Annual Meeting of Stockholders is given or made to stockholders, notice by a stockholder, to be timely, must be received no later than the close of business on the 10th day following the day on which such notice of the date of the 2026 Annual Meeting of Stockholders was mailed or such public disclosure was made, whichever first occurs. Accordingly, for the 2026 Annual Meeting, assuming the meeting is held on May 22, 2026, notice of a nomination or proposal must be delivered to the Secretary of the Company no later than March 23, 2026 and no earlier than February 21, 2026.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2026 Annual Meeting of Stockholders.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2026 Annual Meeting, the Company’s Secretary must receive notice under SEC Rule 14a-19 no later than March 24,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Communications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Accompanying this proxy statement is a copy of the Company’s Annual Report on Form 10-K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have questions in regard to any aspect of the matters discussed in this proxy statement should contact Warren Heit, General Counsel of the Company, at 5400 Betsy Ross Drive, Santa Clara, CA, 95054.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on Form 10-K by contacting Warren Heit, General Counsel of the Company, at 5400 Betsy Ross Drive, Santa Clara, CA, 95054.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 THE</w:t>
        <w:br/>
        <w:t>SECONDED AMENDED AND RESTATED CERTIFICATE OF INCORPORATION</w:t>
        <w:br/>
        <w:t>OF SOUNDHOUND AI, INC.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Article IV, Section 4.1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pPr>
      <w:r>
        <w:rPr>
          <w:caps w:val="false"/>
          <w:smallCaps w:val="false"/>
        </w:rPr>
        <w:t>“</w:t>
      </w:r>
      <w:r>
        <w:rPr>
          <w:rFonts w:ascii="Times New Roman PS Std;serif" w:hAnsi="Times New Roman PS Std;serif"/>
          <w:b w:val="false"/>
          <w:i w:val="false"/>
          <w:caps w:val="false"/>
          <w:smallCaps w:val="false"/>
          <w:sz w:val="20"/>
          <w:u w:val="single"/>
        </w:rPr>
        <w:t>Section 4.1 Total Authorized</w:t>
      </w:r>
      <w:r>
        <w:rPr>
          <w:caps w:val="false"/>
          <w:smallCaps w:val="false"/>
        </w:rPr>
        <w:t> </w:t>
      </w:r>
      <w:r>
        <w:rPr>
          <w:rFonts w:ascii="Times New Roman PS Std;serif" w:hAnsi="Times New Roman PS Std;serif"/>
          <w:b w:val="false"/>
          <w:i w:val="false"/>
          <w:caps w:val="false"/>
          <w:smallCaps w:val="false"/>
          <w:sz w:val="20"/>
        </w:rPr>
        <w:t>The total number of shares of all classes of stock that the Corporation has authority to issue is 800,000,000 shares, consisting of: 755,000,000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The holders of a majority of the voting power of the issued and outstanding voting stock of the Corporation have voted in favor of said amendment at a duly convened meeting of the stockholders of the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aforesaid amendment was duly adopted in accordance with the applicable provisions of Section 242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 aforesaid amendment shall be effective upon the filing of this amendment.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Corporation has caused this Amendment to the Second Amended and Restated Certificate of Incorporation of the Corporation to be duly executed by the undersigned this            day of            ,            .</w:t>
      </w:r>
    </w:p>
    <w:tbl>
      <w:tblPr>
        <w:tblW w:w="2976" w:type="dxa"/>
        <w:jc w:val="left"/>
        <w:tblInd w:w="0" w:type="dxa"/>
        <w:tblLayout w:type="fixed"/>
        <w:tblCellMar>
          <w:top w:w="0" w:type="dxa"/>
          <w:left w:w="0" w:type="dxa"/>
          <w:bottom w:w="0" w:type="dxa"/>
          <w:right w:w="0" w:type="dxa"/>
        </w:tblCellMar>
      </w:tblPr>
      <w:tblGrid>
        <w:gridCol w:w="161"/>
        <w:gridCol w:w="146"/>
        <w:gridCol w:w="1794"/>
        <w:gridCol w:w="378"/>
        <w:gridCol w:w="497"/>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69"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AI, INC</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78" w:type="dxa"/>
            <w:tcBorders/>
          </w:tcPr>
          <w:p>
            <w:pPr>
              <w:pStyle w:val="TableContents"/>
              <w:bidi w:val="0"/>
              <w:spacing w:before="0" w:after="283"/>
              <w:jc w:val="left"/>
              <w:rPr/>
            </w:pPr>
            <w:r>
              <w:rPr/>
              <w:t> </w:t>
            </w:r>
          </w:p>
        </w:tc>
        <w:tc>
          <w:tcPr>
            <w:tcW w:w="497"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 THE</w:t>
        <w:br/>
        <w:t>SECONDED AMENDED AND RESTATED CERTIFICATE OF INCORPORATION</w:t>
        <w:br/>
        <w:t>OF SOUNDHOUND AI, INC.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Article XII, Section 12.1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Section 12.1 Corporate Opportunities. The Corporation renounces any interest or expectancy of the Corporation in, or in being offered an opportunity to participate in, any “Included Opportunity.” The doctrine of corporate opportunity, or any other analogous doctrine, shall not apply with respect to the Corporation or any of its directors who are not also officers of the Corporation (“Outside Directors”) with respect to Included Opportunities. An “Included Opportunity” is any business opportunity relating to the research, development, manufacture, operation, production, or delivery of products or services related to conversational intelligence, voice artificial intelligence, voice interaction technology, automated voice technology or voice-enable products, voice-enable computing or voice-enable technologies that the Corporation is legally and contractually permitted to undertake and would otherwise be reasonable for the Corporation to pursue and that is presented to, offered to, acquired, created or developed by, or which otherwise comes into the possession of, any of the Corporation’s Outside Directors, unless such business opportunity is presented to, offered to, acquired, created or developed by, or which otherwise comes into the possession of, such Outside Director, expressly and solely in such Outside Director’s capacity as a director of the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The holders of a majority of the voting power of the issued and outstanding voting stock of the Corporation have voted in favor of said amendment at a duly convened meeting of the stockholders of the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aforesaid amendment was duly adopted in accordance with the applicable provisions of Section 242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 aforesaid amendment shall be effective upon the filing of this amendment.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Corporation has caused this Amendment to the Second Amended and Restated Certificate of Incorporation of the Corporation to be duly executed by the undersigned this            day of            ,            .</w:t>
      </w:r>
    </w:p>
    <w:tbl>
      <w:tblPr>
        <w:tblW w:w="2976" w:type="dxa"/>
        <w:jc w:val="left"/>
        <w:tblInd w:w="0" w:type="dxa"/>
        <w:tblLayout w:type="fixed"/>
        <w:tblCellMar>
          <w:top w:w="0" w:type="dxa"/>
          <w:left w:w="0" w:type="dxa"/>
          <w:bottom w:w="0" w:type="dxa"/>
          <w:right w:w="0" w:type="dxa"/>
        </w:tblCellMar>
      </w:tblPr>
      <w:tblGrid>
        <w:gridCol w:w="161"/>
        <w:gridCol w:w="146"/>
        <w:gridCol w:w="1794"/>
        <w:gridCol w:w="378"/>
        <w:gridCol w:w="497"/>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69"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AI, INC</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78" w:type="dxa"/>
            <w:tcBorders/>
          </w:tcPr>
          <w:p>
            <w:pPr>
              <w:pStyle w:val="TableContents"/>
              <w:bidi w:val="0"/>
              <w:spacing w:before="0" w:after="283"/>
              <w:jc w:val="left"/>
              <w:rPr/>
            </w:pPr>
            <w:r>
              <w:rPr/>
              <w:t> </w:t>
            </w:r>
          </w:p>
        </w:tc>
        <w:tc>
          <w:tcPr>
            <w:tcW w:w="497"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C</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 THE</w:t>
        <w:br/>
        <w:t>SECONDED AMENDED AND RESTATED CERTIFICATE OF INCORPORATION</w:t>
        <w:br/>
        <w:t>OF SOUNDHOUND AI, INC.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Article VIII, Section 8.1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pPr>
      <w:r>
        <w:rPr>
          <w:caps w:val="false"/>
          <w:smallCaps w:val="false"/>
        </w:rPr>
        <w:t>“</w:t>
      </w:r>
      <w:r>
        <w:rPr>
          <w:rFonts w:ascii="Times New Roman PS Std;serif" w:hAnsi="Times New Roman PS Std;serif"/>
          <w:b w:val="false"/>
          <w:i w:val="false"/>
          <w:caps w:val="false"/>
          <w:smallCaps w:val="false"/>
          <w:sz w:val="20"/>
          <w:u w:val="single"/>
        </w:rPr>
        <w:t>Section 8.1</w:t>
      </w:r>
      <w:r>
        <w:rPr>
          <w:caps w:val="false"/>
          <w:smallCaps w:val="false"/>
        </w:rPr>
        <w:t> </w:t>
      </w:r>
      <w:r>
        <w:rPr>
          <w:rFonts w:ascii="Times New Roman PS Std;serif" w:hAnsi="Times New Roman PS Std;serif"/>
          <w:b w:val="false"/>
          <w:i w:val="false"/>
          <w:caps w:val="false"/>
          <w:smallCaps w:val="false"/>
          <w:sz w:val="20"/>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In addition to the foregoing, the officers of the Corporation shall not be personally liable to the Corporation or its stockholders for monetary damages for breach of fiduciary duty as an officer of the Corporation to the fullest extent permitted by the DGCL.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Any repeal or modification of this Section 8.1 by the stockholders of the Corporation shall not adversely affect any right or protection of a director or officer of the Corporation with respect to events occurring prior to the time of such repeal or modification.”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The holders of a majority of the voting power of the issued and outstanding voting stock of the Corporation have voted in favor of said amendment at a duly convened meeting of the stockholders of the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aforesaid amendment was duly adopted in accordance with the applicable provisions of Section 242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 aforesaid amendment shall be effective upon filing of this amendment.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Corporation has caused this Amendment to the Second Amended and Restated Certificate of Incorporation of the Corporation to be duly executed by the undersigned this            day of            ,            .</w:t>
      </w:r>
    </w:p>
    <w:tbl>
      <w:tblPr>
        <w:tblW w:w="2976" w:type="dxa"/>
        <w:jc w:val="left"/>
        <w:tblInd w:w="0" w:type="dxa"/>
        <w:tblLayout w:type="fixed"/>
        <w:tblCellMar>
          <w:top w:w="0" w:type="dxa"/>
          <w:left w:w="0" w:type="dxa"/>
          <w:bottom w:w="0" w:type="dxa"/>
          <w:right w:w="0" w:type="dxa"/>
        </w:tblCellMar>
      </w:tblPr>
      <w:tblGrid>
        <w:gridCol w:w="161"/>
        <w:gridCol w:w="146"/>
        <w:gridCol w:w="1794"/>
        <w:gridCol w:w="378"/>
        <w:gridCol w:w="497"/>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69"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AI, INC</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78" w:type="dxa"/>
            <w:tcBorders/>
          </w:tcPr>
          <w:p>
            <w:pPr>
              <w:pStyle w:val="TableContents"/>
              <w:bidi w:val="0"/>
              <w:spacing w:before="0" w:after="283"/>
              <w:jc w:val="left"/>
              <w:rPr/>
            </w:pPr>
            <w:r>
              <w:rPr/>
              <w:t> </w:t>
            </w:r>
          </w:p>
        </w:tc>
        <w:tc>
          <w:tcPr>
            <w:tcW w:w="497"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 THE</w:t>
        <w:br/>
        <w:t>SECONDED AMENDED AND RESTATED CERTIFICATE OF INCORPORATION</w:t>
        <w:br/>
        <w:t>OF SOUNDHOUND AI, INC.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Article IV, Section 4.2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pPr>
      <w:r>
        <w:rPr>
          <w:caps w:val="false"/>
          <w:smallCaps w:val="false"/>
        </w:rPr>
        <w:t>“</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u w:val="single"/>
        </w:rPr>
        <w:t>Section 242(b)(2) Opt-Out</w:t>
      </w:r>
      <w:r>
        <w:rPr>
          <w:rFonts w:ascii="Times New Roman PS Std;serif" w:hAnsi="Times New Roman PS Std;serif"/>
          <w:b w:val="false"/>
          <w:i w:val="false"/>
          <w:caps w:val="false"/>
          <w:smallCaps w:val="false"/>
          <w:sz w:val="20"/>
        </w:rPr>
        <w:t>. The number of authorized shares of Class A Common Stock or Class B Common Stock may be increased or decreased (but not below the number of shares thereof then outstanding) by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 For the avoidance of doubt, the Corporation elects to be governed by Section 242(d)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Article IV, Section 4.3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pPr>
      <w:r>
        <w:rPr>
          <w:caps w:val="false"/>
          <w:smallCaps w:val="false"/>
        </w:rPr>
        <w:t>“</w:t>
      </w:r>
      <w:r>
        <w:rPr>
          <w:rFonts w:ascii="Times New Roman PS Std;serif" w:hAnsi="Times New Roman PS Std;serif"/>
          <w:b w:val="false"/>
          <w:i w:val="false"/>
          <w:caps w:val="false"/>
          <w:smallCaps w:val="false"/>
          <w:sz w:val="20"/>
          <w:u w:val="single"/>
        </w:rPr>
        <w:t>Section 4.3</w:t>
      </w:r>
      <w:r>
        <w:rPr>
          <w:caps w:val="false"/>
          <w:smallCaps w:val="false"/>
        </w:rPr>
        <w:t xml:space="preserve"> </w:t>
      </w:r>
      <w:r>
        <w:rPr>
          <w:rFonts w:ascii="Times New Roman PS Std;serif" w:hAnsi="Times New Roman PS Std;serif"/>
          <w:b w:val="false"/>
          <w:i w:val="false"/>
          <w:caps w:val="false"/>
          <w:smallCaps w:val="false"/>
          <w:sz w:val="20"/>
          <w:u w:val="single"/>
        </w:rPr>
        <w:t>Preferred Stock</w:t>
      </w:r>
      <w:r>
        <w:rPr>
          <w:rFonts w:ascii="Times New Roman PS Std;serif" w:hAnsi="Times New Roman PS Std;serif"/>
          <w:b w:val="false"/>
          <w:i w:val="false"/>
          <w:caps w:val="false"/>
          <w:smallCaps w:val="false"/>
          <w:sz w:val="20"/>
        </w:rPr>
        <w:t>.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 For the avoidance of doubt, the Corporation elects to be governed by Section 242(d)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Article X, Section 10.1 of the Second Amended and Restated Certificate of Incorporation of the Corporation is hereby amended and restated in its entirety as follows:</w:t>
      </w:r>
    </w:p>
    <w:p>
      <w:pPr>
        <w:pStyle w:val="TextBody"/>
        <w:widowControl/>
        <w:pBdr/>
        <w:bidi w:val="0"/>
        <w:spacing w:before="160" w:after="283"/>
        <w:ind w:left="720" w:right="720" w:hanging="0"/>
        <w:jc w:val="both"/>
        <w:rPr/>
      </w:pPr>
      <w:r>
        <w:rPr>
          <w:caps w:val="false"/>
          <w:smallCaps w:val="false"/>
        </w:rPr>
        <w:t>“</w:t>
      </w:r>
      <w:r>
        <w:rPr>
          <w:rFonts w:ascii="Times New Roman PS Std;serif" w:hAnsi="Times New Roman PS Std;serif"/>
          <w:b w:val="false"/>
          <w:i w:val="false"/>
          <w:caps w:val="false"/>
          <w:smallCaps w:val="false"/>
          <w:sz w:val="20"/>
          <w:u w:val="single"/>
        </w:rPr>
        <w:t>Section 10.1</w:t>
      </w:r>
      <w:r>
        <w:rPr>
          <w:caps w:val="false"/>
          <w:smallCaps w:val="false"/>
        </w:rPr>
        <w:t xml:space="preserve"> </w:t>
      </w:r>
      <w:r>
        <w:rPr>
          <w:rFonts w:ascii="Times New Roman PS Std;serif" w:hAnsi="Times New Roman PS Std;serif"/>
          <w:b w:val="false"/>
          <w:i w:val="false"/>
          <w:caps w:val="false"/>
          <w:smallCaps w:val="false"/>
          <w:sz w:val="20"/>
          <w:u w:val="single"/>
        </w:rPr>
        <w:t>Amendments</w:t>
      </w:r>
      <w:r>
        <w:rPr>
          <w:rFonts w:ascii="Times New Roman PS Std;serif" w:hAnsi="Times New Roman PS Std;serif"/>
          <w:b w:val="false"/>
          <w:i w:val="false"/>
          <w:caps w:val="false"/>
          <w:smallCaps w:val="false"/>
          <w:sz w:val="20"/>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Article VIII,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xml:space="preserve">. Subject to Sections 4.2 and 4.3 above, but notwithstanding anything to the contrary contained in this Second Amended and Restated Certificate, no provision of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7.1, Section 7.3, Article VIII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or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may be altered, amended or repealed in any respect, nor may any provision or bylaw inconsistent therewith be adopted, unless, in addition to any other vote required by this Second Amended and Restated Certificate or otherwise required by law,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7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 holders of a majority of the voting power of the issued and outstanding voting stock of the Corporation have voted in favor of said amendment at a duly convened meeting of the stockholders of the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FIFTH: The aforesaid amendment was duly adopted in accordance with the applicable provisions of Section 242 of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SIXTH: The aforesaid amendment shall be effective upon filing of this amendment.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Corporation has caused this Amendment to the Second Amended and Restated Certificate of Incorporation of the Corporation to be duly executed by the undersigned this            day of            ,            .</w:t>
      </w:r>
    </w:p>
    <w:tbl>
      <w:tblPr>
        <w:tblW w:w="2976" w:type="dxa"/>
        <w:jc w:val="left"/>
        <w:tblInd w:w="0" w:type="dxa"/>
        <w:tblLayout w:type="fixed"/>
        <w:tblCellMar>
          <w:top w:w="0" w:type="dxa"/>
          <w:left w:w="0" w:type="dxa"/>
          <w:bottom w:w="0" w:type="dxa"/>
          <w:right w:w="0" w:type="dxa"/>
        </w:tblCellMar>
      </w:tblPr>
      <w:tblGrid>
        <w:gridCol w:w="161"/>
        <w:gridCol w:w="146"/>
        <w:gridCol w:w="1794"/>
        <w:gridCol w:w="378"/>
        <w:gridCol w:w="497"/>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69"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SOUNDHOUND AI, INC</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78" w:type="dxa"/>
            <w:tcBorders/>
          </w:tcPr>
          <w:p>
            <w:pPr>
              <w:pStyle w:val="TableContents"/>
              <w:bidi w:val="0"/>
              <w:spacing w:before="0" w:after="283"/>
              <w:jc w:val="left"/>
              <w:rPr/>
            </w:pPr>
            <w:r>
              <w:rPr/>
              <w:t> </w:t>
            </w:r>
          </w:p>
        </w:tc>
        <w:tc>
          <w:tcPr>
            <w:tcW w:w="497"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78" w:type="dxa"/>
            <w:tcBorders/>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SOUNDHOUND AI, INC. 5400 BETSY ROSS DRIVE SANTA CLARA, CA 95054 SCAN TO VIEW MATERIALS &amp; VOTE VOTE BY INTERNET - www.proxyvote.com or scan the QR Barcode above Use the Internet to transmit your voting instructions and for electronic delivery of information. Vote by 11:59 P.M. ET on 05/22/2025. Have your proxy card in hand when you access the web site and follow the instructions to obtain your records and to create an electronic voting instruction form. VOTE BY PHONE - 1-800-690-6903 Use any touch-tone telephone to transmit your voting instructions. Vote by 11:59 P.M. ET on 05/22/2025. Have your proxy card in hand when you call and then follow the instructions. VOTE BY MAIL Mark, sign and date your proxy card and return it in the postage-paid envelope we have provided or return it to Vote Processing, c/o Broadridge, 51 Mercedes Way, Edgewood, NY 11717. Investor Address Line 1 Investor Address Line 2 Investor Address Line 3 Investor Address Line 4 Investor Address Line 5 John Sample 1234 ANYWHERE STREET ANY CITY, ON A1A 1A1 1 OF 2 1 1 NAME CONTROL # SHARES THE COMPANY NAME INC. – COMMON THE COMPANY NAME INC. - CLASS A THE COMPANY NAME INC. - CLASS B THE COMPANY NAME INC. - CLASS C THE COMPANY NAME INC. - CLASS D THE COMPANY NAME INC. - CLASS E THE COMPANY NAME INC. - CLASS F THE COMPANY NAME INC. - 401 K 123,456,789,012.12345 123,456,789,012.12345 123,456,789,012.12345 123,456,789,012.12345 123,456,789,012.12345 123,456,789,012.12345 123,456,789,012.12345 123,456,789,012.12345 PAGE 1 OF 2 TO VOTE, MARK BLOCKS BELOW IN BLUE OR BLACK INK AS FOLLOWS: x KEEP THIS PORTION FOR YOUR RECORDS DETACH AND RETURN THIS PORTION ONLY THIS PROXY CARD IS VALID ONLY WHEN SIGNED AND DATED. The Board of Directors recommends you vote FOR the following: For Withhold For All All All Except 1. Election of Directors Nominees To withhold authority to vote for any individual nominee(s), mark “For All Except” and write the number(s) of the nominee(s) on the line below. 01 Dr. Keyvan Mohajer 02 James Hom 03 Larry Marcus 04 Dr. Eric Ball 05 Diana Sroka The Board of Directors recommends you vote FOR proposals 2 through 7. For Against Abstain 2 To ratify the appointment by the Board of PricewaterhouseCoopers LLP as the Company’s independent registered public accounting firm for the fiscal year ending December 31, 2025 3 To consider and vote upon an amendment to Section 4.1 of Article IV of the Company’s Second Amended and Restated Certificate of Incorporation to increase the number of authorized shares of Class A Common Stock from 455,000,000 to 755,000,000. 4 To consider and vote upon an amendment to Section 12.1 of Article XII of the Company’s Second Amended and Restated Certificate of Incorporation regarding the waiver of corporate opportunities. 5 To consider and vote upon an amendment to Article VIII of the Company’s Second Amended and Restated Certificate of Incorporation to provide for officer exculpation. For Against Abstain 6 To consider and vote upon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 7 To consider and vote upon an amendment to Section 5.2 of Article V of the Company’s Second Amended and Restated Certificate of Incorporation to remove subsection 5.2.2 relating to the ratification of contracts and acts by stockholders. NOTE: In their discretion, the proxies are authorized to vote upon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Investor Address Line 1 Investor Address Line 2 Investor Address Line 3 Investor Address Line 4 Investor Address Line 5 John Sample 1234 ANYWHERE STREET ANY CITY, ON A1A 1A1 Signature [PLEASE SIGN WITHIN BOX] Date JOB # Signature (Joint Owners) Date SHARES CUSIP # SEQUENCE # 02 0000000000 0000676805_1 R1.0.0.2</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Annual Meeting: The Annual Report, and Proxy Statement are available at www.proxyvote.com SOUNDHOUND AI, INC. Annual Meeting of Shareholders May 23, 2025, 7:00 AM Pacific Time This proxy is solicited by the Board of Directors The stockholder(s) hereby appoint Dr. Keyvan Mohajer, Nitesh Sharan and Warren Heit, or any of them, as proxies, each with the power to appoint his substitute, and hereby authorizes them to represent and to vote, as designated on the reverse side of this ballot, all of the shares of Class A and/or Class B common stock of SoundHound AI, Inc. that the stockholder(s) are entitled to vote at the Annual Meeting of Stockholders to be held at 7:00 AM PDT on May 23, 2025, on a virtual basis at www.virtualshareholdermeeting.com/SOUN2025, and any adjournment or postponement thereof. This proxy, when properly executed, will be voted in the manner directed herein. If no such direction is made, this proxy will be voted in accordance with the Board of Directors’ recommendations. Continued and to be signed on reverse side 0000676805_2 R1.0.0.2</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32684</Words>
  <Characters>174634</Characters>
  <CharactersWithSpaces>207879</CharactersWithSpaces>
  <Paragraphs>3136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