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Keyvan Mohajer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5400 Betsy Ross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SoundHound AI,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001-40193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Keyvan Mohajer: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9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 Item 11. Executive Compensation, page 119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have checked the box stating that your filing contains error corrections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previously issued financial statements that required a recovery analysis of incentive-based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received by your executive officers. However, we do not note any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related to your recovery analysis. Please provide the information required by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402(w) of Regulation S-K.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 and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adequacy of their disclosures, notwithstanding any review, comments, action or absence of action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Tyler Howes at 202-551-3370 or James Lopez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202-551-3536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20,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Matthew Bernstein,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2024-12-04T23:12:08Z</dcterms:created>
  <dcterms:modified xsi:type="dcterms:W3CDTF">2024-12-04T23:12:08Z</dcterms:modified>
</cp:coreProperties>
</file>