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00"/>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February 14,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&amp; Exchange Commission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Kathleen Krebs and Joshua Shainess</w:t>
      </w:r>
    </w:p>
    <w:p>
      <w:pPr>
        <w:spacing w:after="0" w:line="20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 SoundHound AI, Inc.</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Amendment No. 3 to Registration Statement on Form S-1</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February 10, 2023</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333-267501</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Krebs and Mr. Shainess:</w:t>
      </w:r>
    </w:p>
    <w:p>
      <w:pPr>
        <w:spacing w:after="0" w:line="221" w:lineRule="exact"/>
        <w:rPr>
          <w:sz w:val="24"/>
          <w:szCs w:val="24"/>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SoundHound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hereby transmits the Company’s response to the comment letter received from the staff (the “</w:t>
      </w:r>
      <w:r>
        <w:rPr>
          <w:rFonts w:ascii="Times New Roman" w:cs="Times New Roman" w:eastAsia="Times New Roman" w:hAnsi="Times New Roman"/>
          <w:sz w:val="18"/>
          <w:szCs w:val="18"/>
          <w:b w:val="1"/>
          <w:bCs w:val="1"/>
          <w:color w:val="auto"/>
        </w:rPr>
        <w:t>Staff</w:t>
      </w:r>
      <w:r>
        <w:rPr>
          <w:rFonts w:ascii="Times New Roman" w:cs="Times New Roman" w:eastAsia="Times New Roman" w:hAnsi="Times New Roman"/>
          <w:sz w:val="18"/>
          <w:szCs w:val="18"/>
          <w:color w:val="auto"/>
        </w:rPr>
        <w:t>”) of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on February 13, 2023 regarding Amendment No. 3 to the Registration Statement of the Company on Form S-1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filed with the Commission on February 10, 2023.</w:t>
      </w:r>
    </w:p>
    <w:p>
      <w:pPr>
        <w:spacing w:after="0" w:line="175"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Staff’s convenience, we have repeated below the Staff’s comment in bold, and have followed the comment with the Company’s response. Disclosure changes made in response to the Staff’s comment have been made in Amendment No. 4 to the Registration Statement, which has been filed with the Commission contemporaneously with the submission of this letter.</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Amendment No. 3 to Form S-1</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 Developments, page 9</w:t>
      </w:r>
    </w:p>
    <w:p>
      <w:pPr>
        <w:spacing w:after="0" w:line="225" w:lineRule="exact"/>
        <w:rPr>
          <w:sz w:val="24"/>
          <w:szCs w:val="24"/>
          <w:color w:val="auto"/>
        </w:rPr>
      </w:pPr>
    </w:p>
    <w:p>
      <w:pPr>
        <w:jc w:val="both"/>
        <w:ind w:left="660" w:hanging="328"/>
        <w:spacing w:after="0" w:line="255"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 filed a Form 8-K on January 24, 2023 that included a press release issued on the same day providing certain business updates and certain preliminary unaudited financial and other results for the fourth quarter of 2022 and fiscal year 2022. Please provide the material information from the press release in your recent developments section. In addition, where appropriate, please balance your preliminary revenue and gross margin information by presenting other measures of your performance such as operating expenses and net income (loss). To the extent this information is unavailable and you are unable to provide meaningful ranges, then revise your disclosure to provide qualitative disclosure, as applicable, to provide investors with an understanding of whether you have experienced any positive or negative trends in these areas during the period. Lastly, please confirm that actual results for the fourth quarter of 2022 and fiscal year 2022 are not expected to differ materially from the preliminary results.</w:t>
      </w:r>
    </w:p>
    <w:p>
      <w:pPr>
        <w:spacing w:after="0" w:line="188"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revised page 9 of the Registration Statement to include disclosure in response to the Staff’s comment. With the Staff’s permission, we will further revise the disclosure in the 424B3 prospectus, in the form attached to this letter. The Company confirms that actual results for the fourth quarter of 2022 and fiscal year 2022 are not expected to differ materially from the preliminary results.</w:t>
      </w:r>
    </w:p>
    <w:p>
      <w:pPr>
        <w:spacing w:after="0" w:line="176" w:lineRule="exact"/>
        <w:rPr>
          <w:sz w:val="24"/>
          <w:szCs w:val="24"/>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thank the Staff for its review of the foregoing and the Registration Statement. If you have further comments, please feel free to contact to our counsel, Matthew Bernstein, Esq., at mbernstein@egsllp.com or by telephone at (212) 370-1300.</w:t>
      </w:r>
    </w:p>
    <w:p>
      <w:pPr>
        <w:spacing w:after="0" w:line="162"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23"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/s/ Keyvan Mohajer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4291330</wp:posOffset>
            </wp:positionH>
            <wp:positionV relativeFrom="paragraph">
              <wp:posOffset>18415</wp:posOffset>
            </wp:positionV>
            <wp:extent cx="284607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8"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Keyvan Mohajer, Chief Executive Officer and Director</w:t>
      </w:r>
    </w:p>
    <w:p>
      <w:pPr>
        <w:spacing w:after="0" w:line="225" w:lineRule="exact"/>
        <w:rPr>
          <w:sz w:val="24"/>
          <w:szCs w:val="24"/>
          <w:color w:val="auto"/>
        </w:rPr>
      </w:pPr>
    </w:p>
    <w:p>
      <w:pPr>
        <w:ind w:left="340" w:right="846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Matthew Bernstein, Esq. Ellenoff Grossman &amp; Schole LLP</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2023-03-15T23:10:22Z</dcterms:created>
  <dcterms:modified xsi:type="dcterms:W3CDTF">2023-03-15T23:10:22Z</dcterms:modified>
</cp:coreProperties>
</file>