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4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8000" w:type="dxa"/>
            <w:vAlign w:val="bottom"/>
            <w:gridSpan w:val="8"/>
          </w:tcPr>
          <w:p>
            <w:pPr>
              <w:jc w:val="center"/>
              <w:ind w:left="315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27, 2026</w:t>
            </w:r>
          </w:p>
        </w:tc>
        <w:tc>
          <w:tcPr>
            <w:tcW w:w="324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2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39"/>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8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5"/>
        </w:trPr>
        <w:tc>
          <w:tcPr>
            <w:tcW w:w="3680" w:type="dxa"/>
            <w:vAlign w:val="bottom"/>
            <w:tcBorders>
              <w:bottom w:val="single" w:sz="8" w:color="auto"/>
            </w:tcBorders>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Certificate of Incorporation or Bylaws; Change in Fiscal Year.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2026,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SoundHound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unanimously approved and adopted the Second Amended and Restated Bylaws of the Company (the “</w:t>
      </w:r>
      <w:r>
        <w:rPr>
          <w:rFonts w:ascii="Times New Roman" w:cs="Times New Roman" w:eastAsia="Times New Roman" w:hAnsi="Times New Roman"/>
          <w:sz w:val="18"/>
          <w:szCs w:val="18"/>
          <w:b w:val="1"/>
          <w:bCs w:val="1"/>
          <w:color w:val="auto"/>
        </w:rPr>
        <w:t>Second Amended and Restated Bylaws</w:t>
      </w:r>
      <w:r>
        <w:rPr>
          <w:rFonts w:ascii="Times New Roman" w:cs="Times New Roman" w:eastAsia="Times New Roman" w:hAnsi="Times New Roman"/>
          <w:sz w:val="18"/>
          <w:szCs w:val="18"/>
          <w:color w:val="auto"/>
        </w:rPr>
        <w:t>”). The Second Amended and Restated Bylaws amend and restate those certain Amended and Restated Bylaws of the Company adopted by the Board on April 26, 2022, to remove the provision allowing any unauthorized, defective or conflicted transaction questioned in any stockholders’ derivative suit, or any other suit to enforce alleged rights of the Company or any of its stockholders, to be approved, ratified and confirmed by the Board or the Company’s stockholders before or after judgment, and thereby to be cured, and such approval, ratification or confirmation to constitute a bar to any claim or execution of any judgment in respect of such questioned transaction.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preceding is a summary of the material changes in the Amended and Restated Bylaws and is qualified in its entirety by reference to the complete text of the Amended and Restated Bylaws filed as Exhibit 3.1 to this Current Report on Form 8-K (this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and incorporated by reference herein.</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22, 2026, the Company held its 2026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number of shares of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entitled to vote at the Annual Meeting was 393,674,647 shares and the number of shares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entitled to vote at the Annual Meeting was 32,535,408 shares. Stockholders were entitled to one vote for each share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and 10 votes for each share of Class B Common Stock owned. The number of shares of Voting Stock present or represented by valid proxy at the Annual Meeting was 426,210,055 shares representing 719,028,727 votes. At the Annual Meeting, the Company’s stockholders (i) re-elected each of Dr. Keyvan Mohajer, James Hom, Larry Marcus, Diana Sroka and Dr. Eric Ball as directors to serve on the Board for a one-year term that will expire at the Company’s 2027 annual meeting of stockholders, or until their successors are elected and qualified, and (ii) ratified the appointment by the Board of PricewaterhouseCoopers LLP as the Company’s independent registered public accounting firm for the fiscal year ending December 31, 2026.</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tabulation of the voting on each of the proposals presented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Keyvan Mohajer, James Hom, Larry Marcus, Diana Sroka and Dr. Eric Ball were elected to serve until the 2026 annual meeting of stockholders or until his or her successor is duly elected and qualified or until his or her earlier resignation or removal or otherwise is disqualified from serving as a director of the Company. The voting results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40" w:type="dxa"/>
            <w:vAlign w:val="bottom"/>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200" w:type="dxa"/>
            <w:vAlign w:val="bottom"/>
          </w:tcPr>
          <w:p>
            <w:pPr>
              <w:spacing w:after="0"/>
              <w:rPr>
                <w:sz w:val="21"/>
                <w:szCs w:val="21"/>
                <w:color w:val="auto"/>
              </w:rPr>
            </w:pPr>
          </w:p>
        </w:tc>
        <w:tc>
          <w:tcPr>
            <w:tcW w:w="25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Shares Withheld</w:t>
            </w:r>
          </w:p>
        </w:tc>
        <w:tc>
          <w:tcPr>
            <w:tcW w:w="2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Dr. Keyvan Mohajer</w:t>
            </w:r>
          </w:p>
        </w:tc>
        <w:tc>
          <w:tcPr>
            <w:tcW w:w="2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367,926,495</w:t>
            </w:r>
          </w:p>
        </w:tc>
        <w:tc>
          <w:tcPr>
            <w:tcW w:w="2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2,783,725</w:t>
            </w:r>
          </w:p>
        </w:tc>
        <w:tc>
          <w:tcPr>
            <w:tcW w:w="28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150,823,007</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Hom</w:t>
            </w:r>
          </w:p>
        </w:tc>
        <w:tc>
          <w:tcPr>
            <w:tcW w:w="2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366,138,436</w:t>
            </w:r>
          </w:p>
        </w:tc>
        <w:tc>
          <w:tcPr>
            <w:tcW w:w="2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4,571,784</w:t>
            </w:r>
          </w:p>
        </w:tc>
        <w:tc>
          <w:tcPr>
            <w:tcW w:w="28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150,823,007</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Larry Marcus</w:t>
            </w:r>
          </w:p>
        </w:tc>
        <w:tc>
          <w:tcPr>
            <w:tcW w:w="2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356,789,793</w:t>
            </w:r>
          </w:p>
        </w:tc>
        <w:tc>
          <w:tcPr>
            <w:tcW w:w="2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13,920,427</w:t>
            </w:r>
          </w:p>
        </w:tc>
        <w:tc>
          <w:tcPr>
            <w:tcW w:w="28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150,823,007</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Diana Sroka</w:t>
            </w:r>
          </w:p>
        </w:tc>
        <w:tc>
          <w:tcPr>
            <w:tcW w:w="2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360,252,557</w:t>
            </w:r>
          </w:p>
        </w:tc>
        <w:tc>
          <w:tcPr>
            <w:tcW w:w="2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10,457,663</w:t>
            </w:r>
          </w:p>
        </w:tc>
        <w:tc>
          <w:tcPr>
            <w:tcW w:w="28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150,823,007</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Dr. Eric Ball</w:t>
            </w:r>
          </w:p>
        </w:tc>
        <w:tc>
          <w:tcPr>
            <w:tcW w:w="2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352,655,071</w:t>
            </w:r>
          </w:p>
        </w:tc>
        <w:tc>
          <w:tcPr>
            <w:tcW w:w="2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18,055,149</w:t>
            </w:r>
          </w:p>
        </w:tc>
        <w:tc>
          <w:tcPr>
            <w:tcW w:w="28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150,823,007</w:t>
            </w:r>
          </w:p>
        </w:tc>
      </w:tr>
    </w:tbl>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 – Ratification of the appointment by the Board of the Company of PricewaterhouseCoopers LLP as the Company’s independent registered public accounting firm for the fiscal year ending December 31, 2026</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by the Board of PricewaterhouseCoopers LLP as the Company’s independent registered public accounting firm for the fiscal year ending December 31, 2026 was approved. The voting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514,619,500</w:t>
            </w:r>
          </w:p>
        </w:tc>
        <w:tc>
          <w:tcPr>
            <w:tcW w:w="38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4,307,207</w:t>
            </w:r>
          </w:p>
        </w:tc>
        <w:tc>
          <w:tcPr>
            <w:tcW w:w="380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2,606,520</w:t>
            </w:r>
          </w:p>
        </w:tc>
      </w:tr>
      <w:tr>
        <w:trPr>
          <w:trHeight w:val="655"/>
        </w:trPr>
        <w:tc>
          <w:tcPr>
            <w:tcW w:w="3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Company’s Registration Statement on Form S-3ASR filed with the Securities and Exchange Commission on May 11, 2026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on May 11, 2026, the Company entered into an equity distribution agreement (the “</w:t>
      </w:r>
      <w:r>
        <w:rPr>
          <w:rFonts w:ascii="Times New Roman" w:cs="Times New Roman" w:eastAsia="Times New Roman" w:hAnsi="Times New Roman"/>
          <w:sz w:val="18"/>
          <w:szCs w:val="18"/>
          <w:b w:val="1"/>
          <w:bCs w:val="1"/>
          <w:color w:val="auto"/>
        </w:rPr>
        <w:t>Equity Distribution Agreement</w:t>
      </w:r>
      <w:r>
        <w:rPr>
          <w:rFonts w:ascii="Times New Roman" w:cs="Times New Roman" w:eastAsia="Times New Roman" w:hAnsi="Times New Roman"/>
          <w:sz w:val="18"/>
          <w:szCs w:val="18"/>
          <w:color w:val="auto"/>
        </w:rPr>
        <w:t>”) with Cantor Fitzgerald &amp; Co., D.A. Davidson&amp; Co., H.C. Wainwright &amp; Co., LLC, Roth Capital Partners, LLC, Northland Securities, Inc., Ladenburg Thalmann &amp; Co. Inc., Wedbush Securities Inc. and Joseph Gunnar &amp; Co., LLC (collectively,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relating to the sale of up to $300,000,000 shares of the Company’s Class A common stock, par value $0.0001 per share, pursuant to the Registration Statement and the sales prospectus contained therein, from time to time through or to the Managers acting as agent or principal.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Equity Distribution Agreement is filed as Exhibit 1.1 to this Report and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 Acquired</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LivePerson, Inc. (“</w:t>
      </w:r>
      <w:r>
        <w:rPr>
          <w:rFonts w:ascii="Times New Roman" w:cs="Times New Roman" w:eastAsia="Times New Roman" w:hAnsi="Times New Roman"/>
          <w:sz w:val="18"/>
          <w:szCs w:val="18"/>
          <w:b w:val="1"/>
          <w:bCs w:val="1"/>
          <w:color w:val="auto"/>
        </w:rPr>
        <w:t>LivePerson</w:t>
      </w:r>
      <w:r>
        <w:rPr>
          <w:rFonts w:ascii="Times New Roman" w:cs="Times New Roman" w:eastAsia="Times New Roman" w:hAnsi="Times New Roman"/>
          <w:sz w:val="18"/>
          <w:szCs w:val="18"/>
          <w:color w:val="auto"/>
        </w:rPr>
        <w:t>”) as of and for the three months ended March 31, 2026 and 2025 are attached as Exhibit 99.1 to this Report and incorporated herein by reference. Such financial statements of LivePerson were prepared in accordance with U.S. generally accepted accounting principles as issued by the Financial Accounting Standards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and LivePerson as of and for the three months ended March 31, 2026 are attached as Exhibit 99.2 to this Report and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Equity Distribution Agreement, dated May 11, 2026.</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tcPr>
          <w:p>
            <w:pPr>
              <w:spacing w:after="0"/>
              <w:rPr>
                <w:sz w:val="15"/>
                <w:szCs w:val="15"/>
                <w:color w:val="auto"/>
              </w:rPr>
            </w:pPr>
          </w:p>
        </w:tc>
        <w:tc>
          <w:tcPr>
            <w:tcW w:w="38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Second Amended and Restated Bylaws.</w:t>
            </w:r>
          </w:p>
        </w:tc>
        <w:tc>
          <w:tcPr>
            <w:tcW w:w="6300" w:type="dxa"/>
            <w:vAlign w:val="bottom"/>
            <w:tcBorders>
              <w:top w:val="single" w:sz="8" w:color="CCEEFF"/>
            </w:tcBorders>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 of LivePerson, Inc. as of and for the three months ended March 31, 2026 and 2025.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 of SoundHound AI, Inc. and LivePerson, Inc.  as of and for the three</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4"/>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($ 0.0001 par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D.A. Davidson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Third Street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Falls, Montana 59401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H.C. Wainwright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640 5th Ave,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S Lake Ave Penthouse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 91101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Joseph Gunnar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RXR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Uniondale, New York 11556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SoundHound AI,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Cantor Fitzgerald &amp; Co., D.A. Davidson &amp; Co., H.C. Wainwright &amp; Co., LLC, Roth Capital Partners, LLC, Northland Securities, Inc., Ladenburg Thalmann &amp; Co. Inc., Wedbush Securities Inc. and Joseph Gunnar &amp; Co., LLC,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jc w:val="both"/>
        <w:ind w:firstLine="1304"/>
        <w:spacing w:after="0" w:line="254" w:lineRule="auto"/>
        <w:tabs>
          <w:tab w:leader="none" w:pos="14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Shares</w:t>
      </w:r>
      <w:r>
        <w:rPr>
          <w:rFonts w:ascii="Times New Roman" w:cs="Times New Roman" w:eastAsia="Times New Roman" w:hAnsi="Times New Roman"/>
          <w:sz w:val="18"/>
          <w:szCs w:val="18"/>
          <w:color w:val="auto"/>
        </w:rPr>
        <w:t>. The Company proposes to issue and sell through or to the Managers, as sales agents and/or principals, shares of the Company’s Class A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gross sales price of up to $300,000,000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time to time during the term of this Agreement and on the terms set forth in Section 3 of this Agreement. For purposes of selling the Shares through the Managers, the Company hereby appoints the Managers as exclusive agents of the Company for the purpose of soliciting purchases of the Shares from the Company pursuant to this Agreement and the Managers agree to use their commercially reasonable efforts to solicit purchases of the Shares on the terms and subject to the conditions stated herein. The Company agrees that whenever it determines to sell the Shares directly to any Manager as principal, it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in substantially the form of Annex I hereto, relating to such sale in accordance with Section 3 of this Agreement. Certain terms used herein are defined in Section 19 hereof.</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Manager at the Execution Time and on each such time the following representations and warranties are repeated or deemed to be made pursuant to this Agreement, as set forth below.</w:t>
      </w:r>
    </w:p>
    <w:p>
      <w:pPr>
        <w:spacing w:after="0" w:line="162" w:lineRule="exact"/>
        <w:rPr>
          <w:sz w:val="20"/>
          <w:szCs w:val="20"/>
          <w:color w:val="auto"/>
        </w:rPr>
      </w:pPr>
    </w:p>
    <w:p>
      <w:pPr>
        <w:jc w:val="both"/>
        <w:ind w:left="660" w:firstLine="644"/>
        <w:spacing w:after="0" w:line="252" w:lineRule="auto"/>
        <w:tabs>
          <w:tab w:leader="none" w:pos="15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Securities Act and has prepared and filed or will file with the Commission an automatic shelf registration statement, as defined in Rule 405 on Form S-3ASR, including a related Base Prospectus, for registration under the Securities Act of the offering and sale of the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Such Registration Statement, including any amendments thereto and any Rule 462(b) Registration Statement filed prior to the Execution Time or prior to any such time this representation is repeated or deemed to be made, became or will have become effective upon filing. The Company will file with the Commission the Prospectus Supplement relating to the Shares in accordance with Rule 424(b). As filed, the Prospectus will contain all information required by the Securities Act and the rules thereunder, and shall be in all substantive respects in the form furnished to the Managers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all documents subsequently filed by the Company with the Commission pursuant to the Exchange Act that are deemed to be incorporated therein by reference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460" w:firstLine="644"/>
        <w:spacing w:after="0" w:line="25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Registration Statement is not available for the sales of the Shares as contemplated by this Agreement or the Company is not a “well known seasoned issuer” as defined in Rule 405 or otherwise is unable to make the representations set forth in Section 2(e) at any time when such representations are required,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Effective Date, at the Execution Time, at each Applicable Time, at each Settlement Date and at all times during which a prospectus is required by the Securities Act to be delivered (whether physically or through compliance with Rule 172 or any similar rule) in connection with any offer or sale of Shares, the Registration Statement complied and will comply in all material respects with the applicable requirements of the Securities Act and the Exchange Act and the respective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Securities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Securities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 w:name="page8"/>
    <w:bookmarkEnd w:id="7"/>
    <w:p>
      <w:pPr>
        <w:jc w:val="both"/>
        <w:ind w:left="-460" w:firstLine="644"/>
        <w:spacing w:after="0" w:line="261" w:lineRule="auto"/>
        <w:tabs>
          <w:tab w:leader="none" w:pos="4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Execution Time, at each Applicable Time and at each Settlement Date, the Disclosure Package does not and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will be in effect, and no proceedings for such purpose or pursuant to Section 8A of the Securities Act will be pending before or, to the Company’s knowledge, threatened by the Commission.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an “actively-traded security” exempted from the requirements of Rule 101 of Regulation M under the Exchange Act by subsection (c)(1) of such rule.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other sales agency agreements or other similar arrangements with any agent or any other representative in respect of at the market offerings of the Shares in accordance with Rule 415(a)(4) of the Securities Act.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designed to or that might be reasonably expected to cause or result in stabilization or manipulation of the price of any security of the Company to facilitate the sale or resale of the Shares.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broker, finder or other party that is entitled to receive from the Company any brokerage or finder’s fee or other fee or commission as a result of any transactions contemplated by this Agreement, except as may otherwise exist with respect to the Managers pursuant to this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included as an exhibit to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Each of the Company and its subsidiaries owns or leases all such properties as are necessary to the conduct of its operations as presently conducted.</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61" w:lineRule="auto"/>
        <w:tabs>
          <w:tab w:leader="none" w:pos="4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each subsidiary have been duly and validly authorized and issued and are fully paid and nonassessable, and, except as otherwise set forth in the Disclosure Package and the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5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statutes, regulations, contracts or other documents that are required to be described in the Registration Statement or the Prospectus or to be filed as exhibits to the Registration Statement have been so described or filed.</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Disclosure Package and the Prospectus, will not be an “investment company” as defined in the Investment Company Act of 1940, as amended, and the rules and regulations promulgated thereunder.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the blue sky laws of any jurisdiction,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in connection with in connection with the purchase and distribution of the Shares by the Managers in the manner contemplated herein and in the Disclosure Package and the Prospectus.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each of clauses (ii) and (iii) above, for any such violation or default that would not, individually or in the aggregate, have a Material Adverse Effect (as defined below).</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such conflicts, breach, violations, liens, charges and encumbrances as would not, individually or in the aggregate, reasonably be expected to result in a Material Adverse Effect or that have been waived.</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ind w:left="-460" w:right="20" w:firstLine="644"/>
        <w:spacing w:after="0" w:line="282"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no holders of securities of the Company have rights to the registration of such securities under the Registration Statement.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and its consolidated subsidiaries included or incorporated by reference in the Prospectus and the Registration Statement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in the United States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applied on a consistent basis throughout the periods involved (except as otherwise noted therein). The consolidated historical financial statements and schedules of LivePerson, Inc.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included or incorporated by reference in the Prospectus and the Registration Statement present fairly the financial condition, results of operations and cash flows of LivePerson as of the dates and for the periods indicated, comply as to form with the applicable accounting requirements of the Securities Act and have been prepared in conformity with U.S. GAAP applied on a consistent basis throughout the periods involved (except as otherwise noted therein). The pro forma financial statements included or incorporated by reference in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or incorporated by reference in the Prospectus and the Registration Statement. The pro forma financial statements included or incorporated by reference in the Prospectus and the Registration Statement comply as to form in all material respects with the applicable requirements of Regulation S-X under the Securities Act and the pro forma adjustments have been properly applied to the historical amounts in the compilation of those statements.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and its subsidiaries, taken as a whole, whether or not arising from transactions in the ordinary course of business (each of (i) and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except as set forth in or contemplated in the Disclosure Package and the Prospectus (exclusive of any supplement thereto).</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460" w:firstLine="644"/>
        <w:spacing w:after="0" w:line="261" w:lineRule="auto"/>
        <w:tabs>
          <w:tab w:leader="none" w:pos="4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has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BDO USA, P.C., who has certified certain financial statements of LivePerson and delivered its report with respect to the audited consolidated financial statements and schedules included in the Disclosure Package and the Prospectus, was, as of May 11, 2026 and during the period covered by the financial statements on which it reported, an independent public accountant with respect to LivePerson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supplement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have a Material Adverse Effect, except as set forth in or contemplated in the Disclosure Package and the Prospectus (exclusive of any supplement thereto).</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Prospectus (exclusive of any supplement thereto).</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60" w:firstLine="644"/>
        <w:spacing w:after="0" w:line="261" w:lineRule="auto"/>
        <w:tabs>
          <w:tab w:leader="none" w:pos="5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certificates, permits and other authorizations issued by all applicable authorities necessary to conduct their respective businesses except for any failure to obtain such licenses, certificates, permits or authorizations would not, individually or in the aggregate, reasonably be expected to result in a Material Adverse Effect or that have been waived,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Prospectus (exclusive of any supplement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is in compliance with the Commission’s published rules, regulations and guidelines applicable thereto. Except as disclosed in the Incorporated Documents, the Company and its subsidiaries’ internal controls over financial reporting are effective and the Company and its subsidiaries are not aware of any material weakness in their internal controls over financial reporting.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“disclosure controls and procedures” (as such term is defined in Rule 13a-15(e) under the Exchange Act) that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Company’s certifying officers have evaluated the effectiveness of the Company’s disclosure controls and procedures as required by Rule 13a-15 of the Exchange Act and, except as described in the Incorporated Documents, such disclosure controls and procedures were effective as of the end of the Company’s most recently completed fiscal quarter.</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460" w:firstLine="64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in the case of any of clauses (i), (ii) or (iii) above,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supplement thereto). Except as set forth in the Disclosure Package and the Prospectus, to the knowledge of the Company, neither the Company nor any of the subsidiaries has been named as a “potentially responsible party” under the Comprehensive Environmental Response, Compensation, and Liability Act of 1980, as amended.</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could have a Material Adverse Effect; (iii) any breach of any contractual obligation, or any violation of law or applicable qualification standards, with respect to the employment or compensation of employees by the Company or any of its subsidiaries that could have a Material Adverse Effect. To the Company’s knowledge,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could have a Material Adverse Effect; or (iv) the filing of a claim by one or more employees or former employees of the Company or any of its subsidiaries related to their employment that could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66" w:lineRule="auto"/>
        <w:tabs>
          <w:tab w:leader="none" w:pos="5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relating to loans and Sections 302 and 906 relating to certifications.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as amended, or similar law of any other relevant jurisdiction, or the rules or regulations thereunder; and the Company and its subsidiaries have instituted and maintain policies and procedures to ensure compliance therewith. No part of the proceeds of the offering will be used, directly or indirectly, in violation of the Foreign Corrupt Practices Act of 1977, as amended, or similar law of any other relevant jurisdiction, or the rules or regulations thereunder.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the United Kingdom government (including the Foreign, Commonwealth &amp; Development Office) ,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66" w:lineRule="auto"/>
        <w:tabs>
          <w:tab w:leader="none" w:pos="4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the subsidiaries listed on Annex II attached hereto are the only significant subsidiaries of the Company as defined by Rule 1-02 of Regulation S-X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5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Disclosure Package and the Prospectus, (i) the Company and its subsidiaries own or have a valid license to all patents, inventions, copyrights, know how (including trade secrets and other unpatented and/or unpatentable proprietary or confidential information, systems or procedures), trademarks, service marks, trade names, domain names and other intellectual property, including any and all registrations, applications for registration, and goodwill associated with any of the foregoing (collectively,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currently employed by them in connection with the business as now operated, or as proposed in the Registration Statement and the Prospectus to be operated, by them, except where the failure to own, possess, license, have the right to use any of the foregoing would not reasonably be expected to result in a Material Adverse Effect;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individually or in the aggregate, if the subject of an unfavorable decision, ruling or finding, would have a Material Adverse Effect; (iv) all Intellectual Property Rights owned or purported to be owned by the Company or its subsidiaries is owned solely by the Company or its subsidiaries and is owned free and clear of all liens, encumbrances, defects and other restrictions, other than as disclosed in the Prospectus; (v) to the Company’s knowledge, no third party is infringing, misappropriating or otherwise violating, or has infringed, misappropriated or otherwise violated, any Intellectual Property Rights owned by the Company, except to the extent that the infringement, misappropriation or violation, would not, individually or in the aggregate, have a Material Adverse Effect; (vi) to the Company’s knowledge, neither the Company nor any of its subsidiaries infringes, misappropriates or otherwise violates, or has infringed, misappropriated or otherwise violated, any Intellectual Property Rights of a third party;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(viii) the Company and its subsidiaries use, and have used, commercially reasonable efforts to appropriately maintain all information intended to be maintained as a material trade secret, except, in the case of any of clauses (ii)-(viii) above, as would not, individually or in the aggregate, result in a Material Adverse Effect.</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60" w:firstLine="644"/>
        <w:spacing w:after="0" w:line="254" w:lineRule="auto"/>
        <w:tabs>
          <w:tab w:leader="none" w:pos="5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(i) the Company and each of its subsidiaries have complied and are presently in compliance 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(ii) the Company has not received any notification of or complaint regarding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information technology assets and equipment, computers, systems, networks, hardware, software, websites, applications, and databases (collectively,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reasonable technical and organizational measures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To the Company’s knowledge, there has been no such material Breach, and the Company and its subsidiaries have not been notified of and have no knowledge of any event or condition that would reasonably be expected to result in, any such material Breach.</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Disclosure Package and the Prospectus, the Company (i) does not have any material lending or other relationship with any bank or lending affiliate of any Manager and (ii) does not intend to use any of the proceeds from the sale of the Shares hereunder to repay any outstanding debt owed to any affiliate of any Manager.</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660" w:firstLine="644"/>
        <w:spacing w:after="0" w:line="253" w:lineRule="auto"/>
        <w:tabs>
          <w:tab w:leader="none" w:pos="160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shares of capital stock of the Company are as set forth in the Registration Statement and the Prospectus (other than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The issued and outstanding shares of capital stock have been duly authorized and validly issued, are fully paid and nonassessable and have been issued in compliance with all federal and state securities laws. None of the outstanding shares of capital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or contemplated by the Registration Statement and the Prospectus. The descriptions of the Company’s stock option, stock bonus and other stock plans or arrangements, and the options or other rights granted thereunder, set forth in the Registration Statement and the Prospectus accurately and fairly in all material respects present the information required to be shown with respect to such plans, arrangements, options and rights.</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for issuance and sale through the Agents pursuant to this Agreement and, when issued and delivered by the Company pursuant to the terms of this Agreement, will be validly issued and fully paid and non-assessable; and the issuance of the Shares is not subject to the preemptive or other similar rights of any securityholder of the Company, except as have been duly and validly waived.</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Shares in reliance on the exemption in Rule 163, and (iv) at the Execution Time and on each such time this representation is repeated or deemed to be made (with such date being used as the determination date for purposes of this clause (iv)), the Company was or is (as the case may be) a “well-known seasoned issuer” as defined in Rule 405. The Company agrees to pay the fees required by the Commission relating to the Shares within the time required by Rule 456(b)(1) without regard to the proviso therein and otherwise in accordance with Rules 456(b) and 457(r).Any certificate signed by any officer of the Company and delivered to the Managers or counsel for the Managers in connection with this Agreement or any Terms Agreement shall be deemed a representation and warranty by the Company, as to matters covered thereby, to each Manager.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360" w:hanging="176"/>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8" w:lineRule="auto"/>
        <w:tabs>
          <w:tab w:leader="none" w:pos="4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issue and sell Shares from time to time through or to the Managers, acting as sales agents, and each Manager agrees to use its commercially reasonable efforts to sell, as sales agent for the Company, the Shares on the terms set forth below. Notwithstanding anything to the contrary in this Agreement, any Manager may decline, for any reason in its sole discretion, to act as sales agent for the Company hereunder with respect to one or more sets of Company instructions for the sale of the Shares.</w:t>
      </w:r>
    </w:p>
    <w:p>
      <w:pPr>
        <w:spacing w:after="0" w:line="183" w:lineRule="exact"/>
        <w:rPr>
          <w:rFonts w:ascii="Times New Roman" w:cs="Times New Roman" w:eastAsia="Times New Roman" w:hAnsi="Times New Roman"/>
          <w:sz w:val="18"/>
          <w:szCs w:val="18"/>
          <w:color w:val="auto"/>
        </w:rPr>
      </w:pPr>
    </w:p>
    <w:p>
      <w:pPr>
        <w:jc w:val="both"/>
        <w:ind w:left="180" w:firstLine="814"/>
        <w:spacing w:after="0" w:line="253" w:lineRule="auto"/>
        <w:tabs>
          <w:tab w:leader="none" w:pos="121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by one of the Managers on a daily basis or otherwise as shall be agreed to by the Company and the Managers on any day that (A) is a trading day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for Nasdaq, (B) the Company has instructed such Manager by telephone or by electronic mail to make such sales and (C) the Company has satisfied its obligations under Section 6 of this Agreement. On a Trading Day that the Company wishes to sell the Shares, the Company may sell the Shares through only one Manager and, if it determines to do so in its discretion, the Company will designate the maximum amount of the Shares to be sold by such Manager daily as agreed to by such Manager (in any event not in excess of the amount available for issuance under the Prospectus and the currently effective Registration Statement) and the minimum price per Share at which such Shares may be sold. Subject to the terms and conditions hereof, such Manager shall use its commercially reasonable efforts to sell on a particular day all of the Shares designated for the sale by the Company on such day. The Manager through whom sales of the Shares as sales agent are then being made through this Section 3(a) is referred to as the “</w:t>
      </w:r>
      <w:r>
        <w:rPr>
          <w:rFonts w:ascii="Times New Roman" w:cs="Times New Roman" w:eastAsia="Times New Roman" w:hAnsi="Times New Roman"/>
          <w:sz w:val="18"/>
          <w:szCs w:val="18"/>
          <w:u w:val="single" w:color="auto"/>
          <w:color w:val="auto"/>
        </w:rPr>
        <w:t>Selling Manager</w:t>
      </w:r>
      <w:r>
        <w:rPr>
          <w:rFonts w:ascii="Times New Roman" w:cs="Times New Roman" w:eastAsia="Times New Roman" w:hAnsi="Times New Roman"/>
          <w:sz w:val="18"/>
          <w:szCs w:val="18"/>
          <w:color w:val="auto"/>
        </w:rPr>
        <w:t>.” The gross sales price of the Shares sold under this Section 3(a) shall be the market price for shares of the Company’s Common Stock sold by the Selling Manager under this Section 3(a) on the Nasdaq at the time of sale of such Shares.</w:t>
      </w:r>
    </w:p>
    <w:p>
      <w:pPr>
        <w:spacing w:after="0" w:line="191" w:lineRule="exact"/>
        <w:rPr>
          <w:rFonts w:ascii="Times New Roman" w:cs="Times New Roman" w:eastAsia="Times New Roman" w:hAnsi="Times New Roman"/>
          <w:sz w:val="18"/>
          <w:szCs w:val="18"/>
          <w:color w:val="auto"/>
        </w:rPr>
      </w:pPr>
    </w:p>
    <w:p>
      <w:pPr>
        <w:jc w:val="both"/>
        <w:ind w:left="180" w:firstLine="895"/>
        <w:spacing w:after="0" w:line="256" w:lineRule="auto"/>
        <w:tabs>
          <w:tab w:leader="none" w:pos="133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any Manager will be successful in selling the Shares, (B) no Manager will incur liability or obligation to the Company or any other person or entity if it does not sell Shares for any reason other than a failure by such Manager to use its commercially reasonable efforts consistent with its normal trading and sales practices and applicable law and regulations to sell such Shares as required under this Agreement and (C) no Manager shall be under any obligation to purchase Shares on a principal basis pursuant to this Agreement, except as otherwise specifically agreed by such Manager and the Company pursuant to a Terms Agreement.</w:t>
      </w:r>
    </w:p>
    <w:p>
      <w:pPr>
        <w:spacing w:after="0" w:line="187" w:lineRule="exact"/>
        <w:rPr>
          <w:rFonts w:ascii="Times New Roman" w:cs="Times New Roman" w:eastAsia="Times New Roman" w:hAnsi="Times New Roman"/>
          <w:sz w:val="18"/>
          <w:szCs w:val="18"/>
          <w:color w:val="auto"/>
        </w:rPr>
      </w:pPr>
    </w:p>
    <w:p>
      <w:pPr>
        <w:jc w:val="both"/>
        <w:ind w:left="180" w:firstLine="976"/>
        <w:spacing w:after="0" w:line="254" w:lineRule="auto"/>
        <w:tabs>
          <w:tab w:leader="none" w:pos="1477"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authorize the issuance and sale of, and no Manager shall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or a duly authorized committee thereof, and notified to the Managers in writing. The Company or any Manager may, upon notice to the other party hereto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The Managers shall have no responsibility for maintaining records with respect to the Shares available for offer or sale under the Registration Statement or for determining the aggregate gross proceeds, number or minimum price of Shares duly authorized by the Company.</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180" w:firstLine="976"/>
        <w:spacing w:after="0" w:line="256" w:lineRule="auto"/>
        <w:tabs>
          <w:tab w:leader="none" w:pos="14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may sell shares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No Manager shall purchase Shares for its own account as principal unless expressly authorized to do so by the Company pursuant to a Terms Agreement.</w:t>
      </w:r>
    </w:p>
    <w:p>
      <w:pPr>
        <w:spacing w:after="0" w:line="187" w:lineRule="exact"/>
        <w:rPr>
          <w:rFonts w:ascii="Times New Roman" w:cs="Times New Roman" w:eastAsia="Times New Roman" w:hAnsi="Times New Roman"/>
          <w:sz w:val="18"/>
          <w:szCs w:val="18"/>
          <w:color w:val="auto"/>
        </w:rPr>
      </w:pPr>
    </w:p>
    <w:p>
      <w:pPr>
        <w:jc w:val="both"/>
        <w:ind w:left="180" w:firstLine="895"/>
        <w:spacing w:after="0" w:line="255" w:lineRule="auto"/>
        <w:tabs>
          <w:tab w:leader="none" w:pos="1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Selling Manager, as agent of the Company, for sales of the Shares hereunder shall be up to 2.5% of the gross sales price of the Shares sold pursuant by such Manager to this Section 3(a) and payable as described in the succeeding subsection (vi) below. The foregoing rate of compensation shall not apply when any Manager acts as principal, in which case the Company may sell Shares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shall constitute the net proceeds to the Company for such Shares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80" w:firstLine="976"/>
        <w:spacing w:after="0" w:line="256" w:lineRule="auto"/>
        <w:tabs>
          <w:tab w:leader="none" w:pos="14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Manager shall provide written confirmation (which may be by facsimile or electronic mail) to the Company following the close of trading on the Nasdaq each day in which the Shares are sold under this Section 3(a) setting forth the number of the Shares sold on such day, the aggregate gross sales proceeds and the Net Proceeds to the Company, and the compensation payable by the Company to such Manager with respect to such sales. Such compensation shall be set forth and invoiced in periodic statements from the applicable Selling Manager to the Company, with payment to be made by the Company promptly after its receipt thereof.</w:t>
      </w:r>
    </w:p>
    <w:p>
      <w:pPr>
        <w:spacing w:after="0" w:line="187" w:lineRule="exact"/>
        <w:rPr>
          <w:rFonts w:ascii="Times New Roman" w:cs="Times New Roman" w:eastAsia="Times New Roman" w:hAnsi="Times New Roman"/>
          <w:sz w:val="18"/>
          <w:szCs w:val="18"/>
          <w:color w:val="auto"/>
        </w:rPr>
      </w:pPr>
    </w:p>
    <w:p>
      <w:pPr>
        <w:jc w:val="both"/>
        <w:ind w:left="180" w:firstLine="1057"/>
        <w:spacing w:after="0" w:line="253" w:lineRule="auto"/>
        <w:tabs>
          <w:tab w:leader="none" w:pos="16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the Shares pursuant to this Section 3(a) will occur, unless the parties agree otherwise, on the first business day that is also a Trading Day following the date on which any sales were made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a Manager for settlement on such date shall be issued and delivered by the Company to such Manager against payment of the aggregate gross sales proceeds less any Transaction Fees for the sale of such Shares. Settlement for all such Shares shall be effected by free delivery of the Shares to such Manager’s account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breaches this Agreement by failing to deliver the aggregate gross sales proceeds less any Transaction Fees to the Company on any Settlement Date for the Shares delivered by the Company, such Manager will pay the Company interest based on the effective overnight federal funds rate on such unpaid amount less any compensation due to such Manager.</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180" w:firstLine="1057"/>
        <w:spacing w:after="0" w:line="256" w:lineRule="auto"/>
        <w:tabs>
          <w:tab w:leader="none" w:pos="16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and Representation Date (as defined in Section 4(j)),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any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wishes to issue and sell the Shares pursuant to this Agreement but other than as set forth in Section 3(a) of this Agreement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of the Shares to any Manager shall be made in accordance with the terms of this Agreement and, if applicable, a Terms Agreement, which will provide for the sale of such Shares to, and the purchase thereof by, such Manager. A Terms Agreement may also specify certain provisions relating to the reoffering of such Shares by such Manager. The commitment of the applicable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applicable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applicable Manager.</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60" w:firstLine="644"/>
        <w:spacing w:after="0" w:line="256" w:lineRule="auto"/>
        <w:tabs>
          <w:tab w:leader="none" w:pos="4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(iii) the number and aggregate amount of the Shares authorized from time to time to be issued and sold under this Agreement by the Board, or a duly authorized committee thereof, and notified to the Managers in writing or (iv) the number of authorized but unissued shares of Common Stock (less shares of Common Stock issuable upon exercise, conversion or exchange of any outstanding securities of the Company or otherwise reserved from the Company’s authorized capital stock).</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Exchange Act are not satisfied with respect to the Shares, it shall promptly notify the other party and sales of the Shares under this Agreement and any Terms Agreement shall be suspended until that or other exemptive provisions have been satisfied in the judgment of each party.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request the sale of any Shares that would be sold, and no Manager shall be obligated to sell, during any period in which the Company is, or could be deemed to be, in possession of material non-public information.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Managers that:</w:t>
      </w:r>
    </w:p>
    <w:p>
      <w:pPr>
        <w:spacing w:after="0" w:line="225" w:lineRule="exact"/>
        <w:rPr>
          <w:sz w:val="20"/>
          <w:szCs w:val="20"/>
          <w:color w:val="auto"/>
        </w:rPr>
      </w:pPr>
    </w:p>
    <w:p>
      <w:pPr>
        <w:jc w:val="both"/>
        <w:ind w:left="-460" w:firstLine="644"/>
        <w:spacing w:after="0" w:line="251" w:lineRule="auto"/>
        <w:tabs>
          <w:tab w:leader="none" w:pos="4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Company has delivered an effective instruction to sell Shares pursuant to Section 3(a)(i) of this Agreement or when the delivery of a prospectus relating to the Shares is required (including in circumstances where such requirement may be satisfied pursuant to Rule 172) to be delivered under the Securities Act, the Company will not file any amendment of the Registration Statement or supplement (including the Prospectus Supplement or any Interim Prospectus Supplement) to the Base Prospectus or any Rule 462(b) Registration Statement unless the Company has furnished to the Managers a copy for its review prior to filing and will not file any such proposed amendment or supplement to which any Manager reasonably objects.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reasonably satisfactory to the Managers of such timely filing. The Company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Securities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or any Rule 462(b)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460" w:firstLine="644"/>
        <w:spacing w:after="0" w:line="256"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on or after an Applicable Time but prior to the related Settlement Date or Time of Delivery,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Managers so that any use of the Disclosure Package may cease until it is amended or supplemented; (ii) amend or supplement the Disclosure Package to correct such statement or omission; and (iii) supply any amendment or supplement to the Managers in such quantities as the Managers may reasonably request.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to be delivered under the Securities Act, any event occurs as a result of which the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Prospectus to comply with the Securities Act or the Exchange Act or the respective rules thereunder, including in connection with use or delivery of the Prospectus, the Company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Managers an earnings statement or statements of the Company and its subsidiaries which will satisfy the provisions of Section 11(a) of the Securities Act and Rule 158. For the avoidance of doubt, the Company’s compliance with the reporting requirements of the Exchange Act shall be deemed to satisfy the requirements of this Section 4(d).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each Manager and counsel for the Managers, without charge, signed copies of the Registration Statement (including exhibits thereto) and, so long as delivery of a prospectus by the Managers or dealer may be required by the Securities Act (including in circumstances where such requirement may be satisfied pursuant to Rule 172), as many copies of the Prospectus and any supplement thereto as such Manager may reasonably request. The Company will pay the expenses of printing or other production of all documents relating to the offering.</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460" w:firstLine="644"/>
        <w:spacing w:after="0" w:line="258" w:lineRule="auto"/>
        <w:tabs>
          <w:tab w:leader="none" w:pos="4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without (i) giving the Managers at least five Business Days’ prior written notice specifying the nature of the proposed transaction and the date of such proposed transaction and (ii) the Managers suspending acting under this Agreement for such period of time requested by the Company or as deemed appropriate by the Managers in light of the proposed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issue and sell Common Stock pursuant to this Agreement or any Terms Agreement, any employee stock incentive plan or employee stock purchase plan of the Company in effect at the Execution Time and the Company may issue Common Stock issuable upon the conversion of securities or the exercise of warrants outstanding at the Execution Time.</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spacing w:after="0" w:line="179"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any time during the term of this Agreement, as 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4" w:firstLine="644"/>
        <w:spacing w:after="0" w:line="255" w:lineRule="auto"/>
        <w:tabs>
          <w:tab w:leader="none" w:pos="8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the Shares under this Agreement (and upon the recommencement of the offering of the Shares under this Agreement following the termination of a suspension of sales hereunder), and, within five (5) Trading Days after each time that (i) the Registration Statement or the Prospectus shall be amended or supplemented (other than by means of a prospectus supplement relating solely to the offering of securities other than the Shares), (ii) there is filed with the Commission any document incorporated by reference into the Prospectus,</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files an Annual Report on Form 10-K under the Exchange Act, (iv) the Company files a Quarterly Report on Form 10-Q under the Exchange Act, (v)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only if any Agent reasonably determines that the information contained in such Form 8-K is material, or (vi) the Shares are delivered to any Manager as principal at the Time of Delivery pursuant to a Terms Agreement or (vii) otherwise as the Managers may reasonably request (such commencement or recommencement date and each such date referred to in (i), (ii), (iii), (iv), (v), (vi) and (vii)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shall furnish or cause to be furnished to the Managers forthwith a certificate, in the form attached hereto as Exhibit 4(j), dated and delivered on such Representation Date. The requirement to provide a certificate under this Section 4(j) shall be waived for any Representation Date occurring at a time when no instruction to a Manager to sell Shares pursuant to this Agreement has been delivered by the Company or is pending, which waiver shall continue until the earlier to occur of the date the Company delivers instructions to sell Shares pursuant to Section 3(a)(i) hereunder and the next occurring Representation Date on which the Company files its annual report on Form 10-K. Notwithstanding the foregoing, if the Company subsequently decides to sell Shares following a Representation Date when the Company relied on such waiver and did not provide the Managers with a certificate under this Section 4(j), then before the Company delivers the instructions for the sale of Shares or the Selling Manager sells any Shares pursuant to such instructions, the Company shall provide the Managers with a certificate in conformity with this Section 4(j) dated as of the date that the instructions for the sale of Shares are issued and any other deliverables that would otherwise have been required at such Representation Date.</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furnish or cause to be furnished forthwith to the Managers, the written opinion and negative assurance letter of Ellenoff Grossman &amp; Schole LLP,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the Managers,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the Company shall be required to furnish to the Managers no more than one opinion hereunder per calendar quarter;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that in lieu of such opinions for subsequent periodic filings under the Exchange Act, counsel may furnish the Managers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to the effect that each Manager may rely on a prior opinion delivered under this Section 4(k)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jc w:val="both"/>
        <w:ind w:left="4" w:firstLine="644"/>
        <w:spacing w:after="0" w:line="261" w:lineRule="auto"/>
        <w:tabs>
          <w:tab w:leader="none" w:pos="8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Davis Polk &amp; Wardwell LLP, counsel to the Managers, shall deliver its written opinion and negative assurance letter, in form and substance satisfactory to the Managers.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cause PricewaterhouseCoopers LLP, or other independent accountants satisfactory to the Managers forthwith, to furnish the Managers a letter, in form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w:t>
      </w:r>
    </w:p>
    <w:p>
      <w:pPr>
        <w:spacing w:after="0" w:line="191"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cause BDO USA, P.C., or other independent accountants satisfactory to the Managers forthwith, to furnish the Managers a letter, in form and substance satisfactory to the Managers, (i) confirming that they were, as of May 11, 2026 and during the period covered by the financial statements on which they reported, independent public accountants with respect to LivePerson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had it been given on such date and modified as necessary to relate to the Registration Statement and the Prospectus, as amended and supplemented to the date of such letter. Notwithstanding the foregoing, such letter shall not be required to be delivered after such time that the financial statements of LivePerson are no longer incorporated by reference into the Registration Statement.</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460" w:firstLine="644"/>
        <w:spacing w:after="0" w:line="266" w:lineRule="auto"/>
        <w:tabs>
          <w:tab w:leader="none" w:pos="4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deliver a certificate executed by the Chief Financial Officer of the Company (the “</w:t>
      </w:r>
      <w:r>
        <w:rPr>
          <w:rFonts w:ascii="Times New Roman" w:cs="Times New Roman" w:eastAsia="Times New Roman" w:hAnsi="Times New Roman"/>
          <w:sz w:val="18"/>
          <w:szCs w:val="18"/>
          <w:u w:val="single" w:color="auto"/>
          <w:color w:val="auto"/>
        </w:rPr>
        <w:t>CFO Certificate</w:t>
      </w:r>
      <w:r>
        <w:rPr>
          <w:rFonts w:ascii="Times New Roman" w:cs="Times New Roman" w:eastAsia="Times New Roman" w:hAnsi="Times New Roman"/>
          <w:sz w:val="18"/>
          <w:szCs w:val="18"/>
          <w:color w:val="auto"/>
        </w:rPr>
        <w:t>”), dated as of such date, in in form and substance reasonably satisfactory to the Manager.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will 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its agents from time to time in connection with the transactions contemplated by this Agreement, including, without limitation, providing information and available documents and access to appropriate corporate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191" w:lineRule="exact"/>
        <w:rPr>
          <w:rFonts w:ascii="Times New Roman" w:cs="Times New Roman" w:eastAsia="Times New Roman" w:hAnsi="Times New Roman"/>
          <w:sz w:val="18"/>
          <w:szCs w:val="18"/>
          <w:color w:val="auto"/>
        </w:rPr>
      </w:pPr>
    </w:p>
    <w:p>
      <w:pPr>
        <w:ind w:left="-460" w:firstLine="644"/>
        <w:spacing w:after="0" w:line="282" w:lineRule="auto"/>
        <w:tabs>
          <w:tab w:leader="none" w:pos="4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the Managers trading in the Common Stock for each of the Managers’ own accounts and for the accounts of its clients at the same time as sales of the Shares occur pursuant to this Agreement or pursuant to a Terms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quarter. Additionally, on such dates as the Securities Act shall require, the Company will (i) file a prospectus supplement with the Commission under the applicable paragraph of Rule 424(b) under the Securities Act, which prospectus supplement will set forth, within the relevant period, the amount of Shares sold through the Managers pursuant to this Agreement, the Net Proceeds to the Company and the compensation payable by the Company to the Managers with respect to such Shares, and (ii) deliver such number of copies of each such prospectus supplement to Nasdaq as may be required by the rules or regulations of Nasdaq.</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knowledge of the Company, the conditions set forth in Section 6(a)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jc w:val="both"/>
        <w:ind w:left="-460" w:firstLine="644"/>
        <w:spacing w:after="0" w:line="255" w:lineRule="auto"/>
        <w:tabs>
          <w:tab w:leader="none" w:pos="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acceptance by the Company of an offer to purchase the Shares hereunder, and each execution and delivery by the Company of a Terms Agreement, shall be deemed to be an affirmation to the Managers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Nasdaq and to maintain such listing.</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to be delivered under the Securities Act, the Company will file all documents required to be filed with the Commission pursuant to the Exchange Act within the time periods required by the Exchange Act and the regulations thereunder.</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Managers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in the manner set forth in the Prospectus.</w:t>
      </w:r>
    </w:p>
    <w:p>
      <w:pPr>
        <w:spacing w:after="0" w:line="225" w:lineRule="exact"/>
        <w:rPr>
          <w:sz w:val="20"/>
          <w:szCs w:val="20"/>
          <w:color w:val="auto"/>
        </w:rPr>
      </w:pPr>
    </w:p>
    <w:p>
      <w:pPr>
        <w:ind w:left="360" w:hanging="176"/>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2" w:lineRule="auto"/>
        <w:tabs>
          <w:tab w:leader="none" w:pos="4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amendment or supplement to any of them; (ii) the printing (or reproduction) and delivery (including postage, air freight charges and charges for counting and packaging) of such copies of the Registration Statement, the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Managers relating to such registration and qualification, subject to the cap set forth in clause (x) below); (vii) any filings required to be made with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(including filing fees and the reasonable fees and expenses of counsel for the Managers relating to such filings, subject to the cap set forth in clause (x) below); (viii) the transportation and other expenses incurred by or on behalf of Company representatives in connection with presentations to prospective purchasers of the Shares; (ix) the fees and expenses of the Company’s accountants and the fees and expenses of counsel (including local and special counsel) for the Company; (x) the reasonable documented out-of-pocket expenses of the Managers, including the reasonable fees, disbursements and expenses of counsel for the Managers in connection with this Agreement and the Registration Statement in an amount not to exceed $75,000 in the aggregate; and (xi) all other costs and expenses incident to the performance by the Company of its obligations hereunder.</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jc w:val="both"/>
        <w:ind w:firstLine="1304"/>
        <w:spacing w:after="0" w:line="261"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Managers</w:t>
      </w:r>
      <w:r>
        <w:rPr>
          <w:rFonts w:ascii="Times New Roman" w:cs="Times New Roman" w:eastAsia="Times New Roman" w:hAnsi="Times New Roman"/>
          <w:sz w:val="18"/>
          <w:szCs w:val="18"/>
          <w:color w:val="auto"/>
        </w:rPr>
        <w:t>. The obligations of each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spacing w:after="0" w:line="180" w:lineRule="exact"/>
        <w:rPr>
          <w:sz w:val="20"/>
          <w:szCs w:val="20"/>
          <w:color w:val="auto"/>
        </w:rPr>
      </w:pPr>
    </w:p>
    <w:p>
      <w:pPr>
        <w:jc w:val="both"/>
        <w:ind w:left="660" w:firstLine="644"/>
        <w:spacing w:after="0" w:line="258" w:lineRule="auto"/>
        <w:tabs>
          <w:tab w:leader="none" w:pos="15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4(s) of this Agreement; and no stop order suspending the effectiveness of the Registration Statement or any notice objecting to its use shall have been issued and no proceedings for that purpose shall have been instituted or threatened.</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written opinion and negative assurance letter of Company Counsel required pursuant to Section 4(k) on or before the date on which such opinion and negative assurance letters are required pursuant to Section 4(k).</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In rendering such opinion, such counsel may rely (A) as to matters involving the application of laws of any jurisdiction other than the State of Delaware or the Federal laws of the United States, to the extent they deem proper and specified in such opinion, upon the opinion of other counsel of good standing whom they believe to be reliable and who are satisfactory to counsel for the Managers and (B) as to matters of fact, to the extent they deem proper, on certificates of responsible officers of the Company and public officials. References to the Prospectus in this paragraph (b) shall also include any supplements thereto at the Settlement Date.</w:t>
      </w:r>
    </w:p>
    <w:p>
      <w:pPr>
        <w:spacing w:after="0" w:line="183" w:lineRule="exact"/>
        <w:rPr>
          <w:sz w:val="20"/>
          <w:szCs w:val="20"/>
          <w:color w:val="auto"/>
        </w:rPr>
      </w:pPr>
    </w:p>
    <w:p>
      <w:pPr>
        <w:jc w:val="both"/>
        <w:ind w:left="660" w:firstLine="644"/>
        <w:spacing w:after="0" w:line="261" w:lineRule="auto"/>
        <w:tabs>
          <w:tab w:leader="none" w:pos="15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from Davis Polk &amp; Wardwell LLP, counsel for the Managers, its written opinion and negative assurance letter required pursuant to Section 4(l) on or before the date on which such opinion and negative assurance letters are required pursuant to Section 4(l), and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from the Company the certificate required pursuant to Section 4(j) on or before the date on which such certificate is required pursuant to Section 4(j).</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PricewaterhouseCoopers LLC required to be delivered pursuant to Section 4(m) on or before the date on which such delivery of such comfort letters are required pursuant to Section 4(m).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520" w:hanging="21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BDO USA, P.C. required to be delivered pursuant to Section 4(o) on or before the date on which such delivery of such comfort letters are required pursuant to Section 4(o).</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CFO Certificate required to be delivered pursuant to Section 4(p) on or before the date on which such delivery of such CFO Certificate on or before the date on which such delivery of such comfort letters are required pursuant to Section 4(p).</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and reasonableness of the terms and arrangements under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listed and admitted and authorized for trading on Nasdaq, and satisfactory evidence of such actions shall have been provided to the Managers.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Settlement Date and Time of Delivery, as applicable, the Company shall have furnished to the Managers such further information, certificates and documents as the Managers may reasonably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the required Commission filing fees relating to the Shares within the time period required by Rule 456(b)(1)(i) of the Securities Act without regard to the proviso therein and otherwise in accordance with Rules 456(b) and 457(r) of the Securities Act and, if applicable, shall have updated the “Calculation of Registration Fee” table in accordance with Rules 456(b)(1)(ii) and 424(g) of the Securities Act.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Company in writing or by telephone or facsimile confirmed in writing.</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Davis Polk &amp; Wardwell LLP, counsel for the Managers, at 900 Middlefield Road, Suite 200, Redwood City, California 94063, on each such date as provided in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360" w:hanging="176"/>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2" w:lineRule="auto"/>
        <w:tabs>
          <w:tab w:leader="none" w:pos="4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Manager, the directors, officers, employees, affiliates and agents of each Manager and each person who controls such Manager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Prospectus Supplement, any Interim Prospectus Supplement shall have been filed in the manner required by Rule 424(b) within the time period required by Section 4(s) of this Agreement, the Prospectus or in any amendment thereof or supplement thereto or arise out of or are based upon the omission or alleged omission to state therein a material fact required to be stated therein or necessary in order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Manager specifically for inclusion therein. This indemnity agreement will be in addition to any liability that the Company may otherwise have. The Company hereby acknowledges that the only information that the Managers have furnished to the Company expressly for use in the Prospectus Supplement, the Prospectus or any Interim Prospectus Supplement (or any amendment or supplement thereto) are the statements set forth in the last sentence of the second paragraph, the second sentence of the third paragraph and the first sentence of the fourth paragraph under the caption “Plan of Distribution” in the Prospectus (the “Manager Information”).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severally but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Manager, but only with reference to written information relating to each Manager furnished to the Company by each Manager specifically for inclusion in the documents referred to in the foregoing indemnity. This indemnity agreement will be in addition to any liability which the Managers may otherwise have.</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both"/>
        <w:ind w:left="-460" w:firstLine="644"/>
        <w:spacing w:after="0" w:line="251" w:lineRule="auto"/>
        <w:tabs>
          <w:tab w:leader="none" w:pos="4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7 is unavailable to or insufficient to hold harmless an indemnified party for any reason, the Company and the Managers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each Manager may be subject in such proportion as is appropriate to reflect the relative benefits received by the Company on the one hand and the relevant Manager on the other from the offering of the Shares. If the allocation provided by the immediately preceding sentence is unavailable for any reason, the Company and such Manager severally shall contribute in such proportion as is appropriate to reflect not only such relative benefits but also the relative fault of the Company on the one hand and of such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relevant Manager shall be deemed to be equal to the total underwriting discounts and commissions,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on the one hand or by the relevant Manager on the other, the intent of the parties and their relative knowledge, access to information and opportunity to correct or prevent such untrue statement or omission. The Company and each Manager agrees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Manager be required to contribute any amount in excess of the amount by which the underwriting discount or commission, as the case may be, applicable to the Shares purchased by such Manager hereunder exceeds the amount of any damages that any Manager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7, each person who controls any Manager within the meaning of either the Securities Act or the Exchange Act and each director, officer, employee, affiliate and agent of any Manager shall have the same rights to contribution as each Manager,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ind w:left="360" w:hanging="176"/>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6" w:lineRule="auto"/>
        <w:tabs>
          <w:tab w:leader="none" w:pos="4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any Manager for the Company, then Section 4(u) shall remain in full force and effect, (ii) with respect to any pending sale, through any Manager for the Company, the obligations of the Company, including in respect of compensation of such Manager, shall remain in full force and effect notwithstanding the termination and (iii) the provisions of Sections 2, 5, 7, 10, 11, 13 and 15 of this Agreement shall remain in full force and effect notwithstanding such termination.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shall, as to itself, have the right, by giving written notice as hereinafter specified, to terminate the provisions of this Agreement relating to the solicitation of offers to purchase the Shares in its sole discretion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and the obligations hereunder will remain in full force and effect with respect to the Manager that has not so terminated its obligations. Any such termination shall be without liability of any party to any other party except that the provisions of Sections 2, 5, 7, 10, 11, 13 and 15 of this Agreement shall remain in full force and effect notwithstanding such termination. For the avoidance of doubt, the termination by one Manager pursuant to this section 8(b) shall not affect the rights and obligations of the other Manager under this Agreement.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8(a) or (b) above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shall in all cases be deemed to provide that Sections 2, 5, 7 and 10 shall remain in full force and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Managers or the Company, as the case may be. If such termination shall occur prior to the Settlement Date or Time of Delivery for any sale of the Shares, such sale shall settle in accordance with the provisions of Section 3(a)(vii) of this Agreement.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of Shares by any Manager pursuant to a Terms Agreement, the obligations of such Manager pursuant to such Terms Agreement shall be subject to termination, in the absolute discretion of such Manager, by notice given to the Company prior to the Time of Delivery relating to such Shares, if at any time prior to such delivery and payment (i) trading in the Company’s Common Stock shall have been suspended by the Commission or Nasdaq or trading in securities generally on the NYSE or Nasdaq shall have been suspended or limited or minimum prices shall have been established on either of such exchanges,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any Manager, impractical or inadvisable to proceed with the offering or delivery of the Shares as contemplated by the Prospectus (exclusive of any amendment or supplement thereto).</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2" w:name="page33"/>
    <w:bookmarkEnd w:id="32"/>
    <w:p>
      <w:pPr>
        <w:ind w:left="1480" w:hanging="176"/>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1304"/>
        <w:spacing w:after="0" w:line="261" w:lineRule="auto"/>
        <w:tabs>
          <w:tab w:leader="none" w:pos="15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Managers set forth in or made pursuant to this Agreement will remain in full force and effect, regardless of any investigation made by any Manager or the Company or any of the officers, directors, employees, affiliates, agents or controlling persons referred to in Section 7 hereof, and will survive delivery of and payment for the Shares.</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Managers, will be delivered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Global Head of Investment Banking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notices-IBD@cantor.com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Third Street North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Great Falls, Montana 59401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notices@hcwco.com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888 San Clemente Drive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Attn: Equity Capital Markets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rothecm@roth.com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Attention: Jeff Peterson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Email: jpeterson@northlandcapitalmarkets.com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640 5th Ave, 4th Floor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Attention: Joseph Giovanniello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Tel: (212) 409-2000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Email: jgiovanniello@ladenburg.com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 Embarcadero Center, Suite 2610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Attn: Technology Investment Banking Team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TMT@wedbush.com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legalnotices@wedbush.com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1000 RXR Plaza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Uniondale, NY 11556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Attention: Stephan A. Stein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Email: sstein@JGunnar.com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 if sent to the Company, will be delivered to:</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(408) 441-3200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Email: Keyvan Mohajer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Attention: keyvan@soundhound.com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 w:name="page35"/>
    <w:bookmarkEnd w:id="34"/>
    <w:p>
      <w:pPr>
        <w:jc w:val="both"/>
        <w:ind w:firstLine="1304"/>
        <w:spacing w:after="0" w:line="266" w:lineRule="auto"/>
        <w:tabs>
          <w:tab w:leader="none" w:pos="1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each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Manager has advised or is currently advising the Company on related or other matters). The Company agrees that it will not claim that any Manager has rendered advisory services of any nature or respect, or owe an agency, fiduciary or similar duty to the Company, in connection with such transaction or the process leading thereto.</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any Terms Agreement supersede all prior agreements and understandings (whether written or oral) between the Company and the Managers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Terms Agreement will be governed by and construed in accordance with the laws of the State of New York applicable to contracts made and to be performed within the State of New York.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firstLine="1304"/>
        <w:spacing w:after="0" w:line="282" w:lineRule="auto"/>
        <w:tabs>
          <w:tab w:leader="none" w:pos="15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and any Terms Agreement are for convenience only and shall not affect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hereof.</w:t>
      </w:r>
    </w:p>
    <w:p>
      <w:pPr>
        <w:spacing w:after="0" w:line="20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 or any relevant Terms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Execution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shall mean “affiliate” as defined in, and shall be interpreted in accordance with, 12 U.S.C. § 1841(k).</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shall mean default right as defined and interpreted in accordance with, 12 C.F.R. §§ 252.81, 47.2 or 382.1, as applicable.</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Base Prospectus, (ii) the Prospectus Supplement, (iii) the most recently filed Interim Prospectus Supplement and (iv) the public offering price of Shares sold at the relevant Applicable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Prospectus Supplement</w:t>
      </w:r>
      <w:r>
        <w:rPr>
          <w:rFonts w:ascii="Times New Roman" w:cs="Times New Roman" w:eastAsia="Times New Roman" w:hAnsi="Times New Roman"/>
          <w:sz w:val="18"/>
          <w:szCs w:val="18"/>
          <w:color w:val="auto"/>
        </w:rPr>
        <w:t>” shall mean the prospectus supplement relating to the Shares prepared and filed pursuant to Rule 424(b) from time to time as provided by Section 4(s)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 and the most recently filed Interim Prospectus Supplement (if 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most recent prospectus supplement relating to the Shares that was first filed pursuant to Rule 424(b) at or prior to the Execution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shall mean each of (i) the Federal Deposit Insurance Act and the regulations promulgated thereunder and (ii) Title II of the Dodd-Frank Wall Street Reform and Consumer Protection Act and the regulations promulgated thereunder.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ind w:firstLine="1296"/>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foregoing Agreement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Sameer Vausdev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Sameer Vausdev</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Joshua Nolan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Edward Silvera</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Aaron M. Gurewitz</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Co-CEO &amp; Head of Investment 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Jeff Peterson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Samir Hussein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Samir Hussein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Technology Investment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Burke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Burke Dempsey</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Head of Investment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Banking &amp;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Stephan 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Stephan A. Stein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4(j)</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undersigned, the duly qualified and elected Chief Executive Officer, of </w:t>
      </w:r>
      <w:r>
        <w:rPr>
          <w:rFonts w:ascii="Times New Roman" w:cs="Times New Roman" w:eastAsia="Times New Roman" w:hAnsi="Times New Roman"/>
          <w:sz w:val="18"/>
          <w:szCs w:val="18"/>
          <w:b w:val="1"/>
          <w:bCs w:val="1"/>
          <w:color w:val="auto"/>
        </w:rPr>
        <w:t>SoundHound AI,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a Delaware corporation, does hereby certify in such capacity and on behalf of the Company, pursuant to </w:t>
      </w:r>
      <w:r>
        <w:rPr>
          <w:rFonts w:ascii="Times New Roman" w:cs="Times New Roman" w:eastAsia="Times New Roman" w:hAnsi="Times New Roman"/>
          <w:sz w:val="18"/>
          <w:szCs w:val="18"/>
          <w:u w:val="single" w:color="auto"/>
          <w:color w:val="auto"/>
        </w:rPr>
        <w:t>Section 4(j)</w:t>
      </w:r>
      <w:r>
        <w:rPr>
          <w:rFonts w:ascii="Times New Roman" w:cs="Times New Roman" w:eastAsia="Times New Roman" w:hAnsi="Times New Roman"/>
          <w:sz w:val="18"/>
          <w:szCs w:val="18"/>
          <w:color w:val="auto"/>
        </w:rPr>
        <w:t xml:space="preserve"> of the Equity Distribution Agreement dated May [●], 2026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among the Company and Cantor Fitzgerald &amp; Co., D.A. Davidson &amp; Co., H.C. Wainwright &amp; Co., LLC, Roth Capital Partners, LLC, Northland Securities, Inc., Ladenburg Thalmann &amp; Co. Inc., Wedbush Securities Inc. and Joseph Gunnar &amp; Co., LLC, that to the knowledge of the undersigned:</w:t>
      </w:r>
    </w:p>
    <w:p>
      <w:pPr>
        <w:spacing w:after="0" w:line="183" w:lineRule="exact"/>
        <w:rPr>
          <w:sz w:val="20"/>
          <w:szCs w:val="20"/>
          <w:color w:val="auto"/>
        </w:rPr>
      </w:pPr>
    </w:p>
    <w:p>
      <w:pPr>
        <w:jc w:val="both"/>
        <w:ind w:left="130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is in effect, and no proceedings for such purpose pursuant to Section 8A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are pending before or threatened by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 any Interim Prospectus Supplement have been timely filed with the Commission under the Securities Act and in accordance with the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Registration Statement, the General Disclosure Package and the Prospectus or since the respective dates as of which information is given in the Registration Statement, the General Disclosure Package and the Prospectus, there has been no event or development in respect of the business or financial condition of the Company and its subsidiaries that is, individually or in the aggregate, reasonably likely to have a material adverse effect;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the Agreement are true and correct on and as of the date hereof;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of the agreements and satisfied all of the conditions on its part to be performed or satisfied under the Agreement on or prior to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Davis Polk &amp; Wardwell LLP and Ellenoff Grossman &amp; Schole LLP is entitled to rely on this certificate in connection with such firm’s legal opinion to be delivered pursuant to the Agreement.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of Terms Agreement]</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ind w:left="4000"/>
              <w:spacing w:after="0"/>
              <w:rPr>
                <w:sz w:val="20"/>
                <w:szCs w:val="20"/>
                <w:color w:val="auto"/>
              </w:rPr>
            </w:pPr>
            <w:r>
              <w:rPr>
                <w:rFonts w:ascii="Times New Roman" w:cs="Times New Roman" w:eastAsia="Times New Roman" w:hAnsi="Times New Roman"/>
                <w:sz w:val="18"/>
                <w:szCs w:val="18"/>
                <w:color w:val="auto"/>
                <w:w w:val="97"/>
              </w:rPr>
              <w:t>ANNEX I</w:t>
            </w:r>
          </w:p>
        </w:tc>
      </w:tr>
      <w:tr>
        <w:trPr>
          <w:trHeight w:val="432"/>
        </w:trPr>
        <w:tc>
          <w:tcPr>
            <w:tcW w:w="3680" w:type="dxa"/>
            <w:vAlign w:val="bottom"/>
          </w:tcPr>
          <w:p>
            <w:pPr>
              <w:spacing w:after="0"/>
              <w:rPr>
                <w:sz w:val="24"/>
                <w:szCs w:val="24"/>
                <w:color w:val="auto"/>
              </w:rPr>
            </w:pPr>
          </w:p>
        </w:tc>
        <w:tc>
          <w:tcPr>
            <w:tcW w:w="7560" w:type="dxa"/>
            <w:vAlign w:val="bottom"/>
            <w:gridSpan w:val="3"/>
          </w:tcPr>
          <w:p>
            <w:pPr>
              <w:jc w:val="center"/>
              <w:ind w:right="3570"/>
              <w:spacing w:after="0"/>
              <w:rPr>
                <w:sz w:val="20"/>
                <w:szCs w:val="20"/>
                <w:color w:val="auto"/>
              </w:rPr>
            </w:pPr>
            <w:r>
              <w:rPr>
                <w:rFonts w:ascii="Times New Roman" w:cs="Times New Roman" w:eastAsia="Times New Roman" w:hAnsi="Times New Roman"/>
                <w:sz w:val="18"/>
                <w:szCs w:val="18"/>
                <w:color w:val="auto"/>
                <w:w w:val="99"/>
              </w:rPr>
              <w:t>SOUNDHOUND AI, INC.</w:t>
            </w:r>
          </w:p>
        </w:tc>
      </w:tr>
      <w:tr>
        <w:trPr>
          <w:trHeight w:val="432"/>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00" w:type="dxa"/>
            <w:vAlign w:val="bottom"/>
            <w:gridSpan w:val="2"/>
          </w:tcPr>
          <w:p>
            <w:pPr>
              <w:jc w:val="center"/>
              <w:ind w:right="465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392"/>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00" w:type="dxa"/>
            <w:vAlign w:val="bottom"/>
            <w:gridSpan w:val="2"/>
          </w:tcPr>
          <w:p>
            <w:pPr>
              <w:jc w:val="center"/>
              <w:ind w:right="4650"/>
              <w:spacing w:after="0"/>
              <w:rPr>
                <w:sz w:val="20"/>
                <w:szCs w:val="20"/>
                <w:color w:val="auto"/>
              </w:rPr>
            </w:pPr>
            <w:r>
              <w:rPr>
                <w:rFonts w:ascii="Times New Roman" w:cs="Times New Roman" w:eastAsia="Times New Roman" w:hAnsi="Times New Roman"/>
                <w:sz w:val="18"/>
                <w:szCs w:val="18"/>
                <w:color w:val="auto"/>
              </w:rPr>
              <w:t>TERMS AGREEMENT</w:t>
            </w:r>
          </w:p>
        </w:tc>
      </w:tr>
      <w:tr>
        <w:trPr>
          <w:trHeight w:val="453"/>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______, 20__</w:t>
            </w:r>
          </w:p>
        </w:tc>
        <w:tc>
          <w:tcPr>
            <w:tcW w:w="4740" w:type="dxa"/>
            <w:vAlign w:val="bottom"/>
          </w:tcPr>
          <w:p>
            <w:pPr>
              <w:spacing w:after="0"/>
              <w:rPr>
                <w:sz w:val="24"/>
                <w:szCs w:val="24"/>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 Davidson &amp; Co.]</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[Roth Capital Partners, LLC]</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 Inc.]</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Gunnar &amp; Co., LLC]</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Cantor Fitzgerald &amp; Co.</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110 East 59th Street, 6th Floor</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D.A. Davidson &amp; Co.</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8 Third Street North</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Great Falls, Montana 59401]</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H.C. Wainwright &amp; Co., LLC</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430 Park Avenue</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New York 10022]</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Roth Capital Partners, LLC</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888 San Clemente Drive</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Newport Beach, CA 92660]</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Northland Securities, Inc.</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150 South Fifth Street, Suite 3300</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Minneapolis, MN 55402]</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Ladenburg Thalmann &amp; Co. Inc.</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640 5th Ave, 4th Floor</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10019]</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Wedbush Securities Inc.</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225 S Lake Ave Penthouse</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Pasadena, CA 91101]</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 Joseph Gunnar &amp; Co., LLC</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1000 RXR Plaza</w:t>
            </w: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Uniondale, New York 11556]</w:t>
            </w: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37</w:t>
            </w: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Equity Distribution Agreement, dated May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 by and among the Company, Cantor Fitzgerald &amp; Co., D.A. Davidson &amp; Co., H.C. Wainwright &amp; Co., LLC, Roth Capital Partners, LLC, Northland Securities, Inc., Ladenburg Thalmann &amp; Co. Inc., Wedbush Securities Inc. and Joseph Gunnar &amp; Co., LLC, to issue and sell to [Cantor Fitzgerald &amp; Co.][D.A. Davidson &amp; Co.][H.C. Wainwright &amp; Co., LLC][Roth Capital Partners, LLC] [Northland Securities, Inc.][Ladenburg Thalmann &amp; Co. Inc.][Wedbush Securities Inc.][Joseph Gunnar &amp; Co., LLC], the securities specified in the Schedule I hereto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provisions of the Equity Distribution Agreement not specifically related to the solicitation by [Cantor Fitzgerald &amp; Co.][D.A. Davidson &amp; Co.][H.C. Wainwright &amp; Co., LLC][Roth Capital Partners, LLC][Northland Securities, Inc.][Ladenburg Thalmann &amp; Co. Inc.][Wedbush Securities Inc.][Joseph Gunnar &amp; Co., LLC],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the Time of Delivery in relation to the Prospectus as amended and supplemented to relate to the Purchased Shares.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Equity Distribution Agreement), or a supplement to the Prospectus, as the case may be, relating to the Purchased Shares, in the form heretofore delivered to the Managers is now proposed to be filed with the Securities and Exchange Commission.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Equity Distribution Agreement which are incorporated herein by reference, the Company agrees to issue and sell to [Cantor Fitzgerald &amp; Co.][D.A. Davidson &amp; Co.][H.C. Wainwright &amp; Co., LLC][Roth Capital Partners, LLC] [Northland Securities, Inc.][Ladenburg Thalmann &amp; Co. Inc.][Wedbush Securities Inc.][Joseph Gunnar &amp; Co., LLC] and the latter agrees to purchase from the Company the number of shares of the Purchased Shares at the time and place and at the purchase price set forth in the Schedule I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[Cantor Fitzgerald &amp; Co.][D.A. Davidson &amp; Co.][H.C. Wainwright &amp; Co., LLC][Roth Capital Partners, LLC][Northland Securities, Inc.] [Ladenburg Thalmann &amp; Co. Inc.][Wedbush Securities Inc.][Joseph Gunnar &amp; Co., LLC] and the Company.</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tabs>
          <w:tab w:leader="none" w:pos="8660" w:val="left"/>
        </w:tabs>
        <w:rPr>
          <w:sz w:val="20"/>
          <w:szCs w:val="20"/>
          <w:color w:val="auto"/>
        </w:rPr>
      </w:pPr>
      <w:r>
        <w:rPr>
          <w:rFonts w:ascii="Times New Roman" w:cs="Times New Roman" w:eastAsia="Times New Roman" w:hAnsi="Times New Roman"/>
          <w:sz w:val="18"/>
          <w:szCs w:val="18"/>
          <w:b w:val="1"/>
          <w:bCs w:val="1"/>
          <w:color w:val="auto"/>
        </w:rPr>
        <w:t>[Form of Terms Agreement]</w:t>
      </w:r>
      <w:r>
        <w:rPr>
          <w:sz w:val="20"/>
          <w:szCs w:val="20"/>
          <w:color w:val="auto"/>
        </w:rPr>
        <w:tab/>
      </w:r>
      <w:r>
        <w:rPr>
          <w:rFonts w:ascii="Times New Roman" w:cs="Times New Roman" w:eastAsia="Times New Roman" w:hAnsi="Times New Roman"/>
          <w:sz w:val="17"/>
          <w:szCs w:val="17"/>
          <w:color w:val="auto"/>
        </w:rPr>
        <w:t>Schedule I to the Terms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Purchased Shares [and Additional Shares]: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Common Stock, par value $[__]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Purchased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Additional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by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and Specified Funds for Payment of Purchase Price: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Delivery: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Free delivery of the Shares to the Manager’s account at The Depository Trust Company in return for payment of the purchase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be Delivered:</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following documents referred to in the Equity Distribution Agreement shall be delivered as a condition to the closing at the Time of Delivery [and on any Option Closing Date]:</w:t>
      </w:r>
    </w:p>
    <w:p>
      <w:pPr>
        <w:spacing w:after="0" w:line="162" w:lineRule="exact"/>
        <w:rPr>
          <w:sz w:val="20"/>
          <w:szCs w:val="20"/>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4(k).</w:t>
      </w:r>
    </w:p>
    <w:p>
      <w:pPr>
        <w:spacing w:after="0" w:line="27"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4(l).</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letter referred to in Sections 4(m) and 4(o).</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officer’s certificate referred to in Section 4(p).</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 referred to in Section 4(j).</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Managers shall reasonably request.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SoundHound AI, Inc. (the “Corporation”) in the State of Delaware shall be established and maintained at 251 Little Falls Drive, Wilmington, Delaware 19808, County of New Castle and Corporation Service Company shall be the registered agent of the corporation in charge thereof.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w:t>
      </w:r>
    </w:p>
    <w:p>
      <w:pPr>
        <w:spacing w:after="0" w:line="5" w:lineRule="exact"/>
        <w:rPr>
          <w:sz w:val="20"/>
          <w:szCs w:val="20"/>
          <w:color w:val="auto"/>
        </w:rPr>
      </w:pPr>
    </w:p>
    <w:p>
      <w:pPr>
        <w:jc w:val="both"/>
        <w:ind w:firstLine="8"/>
        <w:spacing w:after="0" w:line="251" w:lineRule="auto"/>
        <w:tabs>
          <w:tab w:leader="none" w:pos="3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may only be called as prescribed by statute or by the Certificate of Incorporation of the Corporation (the “Certificate of Incorporation”). Such request shall state the purpose or purposes of the proposed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a majority of the voting power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Chairman of the Board of Directors shall act as chairman of meetings of the stockholders. The Board of Directors may designate any other officer or director of the Corporation to act as chairman of any meeting in the absence of the Chairman of the Board of Directors, and the Board of Directors may further provide for determining who shall act as chairman of any stockholders meeting in the absence of the Chairman of the Board of Directors and such designee.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Secretary of the Corporation shall act as secretary of all meetings of the stockholders, but in the absence of the Secretary the presiding officer may appoint any other person to act as secretary of any meeting.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thereat.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or her discretion, may require that any votes cast at such meeting shall be cast by written ballot.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Action of Stockholders Without Meeting</w:t>
      </w:r>
      <w:r>
        <w:rPr>
          <w:rFonts w:ascii="Times New Roman" w:cs="Times New Roman" w:eastAsia="Times New Roman" w:hAnsi="Times New Roman"/>
          <w:sz w:val="18"/>
          <w:szCs w:val="18"/>
          <w:color w:val="auto"/>
        </w:rPr>
        <w:t>. Unless otherwise provided by the Certificate of Incorporation or by resolution of the Board of Directors, no action required to be taken at any annual or special meeting of stockholders, or any action which may be taken at any annual or special meeting of such stockholders, may be taken without a meeting, If action without a meeting is provided by the Certificate of Incorporation or by resolution of the Bard of Directors, such action may be taken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Voting List</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class and number of shares registered in the name of each stockholder. Such list shall be open to the examination of any stockholder, for any purpose germane to the meeting, during ordinary business hours, for a period of at least ten (10) days prior to the election, either at a place within the city, town or village where the election is to be held, which place shall be specified in the 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 meeting.</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 Number; Qualifications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Term of Office; Resignation; Removal; Vacancies</w:t>
      </w:r>
      <w:r>
        <w:rPr>
          <w:rFonts w:ascii="Times New Roman" w:cs="Times New Roman" w:eastAsia="Times New Roman" w:hAnsi="Times New Roman"/>
          <w:sz w:val="18"/>
          <w:szCs w:val="18"/>
          <w:color w:val="auto"/>
        </w:rPr>
        <w:t>. Each director shall hold office as prescribed by the Certificate of Incorporation.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or her successor shall be elected and qualified, or until such director’s earlier resignation, removal from office, death or incapacity.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Nominations</w:t>
      </w:r>
      <w:r>
        <w:rPr>
          <w:rFonts w:ascii="Times New Roman" w:cs="Times New Roman" w:eastAsia="Times New Roman" w:hAnsi="Times New Roman"/>
          <w:sz w:val="18"/>
          <w:szCs w:val="18"/>
          <w:color w:val="auto"/>
        </w:rPr>
        <w:t>. Unless otherwise provided in the Certificate of Incorporation or any Certificate of Designation (as defined in the Certificate of Incorporation),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w:t>
      </w:r>
    </w:p>
    <w:p>
      <w:pPr>
        <w:spacing w:after="0" w:line="5" w:lineRule="exact"/>
        <w:rPr>
          <w:sz w:val="20"/>
          <w:szCs w:val="20"/>
          <w:color w:val="auto"/>
        </w:rPr>
      </w:pPr>
    </w:p>
    <w:p>
      <w:pPr>
        <w:jc w:val="both"/>
        <w:ind w:firstLine="8"/>
        <w:spacing w:after="0" w:line="251" w:lineRule="auto"/>
        <w:tabs>
          <w:tab w:leader="none" w:pos="2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Board of Directors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Chairman of the Board of Directors, the Chief Executive Officer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6 Organization of Meetings</w:t>
      </w:r>
      <w:r>
        <w:rPr>
          <w:rFonts w:ascii="Times New Roman" w:cs="Times New Roman" w:eastAsia="Times New Roman" w:hAnsi="Times New Roman"/>
          <w:sz w:val="18"/>
          <w:szCs w:val="18"/>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the Board of Directors shall be presided over by the Chairman of the Board of Directors, or in his or her or her absence, by the Chief Executive Officer, or in the absence of the Chairman of the Board of Directors and the Chief Executive Officer by such other person as the Board of Directors may designate or the members present may select.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Actions of Board of Directors Without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filled with the minutes of proceedings of the Board of Directors or committee.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Removal of Directors by Stockholders</w:t>
      </w:r>
      <w:r>
        <w:rPr>
          <w:rFonts w:ascii="Times New Roman" w:cs="Times New Roman" w:eastAsia="Times New Roman" w:hAnsi="Times New Roman"/>
          <w:sz w:val="18"/>
          <w:szCs w:val="18"/>
          <w:color w:val="auto"/>
        </w:rPr>
        <w:t>. The entire Board of Directors or any individual Director may be removed from office with or without cause by a vote of a majority of the voting power of the holders of the outstanding shares then entitled to vote at an election of directors. Notwithstanding the foregoing, if the Corporation’s board is classified, stockholders may effect such removal only for cause. In case the Board of Directors or any one or more Directors be so removed, new Directors may be elected at the same time for the unexpired portion of the full term of the Director or Directors so removed.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at any time by submitting his or her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the Board shall have the authority to fix the compensation of directors, including for service on a committee of the Board, and may be paid either a fixed sum (in cash or other form of consideration) for attendance at each meeting of the Board or other compensation as director.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such payment shall preclude any director from serving the Corporation in any other capacity and receiving compensation therefor. Members of special or standing committees may be allowed like compensation for attending committee meetings.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(i) 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Meetings by Means of Conference Telephone</w:t>
      </w:r>
      <w:r>
        <w:rPr>
          <w:rFonts w:ascii="Times New Roman" w:cs="Times New Roman" w:eastAsia="Times New Roman" w:hAnsi="Times New Roman"/>
          <w:sz w:val="18"/>
          <w:szCs w:val="18"/>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officers of the Corporation shall be elected or appointed by the Board of Directors and may consist of: a Chairman of the Board, Vice Chairman of the Board, Chief Executive Officer, President, Chief Financial Officer, Secretary and Treasurer. The Board of Directors, in its discretion, may also elect or appoint one or more Vice Presidents (including Executive Vice Presidents and Senior Vice Presidents), Assistant Secretaries, Assistant Treasurers, a Controller and such other officers as in the judgment of the Board of Directors may be necessary or desirable.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Any number of offices may be held by the same person and more than one person may hold the same office, unless otherwise prohibited by law, the Certificate of Incorporation or these Bylaws. The officers of the Corporation need not be stockholders of the Corporation or residents of the State of Delaware, nor need such officers be directors of the Corporation.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18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Voting Securities Owned by the Corporation</w:t>
      </w:r>
      <w:r>
        <w:rPr>
          <w:rFonts w:ascii="Times New Roman" w:cs="Times New Roman" w:eastAsia="Times New Roman" w:hAnsi="Times New Roman"/>
          <w:sz w:val="17"/>
          <w:szCs w:val="17"/>
          <w:color w:val="auto"/>
        </w:rPr>
        <w:t>. Powers of attorney, proxies, waivers of notice of meeting, consents and other instruments relating to securities owned by the Corporation may be executed in the name of and on behalf of the Corporation by the Chief Executive Officer,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At the request of the Chief Executive Officer or the President or in the absence of the Chief Executive Officer or the President, or in the event of his or her inability or refusal to act, the Vice President or the Vice Presidents if there is more than one (in the order designated by the Board of Directors) shall perform the duties of the Chief Executive Officer or the President, as applicable,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Chief Executive Officer or the President or in the event of the inability or refusal of such officer to act, shall perform the duties of such office, and when so acting, shall have all the powers of and be subject to all the restrictions upon such office.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Chief Executive Officer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Except as may be otherwise provided in these Bylaws, Assistant Secretaries, if there be any, shall perform such duties and have such powers as from time to time may be assigned to them by the Board of Directors, the Chief Executive Officer, the President, any Vice President, if there be one, or the Secretary, and in the absence of the Secretary or in the event of his or her disability or refusal to act, shall perform the duties of the Secretary, and when so acting, shall have all the powers of and be subject to all the restrictions upon the Secretary.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Chief Executive Officer, the President or any Vice President of the Corporation may prescribe.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of Directors shall have the power to fill any vacancies in any office occurring from whatever reason.</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Form of Certificates</w:t>
      </w:r>
      <w:r>
        <w:rPr>
          <w:rFonts w:ascii="Times New Roman" w:cs="Times New Roman" w:eastAsia="Times New Roman" w:hAnsi="Times New Roman"/>
          <w:sz w:val="18"/>
          <w:szCs w:val="18"/>
          <w:color w:val="auto"/>
        </w:rPr>
        <w:t>. The shares of stock in the Corporation may be certificated or uncertificated, subject to the sole discretion of the Board of Directors and the requirements of the DGCL.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or her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 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or her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 the Corporation and any transfer agent, registrar or other agent of the Corporation involved from any loss which it or they may suffer by complying with the adverse claim, is filed with the Corporation.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Fixing Record Date</w:t>
      </w:r>
      <w:r>
        <w:rPr>
          <w:rFonts w:ascii="Times New Roman" w:cs="Times New Roman" w:eastAsia="Times New Roman" w:hAnsi="Times New Roman"/>
          <w:sz w:val="18"/>
          <w:szCs w:val="18"/>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 If no record date is fixed:</w:t>
      </w:r>
    </w:p>
    <w:p>
      <w:pPr>
        <w:spacing w:after="0" w:line="189" w:lineRule="exact"/>
        <w:rPr>
          <w:sz w:val="20"/>
          <w:szCs w:val="20"/>
          <w:color w:val="auto"/>
        </w:rPr>
      </w:pPr>
    </w:p>
    <w:p>
      <w:pPr>
        <w:jc w:val="both"/>
        <w:ind w:left="660" w:firstLine="644"/>
        <w:spacing w:after="0" w:line="266" w:lineRule="auto"/>
        <w:tabs>
          <w:tab w:leader="none" w:pos="15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of Directors adopts the resolution relating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Form of Notice</w:t>
      </w:r>
      <w:r>
        <w:rPr>
          <w:rFonts w:ascii="Times New Roman" w:cs="Times New Roman" w:eastAsia="Times New Roman" w:hAnsi="Times New Roman"/>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OF DIRECTORS AND OFFICERS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or her conduct was unlawful.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176" w:lineRule="exact"/>
        <w:rPr>
          <w:sz w:val="20"/>
          <w:szCs w:val="20"/>
          <w:color w:val="auto"/>
        </w:rPr>
      </w:pPr>
    </w:p>
    <w:p>
      <w:pPr>
        <w:ind w:left="660" w:firstLine="644"/>
        <w:spacing w:after="0" w:line="282" w:lineRule="auto"/>
        <w:tabs>
          <w:tab w:leader="none" w:pos="15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such action, suit or proceeding,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quorum is not obtainable, or, even if obtainable a quorum of disinterested directors so directs, by independent legal counsel in a written opinion, or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stockholders.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the Certificate of Incorporation or under any bylaw, agreement, vote of stockholders or disinterested directors or otherwise, both as to action in his or her official capacity and as to action in another capacity while holding such office. 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this Article.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Reliance on Books and Records</w:t>
      </w:r>
      <w:r>
        <w:rPr>
          <w:rFonts w:ascii="Times New Roman" w:cs="Times New Roman" w:eastAsia="Times New Roman" w:hAnsi="Times New Roman"/>
          <w:sz w:val="18"/>
          <w:szCs w:val="18"/>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Maintenance and Inspection of Records</w:t>
      </w:r>
      <w:r>
        <w:rPr>
          <w:rFonts w:ascii="Times New Roman" w:cs="Times New Roman" w:eastAsia="Times New Roman" w:hAnsi="Times New Roman"/>
          <w:sz w:val="18"/>
          <w:szCs w:val="18"/>
          <w:color w:val="auto"/>
        </w:rPr>
        <w:t>. The Corporation shall, either at its principal executive office or at such place or places as designated by the Board of Directors, keep a record of its stockholders listing their names and addresses and the class and number of shares held by each stockholder, a copy of these by-laws, as may be amended to date, minute books, accounting books and other records.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Inspection by Directors</w:t>
      </w:r>
      <w:r>
        <w:rPr>
          <w:rFonts w:ascii="Times New Roman" w:cs="Times New Roman" w:eastAsia="Times New Roman" w:hAnsi="Times New Roman"/>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persons as the Board of Directors may from time to time designate.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determined by the Board of Directors. If the Board of Directors shall fail to do so, the Chief Executive Officer shall fix the fiscal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Certificate of Incorporation,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Interpretation of Bylaws</w:t>
      </w:r>
      <w:r>
        <w:rPr>
          <w:rFonts w:ascii="Times New Roman" w:cs="Times New Roman" w:eastAsia="Times New Roman" w:hAnsi="Times New Roman"/>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101,499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95,004</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$4,785 and $4,451 as of March 31, 2026 and December 31, 2025,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29,029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27,014</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(Note 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145,945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137,118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(Note 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87,858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90,389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acquisition costs, net (Note 2)</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20,856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(Note 5)</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184,540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184,902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(Note 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457,582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454,667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(Note 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(Note 2)</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57,987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54,295</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(Note 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20,071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130,520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122,569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current portion (Note 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373,723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371,732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(Note 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(Notes 10 and 13)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- 20,000,000 shares authorized; 12,285,554 and 12,223,729 shares issued,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12,101,150 and 12,039,325 shares outstanding as of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- 184,404 shares as of March 31, 2026 and December 31, 2025</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1,023,338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1,021,076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(1,067,321)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(1,058,494)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(7,683)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(51,496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(44,495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457,582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454,667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expense shown separately below)</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13,770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12,120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12,180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5,818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(8,252)</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8,487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(8,502)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12,060,769</w:t>
            </w:r>
          </w:p>
        </w:tc>
        <w:tc>
          <w:tcPr>
            <w:tcW w:w="320" w:type="dxa"/>
            <w:vAlign w:val="bottom"/>
          </w:tcPr>
          <w:p>
            <w:pPr>
              <w:spacing w:after="0"/>
              <w:rPr>
                <w:sz w:val="24"/>
                <w:szCs w:val="24"/>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6,104,729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1,751</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760" w:type="dxa"/>
            <w:vAlign w:val="bottom"/>
          </w:tcPr>
          <w:p>
            <w:pPr>
              <w:spacing w:after="0"/>
              <w:rPr>
                <w:sz w:val="22"/>
                <w:szCs w:val="22"/>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22"/>
                <w:szCs w:val="22"/>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12,223,729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$ 1,021,076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(1,058,494)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760" w:type="dxa"/>
            <w:vAlign w:val="bottom"/>
            <w:vMerge w:val="continue"/>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12,285,554</w:t>
            </w:r>
          </w:p>
        </w:tc>
        <w:tc>
          <w:tcPr>
            <w:tcW w:w="54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(184,404</w:t>
            </w:r>
          </w:p>
        </w:tc>
        <w:tc>
          <w:tcPr>
            <w:tcW w:w="140" w:type="dxa"/>
            <w:vAlign w:val="bottom"/>
            <w:vMerge w:val="continue"/>
          </w:tcPr>
          <w:p>
            <w:pPr>
              <w:spacing w:after="0"/>
              <w:rPr>
                <w:sz w:val="20"/>
                <w:szCs w:val="20"/>
                <w:color w:val="auto"/>
              </w:rPr>
            </w:pPr>
          </w:p>
        </w:tc>
        <w:tc>
          <w:tcPr>
            <w:tcW w:w="5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vMerge w:val="continue"/>
          </w:tcPr>
          <w:p>
            <w:pPr>
              <w:spacing w:after="0"/>
              <w:rPr>
                <w:sz w:val="20"/>
                <w:szCs w:val="20"/>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$ 1,023,338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(1,067,321</w:t>
            </w:r>
          </w:p>
        </w:tc>
        <w:tc>
          <w:tcPr>
            <w:tcW w:w="220" w:type="dxa"/>
            <w:vAlign w:val="bottom"/>
            <w:vMerge w:val="continue"/>
          </w:tcPr>
          <w:p>
            <w:pPr>
              <w:spacing w:after="0"/>
              <w:rPr>
                <w:sz w:val="20"/>
                <w:szCs w:val="20"/>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760" w:type="dxa"/>
            <w:vAlign w:val="bottom"/>
          </w:tcPr>
          <w:p>
            <w:pPr>
              <w:spacing w:after="0"/>
              <w:rPr>
                <w:sz w:val="22"/>
                <w:szCs w:val="22"/>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22"/>
                <w:szCs w:val="22"/>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148,077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(14,133)</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760" w:type="dxa"/>
            <w:vAlign w:val="bottom"/>
            <w:vMerge w:val="continue"/>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6,411,859</w:t>
            </w:r>
          </w:p>
        </w:tc>
        <w:tc>
          <w:tcPr>
            <w:tcW w:w="54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(184,404</w:t>
            </w:r>
          </w:p>
        </w:tc>
        <w:tc>
          <w:tcPr>
            <w:tcW w:w="140" w:type="dxa"/>
            <w:vAlign w:val="bottom"/>
            <w:vMerge w:val="continue"/>
          </w:tcPr>
          <w:p>
            <w:pPr>
              <w:spacing w:after="0"/>
              <w:rPr>
                <w:sz w:val="20"/>
                <w:szCs w:val="20"/>
                <w:color w:val="auto"/>
              </w:rPr>
            </w:pPr>
          </w:p>
        </w:tc>
        <w:tc>
          <w:tcPr>
            <w:tcW w:w="5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vMerge w:val="continue"/>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940,799</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(1,005,394</w:t>
            </w:r>
          </w:p>
        </w:tc>
        <w:tc>
          <w:tcPr>
            <w:tcW w:w="220" w:type="dxa"/>
            <w:vAlign w:val="bottom"/>
            <w:vMerge w:val="continue"/>
          </w:tcPr>
          <w:p>
            <w:pPr>
              <w:spacing w:after="0"/>
              <w:rPr>
                <w:sz w:val="20"/>
                <w:szCs w:val="20"/>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(74,944</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4,940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of 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and finance leases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 and accretion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(2,536)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3,109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including capitalized internal-use software development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for finance leases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6,495</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95,004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183,237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101,499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176,254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other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and intangible assets recorded in 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LivePerson, Inc. (the “Company”) is a leader in digital customer conversation. Since 1998, LivePerson has enabled meaningful connections between consumers and its customers through digital and artificial intelligence (“AI”)-powered conversations. Our customers’ existing investments in Generative AI and Large Language Models (“LLMs”) are fully compatible with LivePerson’s enterprise-class digital customer conversation platform (the “Conversational Cloud”).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Conversational Cloud powers conversations across each of a brand’s primary digital channels, including mobile apps, mobile and desktop web browsers, short messaging service, social media and third-party consumer messaging platforms. Brands can also use the Conversational Cloud to connect conversations across voice and digital channels to give customers additional options and ensure their interactions with brands are integrated no matter where they choose to reach out.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Conversational Cloud enables what the Company calls “the tango” of humans, LivePerson bots, third-party bots and LLMs, in which humans oversee and are assisted by AI and can seamlessly step into conversations as needed. Agents utilize the AI engine (including generative AI capabilities) to surface relevant content, define next-best actions and automate repetitive transactional work so that the agent can focus on relationship building. By integrating customer engagement channels, LivePerson’s proprietary AI, and third-party bots and AI, the Conversational Cloud offers brands a comprehensive approach to scaling automations across customer conversations.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2026, the Company commercially launched Syntrix, a proprietary simulation and evaluation platform designed to provide predictability and safety in conversational AI. Utilizing the Company’s conversational data sets, Syntrix allows enterprise brands to test, evaluate, and validate AI behavior in a controlled environment prior to deployment. A core capability of the platform is the Conversation Simulator, which identifies AI performance issues and validates human agent readiness at scale. Syntrix is designed with architectural flexibility to be sold as an integrated component of the Conversational Cloud or as a standalone evaluation and simulation solution for brands utilizing third-party AI ecosystems.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2025, the Company effected a 1-for-15 reverse stock split (the “Reverse Stock Split”) of its issued common stock. As a result, every 15 shares of its issued common stock were combined into one share of common stock. No fractional shares of the Company’s common stock were issued as a result of the Reverse Stock Split. Each stockholder who would otherwise have been entitled to receive a fractional share as a result of the Reverse Stock Split received a cash payment equal to the product obtained by multiplying the number of shares of common stock held by such stockholder before the Reverse Stock Split that would otherwise have been exchanged for such fractional share interest by the closing price per share of the common stock as reported on The Nasdaq Global Select Market on October 10, 2025. As a result of the Reverse Stock Split, proportionate adjustments were made to the per share exercise price and the number of shares issuable upon the exercise of, or notional shares underlying, all outstanding warrants to purchase shares of the Company’s common stock. In addition, the number of authorized shares of common stock was proportionately reduced. Proportionate adjustments were also made to (i) the number of shares of common stock available for issuance under the Company’s equity plans, (ii) the number of shares underlying, and the exercise prices of, outstanding equity awards, as applicable, that have been previously granted under such equity plans or other arrangements, (iii) the number of shares or notional shares underlying, and the exercise prices of, the Company’s outstanding warrants, (iv) the number of shares or notional shares underlying, and the conversion prices of, the Company’s outstanding convertible notes and (v) the number of rights outstanding pursuant to the Company’s Tax Benefits Preservation Plan, in each case in accordance with their respective terms. The Reverse Stock Split did not affect the par value of the common stock or the number of shares of preferred stock that the Company is authorized to issue under its certificate of incorporation. These notes to the condensed consolidated financial statements and the accompanying condensed consolidated financial statements give retroactive effect to the Reverse Stock Split for all periods presented.</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and the financial data and other information disclosed in the notes to the condensed consolidated financial statements as of March 31, 2026 and for the three months ended March 31, 2026 are unaudited. In the opinion of management, the unaudited condensed consolidated financial statements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2025 has been derived from audited consolidated financial statements at that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and note disclosures included in the Company’s audited financial statements prepared in accordance with accounting principles generally accepted in the United States (“GAAP”) have been condensed or omitted as they are not required for interim financial statements pursuant to GAAP and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2025 included in the Company’s Annual Report on Form 10-K filed with the SEC on March 16,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operations of LivePerson and its wholly-owned subsidiaries.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condensed consolidated financial statements. On a regular basis, management evaluates these estimates and assumptions.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Items subject to such estimates and assumptions include, but are not limited to:</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benefit for deferred contract acquisition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useful lives of long-lived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cash-settled and share-settled warrants (together,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features embedded in the 2029 Notes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disclosure of contingent liabilities.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2025. There have been no significant changes to these policies that have had a material impact on the Company’s condensed consolidated financial statements and related notes for the three months ended March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ind w:left="26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43"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prepaid expenses and other current assets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software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prepaid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198"/>
        </w:trPr>
        <w:tc>
          <w:tcPr>
            <w:tcW w:w="120" w:type="dxa"/>
            <w:vAlign w:val="bottom"/>
          </w:tcPr>
          <w:p>
            <w:pPr>
              <w:spacing w:after="0"/>
              <w:rPr>
                <w:sz w:val="17"/>
                <w:szCs w:val="17"/>
                <w:color w:val="auto"/>
              </w:rPr>
            </w:pPr>
          </w:p>
        </w:tc>
        <w:tc>
          <w:tcPr>
            <w:tcW w:w="2340" w:type="dxa"/>
            <w:vAlign w:val="bottom"/>
            <w:gridSpan w:val="4"/>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7"/>
                <w:szCs w:val="17"/>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19"/>
                <w:szCs w:val="19"/>
                <w:color w:val="auto"/>
              </w:rPr>
            </w:pP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20"/>
                <w:szCs w:val="20"/>
                <w:color w:val="auto"/>
              </w:rPr>
            </w:pP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15,100</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560" w:space="120"/>
            <w:col w:w="2560"/>
          </w:cols>
          <w:pgMar w:left="320" w:top="900" w:right="339" w:bottom="1440" w:gutter="0" w:footer="0" w:header="0"/>
        </w:sectPr>
      </w:pPr>
    </w:p>
    <w:p>
      <w:pPr>
        <w:spacing w:after="0" w:line="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non-cancelable operating leases for its corporate offices and other service agreements. As of March 31, 2026, the Company’s lease assets and liabilities were not material, with a remaining lease term of less than one year, with an option to extend. The Company uses the non-cancelable lease term when recognizing the right-of-use (“ROU”) assets and lease liabilities, unless it is reasonably certain that a renewal or termination option will be exercised. The Company’s operating lease costs were $1.9 million and $2.4 million for the three months ended March 31, 2026 and 2025, respectively. The weighted average discount rate for leases was 7% for the three months ended March 31, 2026 and 2025. Future minimum lease payments under non-cancelable leases are not material for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w:t>
      </w:r>
    </w:p>
    <w:p>
      <w:pPr>
        <w:spacing w:after="0" w:line="29" w:lineRule="exact"/>
        <w:rPr>
          <w:sz w:val="20"/>
          <w:szCs w:val="20"/>
          <w:color w:val="auto"/>
        </w:rPr>
      </w:pPr>
    </w:p>
    <w:p>
      <w:pPr>
        <w:jc w:val="both"/>
        <w:ind w:firstLine="8"/>
        <w:spacing w:after="0" w:line="252" w:lineRule="auto"/>
        <w:tabs>
          <w:tab w:leader="none" w:pos="131"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Credit Losses (Topic 326): Measurement of Credit Losses for Accounts Receivable and Contract Assets</w:t>
      </w:r>
      <w:r>
        <w:rPr>
          <w:rFonts w:ascii="Times New Roman" w:cs="Times New Roman" w:eastAsia="Times New Roman" w:hAnsi="Times New Roman"/>
          <w:sz w:val="18"/>
          <w:szCs w:val="18"/>
          <w:color w:val="auto"/>
        </w:rPr>
        <w:t>, which provides all entities with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when estimating expected credit losses for current accounts receivable and current contract assets arising from certain transactions. In developing reasonable and supportable forecasts as part of estimating expected credit losses, all entities may elect a practical expedient that assumes that current conditions as of the balance sheet date do not change for the remaining life of the asset. The guidance was effective for annual periods beginning after December 15, 2025. The Company elected to adopt the practical expedient, which did not have a material impact on the Company’s condensed consolidated financial statements or related disclosures.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seeks to clarify the requirements for determining whether certain settlements of convertible debt instruments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an induced conversion. The amendments in this update were effective for annual periods beginning after December 15, 2025. Adoption of the guidance, which the Company elected to apply prospectively, did not have a material impact on the Company’s condensed consolidated financial statements or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seeks to make incremental improvements to GAAP on a broad range of topics arising from technical corrections, unintended application of guidance, clarifications and other minor improvements. The guidance is effective for interim reporting periods within annual reporting periods beginning after December 15, 2026, with early adoption permitted, and can be applied on an issue-by-issue basis, prospectively or retrospectively. The Company is currently evaluating the potential impact of adopting this new guidance on its consolidated financial statements and related disclosures.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xml:space="preserve"> which improves the navigability of the required interim disclosures and clarifies when that guidance is applicable. The guidance is effective for interim reporting periods within annual reporting periods beginning after December 15, 2027, with early adoption permitted, and can be applied prospectively or retrospectively. The Company is currently evaluating the potential impact of adopting this new guidance on its consolidated financial statements and related disclosures.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removes all references to project stages related to internal-use software development.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guidance is effective for annual periods beginning after December 15, 2027, with early adoption permitted. The Company is currently evaluating the potential impact of adopting this new guidance on its consolidated financial statements and related disclosures.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seeks to expand disclosures about a public entity’s expenses, including more detailed information about the types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purchases of inventory, employee compensation, depreciation, amortization, and depletion) in commonly presented expense captions (such as cost of sales, sales and marketing, general and administrative, and research and development). The amendments in this update are effective for annual periods beginning after December 15, 2026, and interim periods beginning after December 15, 2027. Early adoption is permitted for both interim and annual financial statements that have not yet been issued or made available for issuance. ASU 2024-03 should be applied retrospectively. The Company is currently evaluating the potential impact of adopting this new guidance on its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from hosted service revenues, including platform access, usage and related professional services. Revenues are recognized when control of these services is transferred to the Company’s customers, in an amount that reflects the consideration the Company expects to be entitled to in exchange for those services. No single customer accounted for 10% or more of total revenue for the three months ended March 31, 2026 and 2025.</w:t>
      </w:r>
    </w:p>
    <w:p>
      <w:pPr>
        <w:sectPr>
          <w:pgSz w:w="11900" w:h="16838" w:orient="portrait"/>
          <w:cols w:equalWidth="0" w:num="1">
            <w:col w:w="11240"/>
          </w:cols>
          <w:pgMar w:left="320" w:top="900"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5"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236" w:lineRule="exact"/>
        <w:rPr>
          <w:rFonts w:ascii="Times New Roman" w:cs="Times New Roman" w:eastAsia="Times New Roman" w:hAnsi="Times New Roman"/>
          <w:sz w:val="17"/>
          <w:szCs w:val="17"/>
          <w:color w:val="auto"/>
        </w:rPr>
      </w:pPr>
    </w:p>
    <w:p>
      <w:pPr>
        <w:ind w:left="660" w:right="900" w:hanging="4"/>
        <w:spacing w:after="0" w:line="578" w:lineRule="auto"/>
        <w:tabs>
          <w:tab w:leader="none" w:pos="98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 The following table presents the Company’s revenues disaggregated by revenue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211"/>
        </w:trPr>
        <w:tc>
          <w:tcPr>
            <w:tcW w:w="240" w:type="dxa"/>
            <w:vAlign w:val="bottom"/>
          </w:tcPr>
          <w:p>
            <w:pPr>
              <w:spacing w:after="0"/>
              <w:rPr>
                <w:sz w:val="18"/>
                <w:szCs w:val="18"/>
                <w:color w:val="auto"/>
              </w:rPr>
            </w:pPr>
          </w:p>
        </w:tc>
        <w:tc>
          <w:tcPr>
            <w:tcW w:w="22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8"/>
                <w:szCs w:val="18"/>
                <w:color w:val="auto"/>
              </w:rPr>
            </w:pPr>
          </w:p>
        </w:tc>
      </w:tr>
      <w:tr>
        <w:trPr>
          <w:trHeight w:val="23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55,134</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2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64,700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remaining performance obligations was $161.7 million. Approximately 97% of the Company’s remaining performance obligations are expected to be recognized during the next 24 months, with the balance recognized thereafter. The disclosed amount represents contracted revenue that has not yet been recognized and does not include contract amounts that are cancelable by the customer, amounts associated with optional renewal periods, and amounts related to performance obligations that are billed and recognized as performed.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Judgment is required to determine the SSP for each distinct performance obligation. The Company determines SSP based on observable prices at which the performance obligations are sold separately. When not directly observable, SSP is estimated using an adjusted market assessment approach, which considers market conditions and other entity-specific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revenues attributable to operations by region for the periods presented:</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41,552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 (2)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14,186</w:t>
            </w:r>
          </w:p>
        </w:tc>
        <w:tc>
          <w:tcPr>
            <w:tcW w:w="0" w:type="dxa"/>
            <w:vAlign w:val="bottom"/>
          </w:tcPr>
          <w:p>
            <w:pPr>
              <w:spacing w:after="0"/>
              <w:rPr>
                <w:sz w:val="1"/>
                <w:szCs w:val="1"/>
                <w:color w:val="auto"/>
              </w:rPr>
            </w:pP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 (3)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United States, Canada, Latin America and South America (“Americas”)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Asia-Pacific (“APAC”)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all incremental commission costs incurred to obtain the contract. These contract acquisition costs, which are comprised of sales commissions, have balances at March 31, 2026 and December 31, 2025 of $20.9 million and $24.0 million, respectively. The Company amortizes these costs over the related period of benefit using the customer expected life that the Company determined to be four years, which is consistent with the transfer to the customer of the services to which the asset relates. Commissions earned for renewal contracts are amortized over the contractual term of the renewals. The Company classifies contract acquisition costs as long-term.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deferred revenue balance consists of services, which have been invoiced upfront, and are recognized as revenue only when the revenue recognition criteria are met.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the Conversational Cloud over the term of the software subscription. Amounts recognized as revenue in excess of amounts billed are recorded as unbilled receivables. Unbilled receivables, anticipated to be invoiced in the next twelve months, are included in Accounts receivable, net of allowances for credit losses on the condensed consolidated balance sheets.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revenue of $28.7 million and $27.9 million for the three months ended March 31, 2026 and 2025, respectively, which was included in the corresponding deferred revenue balance at the beginning of the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long-term deferred revenues are included in Other liabilities on the condensed consolidated balance sheets. The opening and closing balances of the Company’s contract acquisition costs, net, and deferred revenues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Costs, Net</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(Non-current)</w:t>
            </w:r>
          </w:p>
        </w:tc>
        <w:tc>
          <w:tcPr>
            <w:tcW w:w="12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57,980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6"/>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net</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(3,685)</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increase, net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changes in deferred revenue during both periods presented were primarily driven by changes in customer renewal patterns and contract structures, including the timing of renewals and shifts in service commitments. Amortization expense in connection with contract acquisition cost was $4.1 million and $4.3 million for the three months ended March 31, 2026 and 2025, respectively, and was included in sales and marketing expense in the condensed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credit losses is the Company’s best estimate of the amount of expected credit losses in the Company’s existing accounts receivable, based on both specific and general reserves. The Company maintains general reserves on a collective basis by considering factors such as historical experience, creditworthiness, the age of the trade receivable balances, and current economic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as of the dates presented is as follows: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Deductions/write-offs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spacing w:after="0"/>
              <w:rPr>
                <w:sz w:val="17"/>
                <w:szCs w:val="17"/>
                <w:color w:val="auto"/>
              </w:rPr>
            </w:pPr>
          </w:p>
        </w:tc>
        <w:tc>
          <w:tcPr>
            <w:tcW w:w="2340" w:type="dxa"/>
            <w:vAlign w:val="bottom"/>
            <w:gridSpan w:val="4"/>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7"/>
                <w:szCs w:val="17"/>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8,627</w:t>
            </w: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866</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4,451</w:t>
            </w:r>
          </w:p>
        </w:tc>
        <w:tc>
          <w:tcPr>
            <w:tcW w:w="4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common stock equivalents outstanding for the period. For the periods in the table below where the impact was dilutive, the numerator is decreased to reverse the gain on change in fair value of share-settled warrants, and the denominator is increased to include the number of shares issuable upon the potential exercise of warrants. For purposes of the calculations below, stock options, restricted stock units, and the 0% Convertible Senior Notes due 2026 (the “2026 Notes”) are considered to be common stock equivalents but are excluded from the calculation of diluted net loss per share when including them has an anti-dilutive effect.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share-settled warrants and cash-settled warrants are not participating securities. The share-settled warrants are excluded from the calculation of diluted EPS for the three months ended March 31, 2026, as their effect would have been anti-dilutive because the exercise prices were greater than the average market price of the common shares for that period. The cash-settled warrants are not included in the calculation of diluted EPS due to the cash-settlement requirement.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treasury stock method for stock options, restricted stock units, and share-settled warrants, and uses the if-converted method for convertible debt. See Note 8 – </w:t>
      </w:r>
      <w:r>
        <w:rPr>
          <w:rFonts w:ascii="Times New Roman" w:cs="Times New Roman" w:eastAsia="Times New Roman" w:hAnsi="Times New Roman"/>
          <w:sz w:val="18"/>
          <w:szCs w:val="18"/>
          <w:i w:val="1"/>
          <w:iCs w:val="1"/>
          <w:color w:val="auto"/>
        </w:rPr>
        <w:t>Senior Notes, Capped Call Transactions and Warrants</w:t>
      </w:r>
      <w:r>
        <w:rPr>
          <w:rFonts w:ascii="Times New Roman" w:cs="Times New Roman" w:eastAsia="Times New Roman" w:hAnsi="Times New Roman"/>
          <w:sz w:val="18"/>
          <w:szCs w:val="18"/>
          <w:color w:val="auto"/>
        </w:rPr>
        <w:t xml:space="preserve"> for additional information about the 2026 Notes, First Lien Convertible Senior Notes due 2029 (“2029 Notes”), and Second Lien Senior Subordinated Secured Notes due 2029 (the “Second Lien Notes,” and together with the 2026 Notes and the 2029 Notes, the “Notes”).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shares used in calculating basic and diluted net loss per share for the three months ended March 31, 2026 and 2025, as follows: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4"/>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9"/>
              </w:rPr>
              <w:t>(In thousands, except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shareholders for basic net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change in fair value of share-settled warrants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shareholders for diluted net loss per share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to compute basic net loss per share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12,060,769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6,104,729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potential exercise of warrants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248,934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outstanding used to compute diluted net loss per share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12,060,769</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6,353,663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F-12</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listed below were excluded from the computation of diluted net loss per share for all periods presented, as their effect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 and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784,151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720,180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Share-settled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1,020,390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320,106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2,032,138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1,214,770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segment information in accordance with the provisions of Accounting Standards Codification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chief operating decision maker (“CODM”), who is the Company’s Chief Executive Officer, evaluates performance, makes operating decisions, and allocates resources based on the financial information presented on a consolidated basis using net loss. Expenses are reviewed by the nature of the cost (Cost of revenue, Sales and marketing, General and administrative and Product development), consistent with the Company’s presentation on its condensed consolidated statements of operations. There are no segment managers who are held accountable by the CODM, or anyone else, for operations, operating results and planning for levels or components below the consolidated unit level. Accordingly, management has determined that the Company operates as one operating and reportable segment. The Company identifies net loss as its required measure of segment operating profit or loss. Significant expenses within loss from operations, as well as within net loss are separately presented on the Company’s condensed consolidated statements of operations. Other segment items within net loss include Interest expense, Interest income, Other income, net, and Provision for (benefit from) income taxes.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by geographic region as of the dates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25,741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26,147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311,637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317,549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820" w:type="dxa"/>
            <w:vAlign w:val="bottom"/>
            <w:tcBorders>
              <w:bottom w:val="single" w:sz="8" w:color="auto"/>
            </w:tcBorders>
          </w:tcPr>
          <w:p>
            <w:pPr>
              <w:spacing w:after="0"/>
              <w:rPr>
                <w:sz w:val="4"/>
                <w:szCs w:val="4"/>
                <w:color w:val="auto"/>
              </w:rPr>
            </w:pPr>
          </w:p>
        </w:tc>
        <w:tc>
          <w:tcPr>
            <w:tcW w:w="5860" w:type="dxa"/>
            <w:vAlign w:val="bottom"/>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jc w:val="right"/>
        <w:ind w:left="5460" w:right="5440" w:hanging="5452"/>
        <w:spacing w:after="0" w:line="870" w:lineRule="auto"/>
        <w:tabs>
          <w:tab w:leader="none" w:pos="33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Israel, United Kingdom, Japan, France, Italy, Spain, Canada, and Singapore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The Company evaluates goodwill for impairment on an annual basis, and more frequently whenever events or substantive changes in circumstances indicate that it is more likely than not that the carrying value of a reporting unit exceeds its fair value. Assumptions used in an impairment test require significant judgment, therefore, they are subject to change based on facts and circumstances present at each date goodwill is evaluated for impairment. There were no impairments of goodwill during the three months ended March 31, 2026 and 2025.</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expectations, or a prolonged decline occurs in the market place of our common stock, it may cause a material change in the results of the impairment assessment and result in future impairment to goodwill.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2026 are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Goodwill, net</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184,902</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 (1)</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March 31, 2026 and December 31, 2025, accumulated impairment losses totaled $114.0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 - Patents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Legal costs incurred to establish patents are capitalized. When patents are issued, capitalized costs are amortized on the straight-line method over the related patent term. We review our patent portfolio on a periodic basis to determine whether events and circumstances would indicate impairment. In the event a patent is abandoned, the net book value of the patent is written off.</w:t>
      </w:r>
    </w:p>
    <w:p>
      <w:pPr>
        <w:sectPr>
          <w:pgSz w:w="11900" w:h="16838" w:orient="portrait"/>
          <w:cols w:equalWidth="0" w:num="1">
            <w:col w:w="11240"/>
          </w:cols>
          <w:pgMar w:left="320" w:top="927" w:right="339" w:bottom="1440" w:gutter="0" w:footer="0" w:header="0"/>
        </w:sectPr>
      </w:pPr>
    </w:p>
    <w:p>
      <w:pPr>
        <w:spacing w:after="0" w:line="176"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carrying amount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amortization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23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20"/>
                <w:szCs w:val="20"/>
                <w:color w:val="auto"/>
              </w:rPr>
            </w:pPr>
          </w:p>
        </w:tc>
      </w:tr>
      <w:tr>
        <w:trPr>
          <w:trHeight w:val="39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16,639</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13,409</w:t>
            </w:r>
          </w:p>
        </w:tc>
      </w:tr>
      <w:tr>
        <w:trPr>
          <w:trHeight w:val="21"/>
        </w:trPr>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7"/>
              </w:rPr>
              <w:t>10.8 years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7"/>
              </w:rPr>
              <w:t>11.0 years</w:t>
            </w:r>
          </w:p>
        </w:tc>
        <w:tc>
          <w:tcPr>
            <w:tcW w:w="60" w:type="dxa"/>
            <w:vAlign w:val="bottom"/>
            <w:gridSpan w:val="2"/>
          </w:tcPr>
          <w:p>
            <w:pPr>
              <w:spacing w:after="0"/>
              <w:rPr>
                <w:sz w:val="20"/>
                <w:szCs w:val="20"/>
                <w:color w:val="auto"/>
              </w:rPr>
            </w:pPr>
          </w:p>
        </w:tc>
      </w:tr>
    </w:tbl>
    <w:p>
      <w:pPr>
        <w:spacing w:after="0" w:line="179" w:lineRule="exact"/>
        <w:rPr>
          <w:sz w:val="20"/>
          <w:szCs w:val="20"/>
          <w:color w:val="auto"/>
        </w:rPr>
      </w:pPr>
    </w:p>
    <w:p>
      <w:pPr>
        <w:sectPr>
          <w:pgSz w:w="11900" w:h="16838" w:orient="portrait"/>
          <w:cols w:equalWidth="0" w:num="2">
            <w:col w:w="7960" w:space="720"/>
            <w:col w:w="2560"/>
          </w:cols>
          <w:pgMar w:left="320" w:top="927"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is recognized over the estimated useful life of the asset. Aggregate amortization expense for intangible assets was $0.2 million for the three months ended March 31, 2026 and March 31, 2025. There were no impairments of intangible assets during the three months ended March 31, 2026 and 2025.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March 31, 2026, estimated annual amortization expense for the next five years and thereafter is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annual basis. The following table presents the detail of property and equipment, net as of the dates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133,858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187,470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equipment and building improvements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lesser of 5 or estimated useful life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(236,319)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(231,272)</w:t>
            </w:r>
          </w:p>
        </w:tc>
        <w:tc>
          <w:tcPr>
            <w:tcW w:w="0" w:type="dxa"/>
            <w:vAlign w:val="bottom"/>
          </w:tcPr>
          <w:p>
            <w:pPr>
              <w:spacing w:after="0"/>
              <w:rPr>
                <w:sz w:val="1"/>
                <w:szCs w:val="1"/>
                <w:color w:val="auto"/>
              </w:rPr>
            </w:pPr>
          </w:p>
        </w:tc>
      </w:tr>
      <w:tr>
        <w:trPr>
          <w:trHeight w:val="27"/>
        </w:trPr>
        <w:tc>
          <w:tcPr>
            <w:tcW w:w="5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vMerge w:val="continue"/>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of property and equipment during the three months ended March 31, 2026 and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for routine maintenance and repairs are charged to operating expense as incurred. Major renewals and improvements are capitalized and depreciated over their estimated useful lives. The following table presents total depreciation and amortization expense included in the condensed consolidated statements of operations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20" w:type="dxa"/>
            <w:vAlign w:val="bottom"/>
            <w:gridSpan w:val="2"/>
            <w:shd w:val="clear" w:color="auto" w:fill="CCEEFF"/>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42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4820" w:type="dxa"/>
            <w:vAlign w:val="bottom"/>
            <w:gridSpan w:val="2"/>
            <w:shd w:val="clear" w:color="auto" w:fill="CCEEFF"/>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F-15</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and consulting and other vendor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other employee-related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(Note 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(Note 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Senior Notes, Capped Call Transactions and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2026 and Capped Calls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2020, the Company issued $517.5 million aggregate principal amount of its 2026 Notes in a private placement, of which $20.1 million aggregate principal amount was outstanding as of March 31, 2026. The 2026 Notes are senior unsecured obligations of the Company. 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$1,000 in principal amount of the 2026 Notes is convertible into 0.8862 shares of the Company’s common stock, which is equivalent to a conversion price of $1,128.39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 The Company determined that as of March 31, 2026, the likelihood of the Fundamental Change provision being triggered is remote.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“2026 Notes measurement period”) in which the “trading price” (as defined in the indenture governing the 2026 Notes) per $1,000 principal amount of 2026 Notes for each trading day of the 2026 Notes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conditions allowing holders of the 2026 Notes to convert were not met.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2026 Notes, the Company entered into privately-negotiated capped call option transactions with certain counterparties (the “2026 capped calls”). The 2026 capped calls each have a strike price of $1,128.39 per share, subject to certain adjustments, which corresponds to the conversion price of the 2026 Notes. The 2026 capped calls have cap prices of $1,583.70 per share, subject to certain adjustment events. The 2026 capped calls cover, subject to anti-dilution adjustments, approximately 0.11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deficit and are not accounted for as derivatives. The net cost of $46.1 million incurred to purchase the 2026 capped calls was recorded as a reduction to additional paid-in capital in the accompanying condensed consolidated balance sheets.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to the investor, and the investor agreed to purchase up to $50.0 million of additional 2029 Notes upon the Company’s request and subject to certain conditions (the “Delayed Draw Notes”). A corresponding portion of capped calls were terminated following the exchange and purchase as required by their terms for minimal consideration.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13, 2024, the Company repurchased $10.3 million principal amount of the 2026 Notes for $4.9 million in cash, and a corresponding portion of the 2026 capped calls were terminated following the repurchase as required by their terms for no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Debt Exchange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12, 2025 (the “Exchange Closing Date”), the Company consummated an exchange of the $341.1 million in aggregate principal amount of 2026 Notes held by certain former holders of the Company’s outstanding 2026 Notes (the “Noteholders”) for (i) an aggregate payment of $45.0 million in cash, (ii) $115.0 million in aggregate principal amount of the Company’s 10.0% Second Lien Senior Subordinated Secured Notes due 2029 (the “Second Lien Notes”), (iii) 3,555,596 shares of common stock and (iv) 26,551 shares of Series B Fixed Rate Convertible Perpetual Preferred Stock, par value $0.001 (the “Series B Preferred Stock”). On September 25, 2025, the Company issued an additional 143,192 shares of common stock to certain of the Noteholders, which shares were issued on a deferred basis due to a beneficial ownership limitation preventing such Noteholders from owning in excess of 9.90% of the outstanding common stock of the Company. In addition, a corresponding portion of the 2026 capped calls were terminated following the exchange as required by their terms for no consideration. This September 2025 Debt Exchange was accounted for as a Troubled Debt Restructuring (“TDR”) in accordance with ASC 470-60, </w:t>
      </w:r>
      <w:r>
        <w:rPr>
          <w:rFonts w:ascii="Times New Roman" w:cs="Times New Roman" w:eastAsia="Times New Roman" w:hAnsi="Times New Roman"/>
          <w:sz w:val="18"/>
          <w:szCs w:val="18"/>
          <w:i w:val="1"/>
          <w:iCs w:val="1"/>
          <w:color w:val="auto"/>
        </w:rPr>
        <w:t>Troubled Debt Restructuring by Debtors</w:t>
      </w:r>
      <w:r>
        <w:rPr>
          <w:rFonts w:ascii="Times New Roman" w:cs="Times New Roman" w:eastAsia="Times New Roman" w:hAnsi="Times New Roman"/>
          <w:sz w:val="18"/>
          <w:szCs w:val="18"/>
          <w:color w:val="auto"/>
        </w:rPr>
        <w:t>. The Company recognized a TDR gain of $27.7 million, which was presented as Gain on troubled debt restructuring in the consolidated statements of operations for the year ended December 31, 2025.</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Exchange Closing Date, the principal amount of the exchanged 2026 Notes was $341.1 million with a discount of $1.7 million for a net carrying value of $339.4 million. The Company recognized the Second Lien Notes at a carrying value of $182.0 million. Under the TDR accounting treatment, the carrying value of the Second Lien Notes of $182.0 million was comprised of the total future undiscounted cash flows which included principal of $115.0 million, the maximum interest of $58.7 million as well as a redemption premium of $8.3 million. The redemption premium is related to the contingent redemption feature where the lenders can redeem the Second Lien Notes immediately prior to their maturity upon the occurrence of a Fundamental Change as defined in the indenture governing the Second Lien Notes at 105% of the principal plus accrued but unpaid interest as discussed further below. The Company assumes contingent future payments will have to be paid and those amounts shall be included in the total future cash payments. If, in future periods, the contingency is resolved so that a contingent payment does not have to be made, the Company will recognize a gain in the period when the contingency has been resolved. Subsequently, no interest expense on the Second Lien Notes will be recorded, as all future interest payments will reduce the carrying value of the restructured debt.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unexchanged 2026 Notes, due December 15, 2026, are classified as Current portion of long-term debt in the condensed consolidated balance sheets as of March 31, 2026. The aggregate principal amount of the unexchanged 2026 Notes was $20.1 million and the carrying amount of the unexchanged 2026 Notes was $20.0 million as of March 31, 2026. The remaining term over which the unexchanged 2026 Notes’ debt issuance costs will be amortized is 0.7 years at an effective interest rate of 0.40%.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Senior Subordinated Secured Notes due 2029</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Exchange Closing Date, the Company issued $115.0 million in aggregate principal amount of Second Lien Notes as part of the September 2025 Debt Exchange transaction. The Second Lien Notes accrue interest at a rate of 10.0% per annum. Prior to March 15, 2027, all of the interest on the Second Lien Notes is payable in-kind (“PIK”). On and after March 15, 2027 and until June 15, 2028, interest will be payable, at the Company’s option, in cash or in-kind or partially in cash and partially in-kind. On and after June 15, 2028, until the maturity of the Second Lien Notes, interest on the Second Lien Notes will be payable in cash, or at the Company’s option, up to 6.0% per annum in-kind. Unless earlier repurchased or redeemed by the Company, the Second Lien Notes will mature on December 15, 2029.</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at its option, redeem the Second Lien Notes, in whole or in part, prior to September 12, 2026 at a price equal to the sum of</w:t>
      </w:r>
    </w:p>
    <w:p>
      <w:pPr>
        <w:spacing w:after="0" w:line="27" w:lineRule="exact"/>
        <w:rPr>
          <w:sz w:val="20"/>
          <w:szCs w:val="20"/>
          <w:color w:val="auto"/>
        </w:rPr>
      </w:pPr>
    </w:p>
    <w:p>
      <w:pPr>
        <w:jc w:val="both"/>
        <w:ind w:firstLine="8"/>
        <w:spacing w:after="0" w:line="250" w:lineRule="auto"/>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of the accrued and unpaid interest (including cash and PIK components thereof), (ii) 105% of the aggregate principal amount of the Second Lien Notes (including, without duplication of any amounts described in item (i), all increases to the principal amount as the result of previous payments of PIK interest) and (iii) the present value of the remaining future interest payments (including cash and PIK components thereof) through September 12, 2026, computed using a discount rate of T + 50 (such amount, the “Make Whole Amount”). On or after September 12, 2026, and prior to September 12, 2027, the Company may, at its option, redeem the Second Lien Notes, in whole or in part for an amount of cash equal to the sum of (i) 105% of the aggregate principal amount of the Second Lien Notes (including all increases to the principal amount as the result of previous payments of PIK interest) plus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of all accrued and unpaid interest (including, without duplication of any amounts described in item (i), cash and PIK components thereof). On or after September 12, 2027, and prior to September 12, 2028, the Company may, at its option, redeem the Second Lien Notes, in whole or in part for an amount of cash equal to the sum of (i) 102.5% of the aggregate principal amount of the Second Lien Notes (including all increases to the principal amount as the result of previous payments of PIK interest) plus (ii) 102.5% of all accrued and unpaid interest (including, without duplication of any amounts described in item (i), cash and PIK components thereof). From September 12, 2028 until maturity, the Company may, at its option, redeem the Second Lien Notes, in whole or in part for an amount of cash equal to the sum of (i) 100% of the aggregate principal amount of the Second Lien Notes (including all increases to the principal amount as the result of previous payments of PIK interest) plus (ii) 100% of all accrued and unpaid interest (including, without duplication of any amounts described in item (i), cash and PIK components thereof). No sinking fund is provided for the Second Lien Notes.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Second Lien Notes are guaranteed on a senior subordinated basis by certain of the Company’s direct and indirect domestic and foreign subsidiaries and secured by second lien priority security interests in substantially all of the assets of the Company and such subsidiary guarantors, subject to customary exceptions. Pursuant to an intercreditor agreement, the Second Lien Notes are subordinated in right of payment and to collateral, in each case, to the 2029 Notes. The indenture governing the Second Lien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w:t>
      </w:r>
      <w:r>
        <w:rPr>
          <w:rFonts w:ascii="Times New Roman" w:cs="Times New Roman" w:eastAsia="Times New Roman" w:hAnsi="Times New Roman"/>
          <w:sz w:val="18"/>
          <w:szCs w:val="18"/>
          <w:color w:val="212529"/>
        </w:rPr>
        <w:t>Our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comply with these covenants could result in an event of default which, if not cured or waived, could result in the acceleration of the Second Lien Notes. In the event the Second Lien Notes are accelerated prior to September 12, 2028, the applicable acceleration premium set forth in the indenture governing the Second Lien Notes will become due. </w:t>
      </w:r>
      <w:r>
        <w:rPr>
          <w:rFonts w:ascii="Times New Roman" w:cs="Times New Roman" w:eastAsia="Times New Roman" w:hAnsi="Times New Roman"/>
          <w:sz w:val="18"/>
          <w:szCs w:val="18"/>
          <w:color w:val="000000"/>
        </w:rPr>
        <w:t>The indenture governing the Second Lien Notes permits the Company and its subsidiaries to incur, subject to 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requirements, up to (i) $150.0 million of debt that is junior in lien priority and subordinated in right of payment to the Second Lien Notes, and (ii) up to $20.1 million as exchange consideration for, or the proceeds of which are used to repay, the remaining $20.1 million aggregate principal amount of 2026 Notes, which debt may be in the form of additional Second Lien Notes. No embedded derivatives were bifurcated from the Second Lien Notes as the September 2025 Debt Exchange was accounted for as a troubled debt restructuring and the Company recognized a gain in connection with the issuance of the Second Lien Notes.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governing the Second Lien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Second Lien Notes at a repurchase price equal to (i) to the Make Whole Amount, if such Fundamental Change occurs prior to September 12, 2026, or (ii) the sum of (A) 105% of the aggregate principal amount of the Second Lien Notes (including all increases to the principal amount as the result of previous payments of PIK interest) plus (B) 105% of all accrued and unpaid interest, if such Fundamental Change occurs on or after September 12,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Exchange Closing Date, the Company filed a Certificate of Designation with respect to the Series B Preferred Stock (the “Series B Certificate of Designation”) with the Secretary of State of the State of Delaware and issued to the Noteholders an aggregate 26,551 shares of Series B Preferred Stock. Each share of Series B Preferred Stock had an initial stated value (“Stated Value”) of $1,000 per share, subject to adjustment for (i) any splits, combinations, or similar adjustment and (ii) accrued unpaid dividends. The Series B Preferred Stock did not have a stated maturity and were not subject to mandatory redemption or any sinking fund, and would have remained outstanding indefinitely unless earlier converted, repurchased or redeemed.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2025, the stockholders of the Company approved the Stock Increase Charter Amendment Proposal to increase the authorized common stock share capital of the Company from 13,333,333 shares to 20,000,000 shares. The Stock Increase Charter Amendment was filed with the Secretary of State of the State of Delaware on October 3, 2025. As a result, all of the outstanding shares of Series B Preferred Stock automatically converted pursuant to the terms of the Series B Certificate of Designation, and on October 7, 2025, an aggregate 1,547,840 shares of common stock were issued to holders of the Series B Preferred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Convertible Senior Notes due 2029</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 issuance costs. At the time of the exchange, the fair value of the 2029 Notes approximated $118.1 million, and the Company recognized a debt discount of $31.9 million.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 million aggregate principal amount of its 2029 Notes, constituting the Delayed Draw Notes, for $50.0 million cash.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earlier repurchased or redeemed by the Company or converted pursuant to their terms, the 2029 Notes will mature on the earlier of (a) June 15, 2029 and (b) 91 days before the maturity of the 2026 Notes, if greater than $60.0 million principal amount of 2026 Notes remains outstanding on such date. The amount payable by the Company if the 2029 Notes mature pursuant to clause (b) will be equal to 100% of the aggregate principal amount of the 2029 Notes, plus accrued and unpaid interest, plus the remaining future interest payments that would have been payable through June 15, 2029, discounted at a rate equal to the comparable treasury rate plus 50 basis points (the “Make-Whole Amount”).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June 3, 2024, until the date of issuance of the Delayed Draw Notes, interest on the 2029 Notes accrued at a rate of 10.83% (consisting of 4.17% cash and 6.66% PIK) per annum. From the date of issuance of the Delayed Draw Notes and prior to December 15, 2026, interest on the 2029 Notes has increased and accrues at a rate of 11.375% (consisting of 4.375% cash and 7.00% PIK) per annum. On and after December 15, 2026, interest on the 2029 Notes will further increase and accrue at a rate of 13% (consisting of 5% cash and 8% PIK) per annum.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at its option, redeem the 2029 Notes, in whole or in part, prior to June 15, 2025 at a price equal to the Make-Whole Amount. On or after June 15, 2025, and prior to June 15, 2026, the Company may, at its option, redeem the 2029 Notes, in whole or in part for an amount of cash equal to the sum of (i) 106.50% of the aggregate principal amount of the 2029 Notes (including all increases to the principal amount as the result of previous payments of PIK interest) plus (ii) 106.50% of all accrued and unpaid PIK interest plus (iii) all accrued and unpaid cash interest. On or after June 15, 2026, and prior to December 15, 2026, the Company may, at its option, redeem the 2029 Notes, in whole or in part for an amount of cash equal to the sum of (i) 103.25% of the aggregate principal amount of the 2029 Notes (including all increases to the principal amount as the result of previous payments of PIK interest) plus (ii) 103.25% of all accrued and unpaid PIK interest plus (iii) all accrued and unpaid cash interest. From December 15, 2026 until maturity, the Company may, at its option, redeem the 2029 Notes, in whole or in part for an amount of cash equal to the sum of (i) 113% of the aggregate principal amount of the 2029 Notes (including all increases to the principal amount as the result of previous payments of PIK interest) plus (ii) 113% of all accrued and unpaid PIK interest plus (iii) all accrued and unpaid cash interest. No sinking fund is provided for the 2029 Notes.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Make-Whole Amount will be payable in the event of an acceleration of the 2029 Notes or repurchase triggered by certain asset sales. The indenture governing the 2029 Notes permits the Company and its subsidiaries to incur, subject to certain requirements, up to $150.0 million of debt that is junior in lien priority and subordinated in right of payment to the 2029 Notes. The indenture governing the 2029 Notes also includes a financial covenant that requires the Company at all times to maintain a minimum cash balance of $60.0 million (excluding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 The Company was in compliance with its financial covenants as of March 31, 2026.</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100% of the aggregate principal amount of the 2029 Notes to be repurchased, plus accrued and unpaid interest, plus an amount equal to 66% of the remaining future interest payments (including PIK interest) that would have been payable through June 15, 2029, discounted at a rate equal to the comparable treasury rate plus 50 basis points. The likelihood of a Fundamental Change under the 2029 Notes occurring was remote unless and until the noteholders agreed to concessions (as they did to enable the pending sale of the business) because the amounts required to satisfy the contractual obligations in connection with a Fundamental Change materially exceeded the Company’s enterprise value.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 as determined by the Company;</w:t>
      </w:r>
    </w:p>
    <w:p>
      <w:pPr>
        <w:spacing w:after="0" w:line="3" w:lineRule="exact"/>
        <w:rPr>
          <w:sz w:val="20"/>
          <w:szCs w:val="20"/>
          <w:color w:val="auto"/>
        </w:rPr>
      </w:pPr>
    </w:p>
    <w:p>
      <w:pPr>
        <w:jc w:val="both"/>
        <w:ind w:firstLine="8"/>
        <w:spacing w:after="0" w:line="250" w:lineRule="auto"/>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“2029 Notes measurement period”) in which the “trading price” (as defined in the indenture governing the 2029 Notes) per $1,000 principal amount of 2029 Notes for each trading day of the 2029 Notes measurement period was less than 98% of the product of the last reported sale price of the Company’s common stock and the product of (x) the quotient of (i) the “conversion amount” (as defined in the Indenture) in respect of $1,000 principal amount of the 2029 Notes on such trading day divided by (ii) 1,000 times</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$60.0 million on August 16, 2026. On or after February 15, 2029, holders may convert all or any portion of their 2029 Notes at any time prior to the close of business on June 13, 2029, regardless of the foregoing circumstances. The 2029 Notes include certain embedded features requiring bifurcation, which did not have material values as of March 31, 2026 due to management’s estimates of the likelihood of triggering events, but that may have value in the future should those estimates change, with any change in fair value recorded in the Company’s condensed consolidated statements of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2029 Notes (including all accrued and unpaid interest) are convertible at the option of the holders at certain times into cash based on a daily conversion value calculated on a proportionate basis for each trading day in a 50 trading day observation period, corresponding to 0.8862 shares of the Company’s common stock per $1,000 principal amount of 2029 Notes. The Company is not required to deliver its common stock upon conversion under any circumstances. The conversion rate for the 2029 Notes is subject to adjustment if certain events occur and contains customary anti-dilution protections. During the three months ended March 31, 2026, the conditions allowing holders of the 2029 Notes to convert were not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2029 Notes, including the Delayed Draw Notes, are accounted for as a single liability, and the combined carrying amount is $191.8 million as of March 31, 2026, consisting of principal of $221.9 million, net of unamortized issuance costs of $5.8 million and debt discount of $24.3 million. The 2029 Notes were classified as long-term liabilities in the condensed consolidated balance sheets as of March 31, 2026. The remaining term over which the 2029 Notes’ debt issuance costs will be amortized is 3.2 years at an effective interest rate of 19.13% for the 2029 Notes and 13.28% for the Delayed Draw Notes as of March 31, 2026. The 2029 Notes and the Delayed Draw Notes had an effective interest rate of 19.13% and 13.28%, respectively, as of December 31, 2025.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Unamortized debt issuance costs incurred in connection with securing the Company’s financing arrangements are presented in the condensed consolidated balance sheets as a direct deduction from the carrying amount of the outstanding borrowings, consistent with debt discounts. All deferred financing costs are amortized to interest expense. The net carrying amount of the liability component of the Notes as of March 31, 2026 and December 31, 2025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7"/>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20"/>
              <w:spacing w:after="0" w:line="197" w:lineRule="exact"/>
              <w:rPr>
                <w:sz w:val="20"/>
                <w:szCs w:val="20"/>
                <w:color w:val="auto"/>
              </w:rPr>
            </w:pPr>
            <w:r>
              <w:rPr>
                <w:rFonts w:ascii="Times New Roman" w:cs="Times New Roman" w:eastAsia="Times New Roman" w:hAnsi="Times New Roman"/>
                <w:sz w:val="18"/>
                <w:szCs w:val="18"/>
                <w:b w:val="1"/>
                <w:bCs w:val="1"/>
                <w:color w:val="auto"/>
                <w:w w:val="99"/>
              </w:rPr>
              <w:t>Second Lien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20"/>
              <w:spacing w:after="0" w:line="197" w:lineRule="exact"/>
              <w:rPr>
                <w:sz w:val="20"/>
                <w:szCs w:val="20"/>
                <w:color w:val="auto"/>
              </w:rPr>
            </w:pPr>
            <w:r>
              <w:rPr>
                <w:rFonts w:ascii="Times New Roman" w:cs="Times New Roman" w:eastAsia="Times New Roman" w:hAnsi="Times New Roman"/>
                <w:sz w:val="18"/>
                <w:szCs w:val="18"/>
                <w:b w:val="1"/>
                <w:bCs w:val="1"/>
                <w:color w:val="auto"/>
                <w:w w:val="99"/>
              </w:rPr>
              <w:t>Second Lien</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82"/>
        </w:trPr>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2026 Notes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1"/>
              </w:rPr>
              <w:t xml:space="preserve">Notes </w:t>
            </w:r>
            <w:r>
              <w:rPr>
                <w:rFonts w:ascii="Times New Roman" w:cs="Times New Roman" w:eastAsia="Times New Roman" w:hAnsi="Times New Roman"/>
                <w:sz w:val="29"/>
                <w:szCs w:val="29"/>
                <w:b w:val="1"/>
                <w:bCs w:val="1"/>
                <w:color w:val="auto"/>
                <w:w w:val="91"/>
                <w:vertAlign w:val="superscript"/>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2026 Notes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20" w:type="dxa"/>
            <w:vAlign w:val="bottom"/>
          </w:tcPr>
          <w:p>
            <w:pPr>
              <w:spacing w:after="0"/>
              <w:rPr>
                <w:sz w:val="24"/>
                <w:szCs w:val="24"/>
                <w:color w:val="auto"/>
              </w:rPr>
            </w:pPr>
          </w:p>
        </w:tc>
        <w:tc>
          <w:tcPr>
            <w:tcW w:w="1100" w:type="dxa"/>
            <w:vAlign w:val="bottom"/>
            <w:gridSpan w:val="2"/>
          </w:tcPr>
          <w:p>
            <w:pPr>
              <w:jc w:val="center"/>
              <w:ind w:right="440"/>
              <w:spacing w:after="0" w:line="276" w:lineRule="exact"/>
              <w:rPr>
                <w:sz w:val="20"/>
                <w:szCs w:val="20"/>
                <w:color w:val="auto"/>
              </w:rPr>
            </w:pPr>
            <w:r>
              <w:rPr>
                <w:rFonts w:ascii="Times New Roman" w:cs="Times New Roman" w:eastAsia="Times New Roman" w:hAnsi="Times New Roman"/>
                <w:sz w:val="18"/>
                <w:szCs w:val="18"/>
                <w:b w:val="1"/>
                <w:bCs w:val="1"/>
                <w:color w:val="auto"/>
                <w:w w:val="94"/>
              </w:rPr>
              <w:t xml:space="preserve">Notes </w:t>
            </w:r>
            <w:r>
              <w:rPr>
                <w:rFonts w:ascii="Times New Roman" w:cs="Times New Roman" w:eastAsia="Times New Roman" w:hAnsi="Times New Roman"/>
                <w:sz w:val="29"/>
                <w:szCs w:val="29"/>
                <w:b w:val="1"/>
                <w:bCs w:val="1"/>
                <w:color w:val="auto"/>
                <w:w w:val="94"/>
                <w:vertAlign w:val="superscript"/>
              </w:rPr>
              <w:t>(1)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221,877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181,952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423,954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221,877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$ 423,954</w:t>
            </w:r>
          </w:p>
        </w:tc>
        <w:tc>
          <w:tcPr>
            <w:tcW w:w="60" w:type="dxa"/>
            <w:vAlign w:val="bottom"/>
            <w:shd w:val="clear" w:color="auto" w:fill="CCEEFF"/>
          </w:tcPr>
          <w:p>
            <w:pPr>
              <w:spacing w:after="0"/>
              <w:rPr>
                <w:sz w:val="18"/>
                <w:szCs w:val="18"/>
                <w:color w:val="auto"/>
              </w:rPr>
            </w:pPr>
          </w:p>
        </w:tc>
      </w:tr>
      <w:tr>
        <w:trPr>
          <w:trHeight w:val="198"/>
        </w:trPr>
        <w:tc>
          <w:tcPr>
            <w:tcW w:w="1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Unamortized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(25,955)</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(25,955)</w:t>
            </w:r>
          </w:p>
        </w:tc>
      </w:tr>
      <w:tr>
        <w:trPr>
          <w:trHeight w:val="198"/>
        </w:trPr>
        <w:tc>
          <w:tcPr>
            <w:tcW w:w="1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Unamortized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8"/>
        </w:trPr>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(5,864)</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(6,142)</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171"/>
        </w:trPr>
        <w:tc>
          <w:tcPr>
            <w:tcW w:w="13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Total net</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34"/>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carrying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191,771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393,794</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189,780</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181,952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391,784</w:t>
            </w:r>
          </w:p>
        </w:tc>
        <w:tc>
          <w:tcPr>
            <w:tcW w:w="60" w:type="dxa"/>
            <w:vAlign w:val="bottom"/>
          </w:tcPr>
          <w:p>
            <w:pPr>
              <w:spacing w:after="0"/>
              <w:rPr>
                <w:sz w:val="20"/>
                <w:szCs w:val="20"/>
                <w:color w:val="auto"/>
              </w:rPr>
            </w:pPr>
          </w:p>
        </w:tc>
      </w:tr>
      <w:tr>
        <w:trPr>
          <w:trHeight w:val="198"/>
        </w:trPr>
        <w:tc>
          <w:tcPr>
            <w:tcW w:w="1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Current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portion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8"/>
        </w:trPr>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(20,071)</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(20,052)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w:t>
            </w:r>
          </w:p>
        </w:tc>
      </w:tr>
      <w:tr>
        <w:trPr>
          <w:trHeight w:val="171"/>
        </w:trPr>
        <w:tc>
          <w:tcPr>
            <w:tcW w:w="13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Carrying value of</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82"/>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net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191,771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181,952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373,723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189,780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181,952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$ 371,732</w:t>
            </w:r>
          </w:p>
        </w:tc>
        <w:tc>
          <w:tcPr>
            <w:tcW w:w="6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$115.0 million of outstanding principal amount of Second Lien Notes, plus the maximum interest of $58.7 million as well as a redemption premium of $8.3 million.</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the interest expense recognized related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interest expense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198"/>
        </w:trPr>
        <w:tc>
          <w:tcPr>
            <w:tcW w:w="240" w:type="dxa"/>
            <w:vAlign w:val="bottom"/>
          </w:tcPr>
          <w:p>
            <w:pPr>
              <w:spacing w:after="0"/>
              <w:rPr>
                <w:sz w:val="17"/>
                <w:szCs w:val="17"/>
                <w:color w:val="auto"/>
              </w:rPr>
            </w:pPr>
          </w:p>
        </w:tc>
        <w:tc>
          <w:tcPr>
            <w:tcW w:w="2220" w:type="dxa"/>
            <w:vAlign w:val="bottom"/>
            <w:gridSpan w:val="4"/>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7"/>
                <w:szCs w:val="17"/>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0" w:type="dxa"/>
            <w:vAlign w:val="bottom"/>
          </w:tcPr>
          <w:p>
            <w:pPr>
              <w:spacing w:after="0"/>
              <w:rPr>
                <w:sz w:val="18"/>
                <w:szCs w:val="18"/>
                <w:color w:val="auto"/>
              </w:rPr>
            </w:pPr>
          </w:p>
        </w:tc>
      </w:tr>
      <w:tr>
        <w:trPr>
          <w:trHeight w:val="229"/>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0" w:type="dxa"/>
            <w:vAlign w:val="bottom"/>
          </w:tcPr>
          <w:p>
            <w:pPr>
              <w:spacing w:after="0"/>
              <w:rPr>
                <w:sz w:val="21"/>
                <w:szCs w:val="2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line="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2024, pursuant to the Exchange and Purchase Agreement, the Company issued to the investor 10-year warrants with a strike price of $11.25 per share, exercisable for 649,782 shares of the Company’s common stock and 10-year warrants with a strike price of $11.25 per share, exercisable with respect to a notional amount of 156,318 shares of the Company’s common stock for cash payments equal to the excess of “fair market value” (as defined therein) per share over the strike price, fully diluted subject to certain adjustments. In August 2025, Warrants with a notional amount of 200,000 shares were settled and a gain of $1.3 million related to the fair value adjustment on settlement date was recognized in Other (expense) income, net in the consolidated statements of operations for the year ended December 31,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cash-settled warrants will permit the Company, subject to certain conditions (including to the extent that the Company, following payment, would have “available cash” (as defined therein) of less than $100.0 million), to defer payment of the settlement amount at an annualized interest rate of 6.0%,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Warrants contain customary anti-dilution protections. The triggers for the anti-dilution adjustments include (a) subdivision, combination or reclassification of the outstanding shares of common stock into a greater or smaller number of shares, (b) certain below market issuances of common stock,</w:t>
      </w:r>
    </w:p>
    <w:p>
      <w:pPr>
        <w:jc w:val="both"/>
        <w:ind w:firstLine="8"/>
        <w:spacing w:after="0" w:line="253"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issuances of common stock at a price that is less than the strike price of the Warrant, (d) certain issuances of a dividend or distribution to all holders of common stock, (e) an above market tender offer or exchange offer by the Company for common stock. Pursuant to the anti-dilution terms of the Warrants, and giving effect to the settlement of Warrants with respect to a notional amount of 200,000 shares, the aggregate notional amount of the Warrants increased to 1,047,514 shares as of March 31, 2026.</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“Cash/Public Acquisition” (as defined therein), the Warrants may be automatically exercised, cash settled or expire, depending on the fair market value per share. The Warrants contain a beneficial ownership limitation on the investor’s ownership of the Company’s common stock, on a post-exercise basis (aggregating all securities convertible into or exercisable for the Company’s common stock), of 4.99%, subject to increase upon 61 days’ notice by the investor, but not to exceed 9.99%.</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Warrants were classified as current liabilities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in the Company’s condensed consolidated balance sheets and recorded at fair value of $5.3 million at the issuance date with subsequent changes in fair value recorded in the Company’s condensed consolidated statements of operations. As of March 31, 2026, the Warrants had a fair value of $1.9 million. A gain of $1.1 million and a gain of $8.8 million for the change in fair value were recorded in Other (expense) income, net, in the Company’s condensed consolidated statements of operations for the three months ended March 31, 2026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87"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2026 and December 31, 2025,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43,375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Warrants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jc w:val="right"/>
              <w:ind w:right="447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Warrants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jc w:val="right"/>
              <w:ind w:right="447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Warrants liability was measured at fair value on a recurring basis and was classified as Level 3 within the fair value hierarchy. Significant changes in unobservable inputs could result in significantly lower or higher fair value measurements.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Estimated fair values are Level 3 measures in the fair value hierarchy.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estimated fair value of outstanding balances of the Notes as of the dates presented are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of</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Debt Issuance</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Debt Discount</w:t>
            </w: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3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Notes</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20,125</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 Notes</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198,592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221,877</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Lien 2029 Notes</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181,952</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181,952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Notes</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20,125</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 Notes</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200,601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221,877</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Lien 2029 Notes</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61,497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181,952</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determined the fair value of 2026 Notes by using Level 2 inputs based on observable market prices for the instrument and similar instruments. Management determined the fair value of the 2029 Notes and Delayed Draw Notes as of March 31, 2026 by using Level 3 inputs, including volatility of 15.00%, yield of 17.50%, risk-free rate of 3.82%, and credit spread of 13.90%. Management determined the fair value of the Second Lien Notes as of March 31, 2026 by using Level 3 inputs, including volatility of 15.00%, yield of 30.00%, risk-free rate of 3.85% and credit spread of 26.69%.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determined the fair value of the 2029 Notes as of December 31, 2025 by using Level 3 inputs, including the volatility of 15.00%, yield of 16.00%, risk-free rate of 3.59% and credit spread of 12.81%. Management determined the fair value of the Second Lien Notes as of December 31, 2025 by using Level 3 inputs, including volatility of 15.00%, yield of 30.00%, risk-free rate of 3.64% and credit spread of 24.60%. A change in those inputs to a different amount might result in a significantly higher or lower fair value measurement.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the fair value of the Warrants upon issuance using the Black-Scholes valuation model and is required to revalue these Warrants at each reporting date with any changes in fair value recorded on the Company’s condensed consolidated statements of operations. The valuation of the Warrants was classified as Level 3 within the fair value hierarchy and is influenced by the fair value of the underlying, or notional amount of, common stock of the Company. A summary of the Black-Scholes pricing model assumptions used to record the fair value of the Warrants as of March 31, 2026 and 2025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78.00%</w:t>
            </w:r>
          </w:p>
        </w:tc>
      </w:tr>
    </w:tbl>
    <w:p>
      <w:pPr>
        <w:spacing w:after="0" w:line="17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Any significant changes in the inputs may result in significantly higher or lower fair value measurements. Refer to Note 8 – </w:t>
      </w:r>
      <w:r>
        <w:rPr>
          <w:rFonts w:ascii="Times New Roman" w:cs="Times New Roman" w:eastAsia="Times New Roman" w:hAnsi="Times New Roman"/>
          <w:sz w:val="18"/>
          <w:szCs w:val="18"/>
          <w:i w:val="1"/>
          <w:iCs w:val="1"/>
          <w:color w:val="auto"/>
        </w:rPr>
        <w:t>Senior Notes, Capped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Call Transactions and Warrants </w:t>
      </w:r>
      <w:r>
        <w:rPr>
          <w:rFonts w:ascii="Times New Roman" w:cs="Times New Roman" w:eastAsia="Times New Roman" w:hAnsi="Times New Roman"/>
          <w:sz w:val="18"/>
          <w:szCs w:val="18"/>
          <w:color w:val="auto"/>
        </w:rPr>
        <w:t>for additional information.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center"/>
        <w:ind w:left="26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43"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fair value of the Level 3 Warrants as of the dates presented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Settlement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the fair value of Warrants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spacing w:after="0"/>
              <w:rPr>
                <w:sz w:val="17"/>
                <w:szCs w:val="17"/>
                <w:color w:val="auto"/>
              </w:rPr>
            </w:pPr>
          </w:p>
        </w:tc>
        <w:tc>
          <w:tcPr>
            <w:tcW w:w="2340" w:type="dxa"/>
            <w:vAlign w:val="bottom"/>
            <w:gridSpan w:val="4"/>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7"/>
                <w:szCs w:val="17"/>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17,498</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2,999</w:t>
            </w:r>
          </w:p>
        </w:tc>
        <w:tc>
          <w:tcPr>
            <w:tcW w:w="40" w:type="dxa"/>
            <w:vAlign w:val="bottom"/>
          </w:tcPr>
          <w:p>
            <w:pPr>
              <w:spacing w:after="0"/>
              <w:rPr>
                <w:sz w:val="21"/>
                <w:szCs w:val="2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4" w:lineRule="exact"/>
        <w:rPr>
          <w:sz w:val="20"/>
          <w:szCs w:val="20"/>
          <w:color w:val="auto"/>
        </w:rPr>
      </w:pPr>
    </w:p>
    <w:p>
      <w:pPr>
        <w:sectPr>
          <w:pgSz w:w="11900" w:h="16838" w:orient="portrait"/>
          <w:cols w:equalWidth="0" w:num="2">
            <w:col w:w="8560" w:space="120"/>
            <w:col w:w="2560"/>
          </w:cols>
          <w:pgMar w:left="320" w:top="900" w:right="339" w:bottom="1440" w:gutter="0" w:footer="0" w:header="0"/>
        </w:sectPr>
      </w:pP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 defined contribution plan covering all eligible employees. The Company’s 401(k) policy is a Safe Harbor Plan, whereby the Company matches 100% of the first 3% of eligible compensation and 50% of the next 2% of eligible compensation. The match is immediately vested. Salaries and related expenses include $0.4 million and $0.7 million of employer matching contributions for the three months ended March 31, 2026 and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letters of credit totaling $0.5 million outstanding as a security deposit for the due performance by the Company of the terms and conditions of a supply contract.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purchase obligations consist of agreements to purchase goods and services entered into in the ordinary course of business. The Company has purchase obligation agreements primarily relating to contracts with vendors in connection with Information Technology (“IT”) infrastructure and cloud computing services with remaining terms of one year or less. In September 2025, the Company entered into a new three-year contract for $76.4 million in purchase commitments over a three-year term. Total purchase commitments remaining as of March 31, 2026 including those under this contract are as follows: $19.9 million for the remainder of 2026, $25.3 million for 2027, and $25.2 million for 2028.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March 31, 2026 and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Deficit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there were 20,000,000 shares of common stock authorized, 12,285,554 shares issued, and 12,101,150 shares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value for the common stock is $0.001 per 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stock-based compensation generally includes stock options, restricted stock units (“RSUs”), performance-vesting restricted stock units (“PRSUs”), and purchases under the Company’s 2019 Employee Stock Purchase Plan (the “ESPP”).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 There were no PRSUs granted during the three months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The number of shares authorized for issuance under the 2019 Stock Incentive Plan as of March 31, 2026 was 3,487,182 shares. Options to acquire common stock granted under the 2019 Stock Incentive Plan have ten-year terms. As of March 31, 2026, 43,123 shares of common stock remained available for issuance (taking into account all stock option exercises and other equity award settlements through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authorized for issuance under the ESPP as of March 31, 2026 was 300,000 shares. As of March 31, 2026, 92,972 shares of common stock remained available for issuance under the ESPP (taking into account all share purchases through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1,027,489 shares of common stock authorized and reserved for issuance under the Inducement Plan. As of March 31, 2026, 77,746 shares of common stock remained available for issuance under the Inducement Plan (taking into account all option exercises and other equity award settlements through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stock option activity and weighted average exercise prices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Stock Option Activity</w:t>
            </w: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at December 31, 2025</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5.92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expired</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461.55</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at March 31, 2026</w:t>
            </w: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180.47</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3.91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2.73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exercised during the three months ended March 31, 2026 and 2025 was immaterial. As of March 31, 2026, there was $0.4 million of total unrecognized compensation cost related to nonvested share-based compensation arrangements. That cost is expected to be recognized over a weighted average period of approximately 1.4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and Performance-Vesting Restricted Stock Unit Activity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Company’s RSU and PRSU activity and weighted average grant date fair value for the three months ended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 share)</w:t>
            </w: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at December 31,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and outstanding at March 31, 2026</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granted to employees generally vest over a one to four-year period, or upon achievement of certain performance conditions. As of March 31, 2026, total unrecognized compensation cost, adjusted for estimated forfeitures, related to nonvested RSUs was $5.4 million and the weighted-average remaining vesting period was 0.95 years.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PRSUs granted during the three months ended March 31, 2026 and 2025, respectively. The PRSUs that vested in the third quarter of 2025 were settled and distributed during the three months ended March 31, 2026.</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stock-based compensation costs included in the condensed consolidated statements of operations for the three months ended March 31, 2026 and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7"/>
        </w:trPr>
        <w:tc>
          <w:tcPr>
            <w:tcW w:w="3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vMerge w:val="continue"/>
            <w:shd w:val="clear" w:color="auto" w:fill="CCEEFF"/>
          </w:tcPr>
          <w:p>
            <w:pPr>
              <w:spacing w:after="0"/>
              <w:rPr>
                <w:sz w:val="21"/>
                <w:szCs w:val="21"/>
                <w:color w:val="auto"/>
              </w:rPr>
            </w:pPr>
          </w:p>
        </w:tc>
        <w:tc>
          <w:tcPr>
            <w:tcW w:w="5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F-27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LivePerson has undertaken several restructuring initiatives to realign the Company’s cost structure with its current business model, a changing competitive environment and changes in the Company’s commercial performance. In September 2025, the Company initiated a new restructuring plan to reduce cash expenditures to align with the Company’s current commercial performance, resulting in a charge of $11.7 million for the year ended December 31, 2025. The Company recognized no restructuring costs during the three months ended March 31, 2026, and $1.3 million during the three months ended March 31, 2025, which included severance and other compensation costs and are recorded in Restructuring costs in the condensed consolidated statements of operations. The 2025 restructuring activities were considered to be substantially completed as of December 31, 2025.</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costs, which is included within Accrued expenses and other current liabilities within the condensed consolidated balance sheets as of March 31, 2026 and December 31, 2025:</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Severance and other associated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payments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Legal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Litigation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spacing w:after="0"/>
              <w:rPr>
                <w:sz w:val="17"/>
                <w:szCs w:val="17"/>
                <w:color w:val="auto"/>
              </w:rPr>
            </w:pPr>
          </w:p>
        </w:tc>
        <w:tc>
          <w:tcPr>
            <w:tcW w:w="2340" w:type="dxa"/>
            <w:vAlign w:val="bottom"/>
            <w:gridSpan w:val="4"/>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7"/>
                <w:szCs w:val="17"/>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3,028</w:t>
            </w: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11,667</w:t>
            </w:r>
          </w:p>
        </w:tc>
        <w:tc>
          <w:tcPr>
            <w:tcW w:w="40" w:type="dxa"/>
            <w:vAlign w:val="bottom"/>
          </w:tcPr>
          <w:p>
            <w:pPr>
              <w:spacing w:after="0"/>
              <w:rPr>
                <w:sz w:val="18"/>
                <w:szCs w:val="18"/>
                <w:color w:val="auto"/>
              </w:rPr>
            </w:pP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40" w:type="dxa"/>
            <w:vAlign w:val="bottom"/>
          </w:tcPr>
          <w:p>
            <w:pPr>
              <w:spacing w:after="0"/>
              <w:rPr>
                <w:sz w:val="21"/>
                <w:szCs w:val="2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4"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In May 2024, the plaintiff filed an amended complaint. The Company moved to dismiss the amended complaint in August 2024, and in March 2025, the court granted the Company’s motion and dismissed the action with prejudice. In April 2025, the plaintiff appealed the decision to the United States Court of Appeals for the Second Circuit and in March 2026, the dismissal was affirmed but the case was remanded to the district court with leave for the plaintiff to try to replead his complaint. A second amended complaint was filed, and the parties are currently briefing a renewed motion to dismiss. A parallel litigation on behalf of stockholders who purchased their shares on the Tel Aviv Stock Exchange, entitled Weissbrod v. LivePerson, Inc., is pending in the Tel Aviv District Court in Israel, but has been stayed pending further developments in the Damri case.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members of the current Board of Directors and several former Directors. The Marti litigation claims that the Company itself was harmed by the same acts and omissions underlying the Damri federal securities lawsuit and seeks to recover unspecified losses on behalf of the Company. Between June and September 2024, four other purported derivative actions were filed by purported stockholders of the Company against the Company’s former Chief Executive Officer, its Chief Financial Officer, members of the current Board of Directors and several former Directors. These four purported derivative actions, similar to the Marti litigation, claim that the Company itself was harmed by the same acts and omissions underlying the Damri federal securities lawsuit, and seek to recover unspecified losses on behalf of the Company. The four actions are entitled: (i) Steffens v. Block, No. 1:24-cv-04481, filed in the United States District Court for the Southern District of New York; (ii) Ravi v. LoCascio, Index No. 653498/2024, filed in the Supreme Court of the State of New York, New York County; (iii) Morales v. LoCascio, No. 1:24-cv-05297, filed in the United States District Court for the Southern District of New York; and (iv) Perkins v. LoCascio, Index No. 654992/2024, filed in the Supreme Court of the State of New York, New York County. The Marti, Steffens and Morales cases are stayed, and the Perkins case is in abeyance, pending further developments in the Damri case.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alleged common law fraud, fraudulent inducement and negligent misrepresentation in connection with an alleged scheme to induce Starboard to settle its 2022 proxy contest against the Company and, as stated in the complaint, involved previous Starboard allegations of misrepresentations in the Company’s public disclosures that the Company previously informed Starboard were found to be unsubstantiated following an independent investigation. Starboard sought damages for its trading losses and purported lost anticipated profits. The defendants filed an answer denying the substantive allegations of the complaint, the parties engaged in discovery, and in July 2025, the litigation was settled. The settlement did not have an impact on the Company’s condensed consolidated statements of operations, as the cost was covered by insurance.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2026, Vector Capital VI, L.P. filed a lawsuit in the Court of Chancey of the State of Delaware against the members of the Company’s board of directors who voted in favor of the Company’s September 2025 Debt Exchange transaction. The action, entitled Vector Capital VI, L.P. v. Miller, C.A. No. 2026-0536, alleges that the September 2025 Debt Exchange constituted a breach of fiduciary duty by the board, was unfairly coercive, frustrated stockholder voting rights and improperly diluted the value of the Company’s common stock. The complaint seeks unspecified damages. The Company, on behalf of the directors, will be moving to dismiss the complaint.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COVID-Related Matters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discontinued all products and services related to COVID-19, and has responded to and intends to continue to cooperate with governmental inquiries related to its previous engagement in COVID-19 related product and service offerings.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Administrative, Governmental and Regulatory Matters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the Company’s business, as well as Actions brought against the Company’s customers for which the Company has a contractual indemnification obligation.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Regardless of the outcome, Actions can have an adverse impact on the Company because of defense and/or settlement costs, diversion of management resources, reputational risks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accrues for certain contingencies when it is both probable that a liability has been incurred and the amount of the loss can be reasonably estimated and discloses certain contingencies for which no accrual has been made as appropriate and in compliance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includes interest accrued on the underpayment of income taxes and certain interest expense and penalties, if any, related to unrecognized tax benefits as a component of the income tax provision. The Company recorded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One Big Beautiful Bill Act (“OBBBA”) was signed into law on July 4, 2025, and makes changes to the deductibility of certain business expenditures including interest expense, research and development expenditures, and property and equipment, and makes changes to elements of U.S. cross-border taxation. OBBBA allows taxpayers to make an election to accelerate the deductions over one year or two years. The Company implemented the changes enacted under OBBBA and is currently evaluating the impact of the elections available.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 tax provision of $0.3 million. This consisted of a tax provision on operating earnings of non-US subsidiaries, a tax expense on UK stock compensation windfall, and interest accrual on unrecognized tax benefits in Israel. For the three months ended March 31, 2025, the Company recorded a tax benefit of $0.3 million. This consisted of a tax provision on operating earnings of non-US subsidiaries, a tax benefit on an increase in tax receivables, and interest accrual on unrecognized tax benefits in Israel.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a valuation allowance on certain deferred tax assets for the year ended December 31, 2025 of $243.2 million. Inherent in the Company’s 2026 annual effective tax rate is an estimated increase in the valuation allowance of $3.6 million, all of which would be recorded as an expense. During 2025, an increase in the valuation allowance in the amount of $8.6 million was recorded as an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Repurchase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7, 2026, the Company repurchased $5.2 million principal amount of the 2026 Notes for $3.0 million in cash. Following this transaction, the aggregate principal amount and carrying value of the 2026 Notes were reduced to $15.0 million. A corresponding portion of the 2026 capped calls were terminated following the repurchase as required by their terms for no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2026, LivePerson entered into a Merger Agreement (the “Merger Agreement”), by and among LivePerson, SoundHound AI, Inc., a Delaware corporation, and Lightspeed Merger Sub Inc., a Delaware corporation and an indirect wholly owned subsidiary of SoundHound (“Merger Sub”), pursuant to which, on the terms and subject to the conditions set forth in the Merger Agreement, Merger Sub will merge with and into LivePerson (the “Merger”), with LivePerson surviving the Merger as an indirect wholly owned subsidiary of SoundHound. All capitalized terms used in this summary of the Merger Agreement that are not otherwise defined herein have the meanings ascribed to such terms in the Merger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Merger becomes effective (the “Effective Time”), each share of LivePerson’s common stock issued and outstanding immediately prior to the Effective Time (other than certain excluded shares) will be automatically converted into the right to receive a number of shares of Class A common stock of SoundHound, par value $0.0001 per share (“SoundHound Common Stock”) equal to (a) the Closing Merger Consideration (as defined below), divided by (b) the total number of shares of LivePerson common stock that are issued and outstanding, or that are issuable upon the conversion, exercise or settlement in full of any rights to acquire LivePerson’s common stock, as of immediately prior to the Effective Time (such number of shares, the “Fully Diluted Common Number”, and the result of the calculation set forth in the foregoing clauses (a) and (b), the “Per Share Merger Consideration”). It is intended that the Merger be treated as a transaction in which gain or loss is recognized for U.S. federal income tax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LivePerson’s common stock in connection with the Merger pursuant to the terms of the Merger Agreement will be a number of shares of SoundHound Common Stock equal to the quotient of (a) the Aggregate Consideration Amount (as defined below), divided by (b) the SoundHound Closing Stock Price (the “Closing Merger Consideration”).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“Aggregate Consideration Amount” refers to an amount equal to (a) $42,784,532.64, minus (b) the LivePerson Shortfall Cash (as defined below), plus (c) the aggregate dollar amount of the exercise prices of all In-the-Money Options (as defined below) (other than options assumed by SoundHound and converted into an option to acquire shares of SoundHound Common Stock, in accordance with the terms of the Merger Agreement). “LivePerson Shortfall Cash” refers to an amount equal to (x) $74,000,000 (or, solely for purposes of the Merger Agreement, $71,000,000 if the Closing occurs in July), minus (y) the aggregate principal amount of the 2026 Notes repurchased by LivePerson between April 1, 2026 and the closing of the Merger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 weighted average prices of a share of SoundHound Common Stock on the Nasdaq on each of the ten (10) consecutive trading days ending on (and including) the trading day that is three (3) trading days prior to the Closing Date, rounded down to the nearest penny, as reported by Bloomberg; provided that, in the event such price per share (I) exceeds $12 per share, “SoundHound Closing Stock Price” will be $12 per share or (II) falls below $7 per share, “SoundHound Closing Stock Price” will be $7 per share.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completion of the Merger is subject to customary closing conditions, including, among others (a) the adoption of the Merger Agreement by the stockholders of LivePerson; (b) the absence of any law, order or other legal impediment prohibiting the consummation of the Merger; (c) the receipt of approvals under certain applicable foreign direct investment laws; (d) the approval for listing the shares of SoundHound Common Stock issuable to the stockholders of LivePerson pursuant to the Merger Agreement on the Nasdaq; (e) the effectiveness of SoundHound’s registration statement on Form S-4; (f) the accuracy of the parties’ respective representations and warranties in the Merger Agreement, subject to specified materiality qualifications; (g) the performance or compliance by SoundHound and LivePerson with the covenants in the Merger Agreement in all material respects; (h) the absence of a material adverse effect on LivePerson (as defined in the Merger Agreement); and (i) the consummation of the Notes Restructuring Transactions (as defined below).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SoundHound, Merger Sub and LivePerson, including, among others, covenants by LivePerson regarding the conduct of its business during the pendency of the transactions contemplated by the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Both SoundHound and LivePerson may terminate the Merger Agreement under specified circumstances, including (a) if the Merger is not completed by October 21, 2026 (which date may be extended to December 5, 2026 if certain regulatory approvals have not been obtained); (b) if LivePerson fails to obtain stockholder approval; (c) if LivePerson’s board of directors makes an adverse recommendation change with respect to the Merger or commits a material breach of its non-solicitation obligations; (d) if LivePerson’s board of directors terminates to accept a superior acquisition proposal; or (e) if the Notes Restructuring Transactions are terminated for any reason. The Merger Agreement further provides that LivePerson is required to pay SoundHound a termination fee of $5,000,000, plus SoundHound’s transaction expenses, if the Merger Agreement is terminated under certain specified circumstances, including if LivePerson’s board of directors changes or withdraws its recommendation of the Merger, terminates the Merger Agreement to enter into an agreement with respect to a superior acquisition proposal or if the Notes Restructuring Transactions terminate for any reason or otherwise fail to consummate by the Outside Date (as defined in the Merger Agreement), except where such termination or failure to consummate primarily resulted from SoundHound’s material breach of the Notes Restructuring Agreement; provided that where a termination fee is payable in connection with the failure to consummate, or termination of, the Note Restructuring Transactions, the obligation to reimburse SoundHound’s transaction expenses will be capped at $3,750,000.</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contemplated thereby, including the Merger (collectively, the “Transactions”) have been unanimously approved by LivePerson’s board of directors, and LivePerson’s board of directors has resolved to recommend to the stockholders of LivePerson to adopt the Merger Agreement, subject to its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Notes Restructuring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SoundHound entered into a Notes Restructuring Agreement (the “Notes Restructuring Agreement”) with LivePerson and each of the holders of the 2029 Notes and the Second Lien Notes (together with the 2029 Notes, the “Secured Notes”),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“Notes Restructuring Transactions”).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2029 Notes has agreed to accept, in full and complete satisfaction of all obligations of LivePerson to such holder, (a) a number of shares of SoundHound Common Stock equal to the quotient of (i) $178,007,733.68 (the “First Lien Holder Aggregate Consideration Amount”), divided by (ii) the SoundHound Closing Stock Price and (b) an amount in cash paid by LivePerson concurrently with Closing in the amount of (i) accrued and unpaid interest on the 2029 Notes held by such holder, plus (ii) 65% of any LivePerson Excess Cash.</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Second Lien Notes has agreed to accept, in full and complete satisfaction of all obligations of LivePerson to such holder, such holder’s pro rata portion of (a) a number of shares of SoundHound Common Stock equal to the quotient of (i) $83,207,733.68 (the “Second Lien Holder Aggregate Consideration Amount”), divided by (ii) the SoundHound Closing Stock Price and (b) an amount in cash equal to (i) the principal amount of any 2026 Notes repurchased and retired by LivePerson between April 1, 2026 and the Closing, minus (ii) the amount of cash paid to repurchase such 2026 Notes, plus (iii) 35% of LivePerson Excess Cash.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“LivePerson Excess Cash” refers to the difference of (a) the LivePerson Cash Balance, minus (b) the LivePerson Minimum Cash; provided that, if a negative number results from such calculation, “LivePerson Excess Cash” shall be $0.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Restructuring Agreement provides SoundHound the option to elect, at any time before the close of business two business days prior to the Closing Date, to substitute an amount of cash in lieu of all or a portion of the stock consideration paid to the holders of Secured Notes, provided that (a) each holder of Secured Notes receives the same proportion of its consideration in cash and shares of SoundHound Common Stock; (b) regardless of the SoundHound Closing Stock Price, the proportion of consideration satisfied in cash shall be calculated assuming the stock consideration is worth the First Lien Holder Aggregate Consideration Amount and the Second Lien Holder Aggregate Consideration Amount, respectively and (c) in the event SoundHound Closing Stock Price is greater than $12 per share, SoundHound shall not be entitled to substitute cash for more than 50% of the stock consideration.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Merger Agreement being satisfied or waived (other than the consummation of the Notes Restructuring Transactions); (c) the requisite securities law filings having been made; (d) the approval for listing the shares of SoundHound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SoundHound,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SoundHound Common Stock issuable to the holders of the Secured Notes; and (i) the substantially contemporaneous consummation of the Notes Restructuring Transactions by the holders of the 2029 Notes and the holders of the Second Lien Notes.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Merger Agreement). The holders of the 2029 Notes are entitled to terminate the Notes Restructuring Agreement upon (a) any failure by LivePerson to pay amounts due under the indenture or other agreements governing the 2029 Notes or (b) a breach of certain provisions of the indenture governing the 2029 Notes, in each case, subject to cure rights of LivePerson and SoundHound.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SoundHound AI, Inc. (“SoundHound” or the “Company”) presents the combination of the historical financial information of SoundHound and LivePerson, Inc. (“LivePerson” or the “Target”), adjusted to give effect to the LivePerson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2026, SoundHound AI, Inc. (“SoundHound”) entered into a Merger Agreement and a Notes Restructuring Agreement (collectively, the “Transaction Agreements”) with LivePerson, Inc. (“LivePerson”), pursuant to which Lightspeed Merger Sub Inc., a wholly owned subsidiary of SoundHound, agreed to merge with and into LivePerson, with LivePerson surviving as an indirect wholly owned subsidiary of SoundHound (the “LivePerson Merger”).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Transaction Agreements, total consideration consisted of the following:</w:t>
      </w:r>
    </w:p>
    <w:p>
      <w:pPr>
        <w:spacing w:after="0" w:line="225" w:lineRule="exact"/>
        <w:rPr>
          <w:sz w:val="20"/>
          <w:szCs w:val="20"/>
          <w:color w:val="auto"/>
        </w:rPr>
      </w:pPr>
    </w:p>
    <w:p>
      <w:pPr>
        <w:jc w:val="both"/>
        <w:ind w:left="660" w:right="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SoundHound Class A common stock issued to holders of LivePerson’s First Lien Convertible Senior Notes due 2029 and 10.0% Second Lien Senior Subordinated Secured Notes (collectively, the “Secured Notes”) equal to approximately $178.0 million and $83.2 million (the “First and Second Lien Stock Consideration”), respectively, each divided by the SoundHound Closing Stock Price,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SoundHound Class A common stock issued to holders of LivePerson common stock with an aggregate value of $42.8 million (the “Shareholder Stock Consideration”) divided by the SoundHound Closing Stock Price, subject to adjustment for LivePerson’s closing cash balance relative to a $74.0 million minimum cash threshold;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restricted stock units (RSUs) and cash-settled awards issued to continuing LivePerson employees in exchange for outstanding unvested equity awards. All out-of-the-money stock options and warrants were cancelled at closing for no consideration.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LivePerson had approximately $20.1 million in aggregate principal amount of 0% Convertible Notes due 2026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Agreement, LivePerson is required to use commercially reasonable best efforts to retire these notes at or prior to closing.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and are discussed in Note 3 to the Unaudited Pro Forma Condensed Combined Financial Statements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prepared as of March 31, 2026 and for the three months ended March 31, 2026 have been prepared to update the unaudited pro forma condensed combined financial information presented in the Registration Statement on Form S-3 filed by SoundHound with the SEC on May 11, 2026 and should be read in conjunction with the unaudited pro forma condensed combined statement of operations for the annual period ended December 31, 2025 included therein. 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assumes that the LivePerson Merger occurred as of January 1, 2025 and combines the historical results of SoundHound and LivePerson giving pro forma effect for the periods then ended.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derived from the historical financial information of SoundHound and LivePerson, and should be read in conjunction with the following information:</w:t>
      </w:r>
    </w:p>
    <w:p>
      <w:pPr>
        <w:spacing w:after="0" w:line="162" w:lineRule="exact"/>
        <w:rPr>
          <w:sz w:val="20"/>
          <w:szCs w:val="20"/>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SoundHound for the three months ended March 31, 2026, included in its Quarterly Report on Form 10-Q filed with the SEC on May 11, 2026,</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LivePerson, Inc. for the three months ended March 31, 2026, as attached as Exhibit 99.2 to this Report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sectPr>
          <w:pgSz w:w="11900" w:h="16838" w:orient="portrait"/>
          <w:cols w:equalWidth="0" w:num="1">
            <w:col w:w="11240"/>
          </w:cols>
          <w:pgMar w:left="320" w:top="117" w:right="339" w:bottom="841"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841"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LivePerson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SoundHound</w:t>
            </w:r>
          </w:p>
        </w:tc>
        <w:tc>
          <w:tcPr>
            <w:tcW w:w="12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80" w:type="dxa"/>
            <w:vAlign w:val="bottom"/>
          </w:tcPr>
          <w:p>
            <w:pPr>
              <w:spacing w:after="0"/>
              <w:rPr>
                <w:sz w:val="18"/>
                <w:szCs w:val="18"/>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SoundHound Consolidated Balance Sheet Line Items</w:t>
            </w:r>
          </w:p>
        </w:tc>
        <w:tc>
          <w:tcPr>
            <w:tcW w:w="14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1"/>
                <w:szCs w:val="21"/>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(Note 3)</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8"/>
        </w:trPr>
        <w:tc>
          <w:tcPr>
            <w:tcW w:w="4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215,642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101,499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(47,570)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3(a), 3(b)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269,571</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30,068</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55,732</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and unbilled receivable,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32,752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36,117</w:t>
            </w:r>
          </w:p>
        </w:tc>
      </w:tr>
      <w:tr>
        <w:trPr>
          <w:trHeight w:val="23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10,343</w:t>
            </w:r>
          </w:p>
        </w:tc>
        <w:tc>
          <w:tcPr>
            <w:tcW w:w="1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25,760</w:t>
            </w:r>
          </w:p>
        </w:tc>
      </w:tr>
      <w:tr>
        <w:trPr>
          <w:trHeight w:val="216"/>
        </w:trPr>
        <w:tc>
          <w:tcPr>
            <w:tcW w:w="46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2,863</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122,277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(21,198)</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3(c)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285,619</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172,036</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114,498</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300,036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and unbilled receivable, non-current,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34,067</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34,067</w:t>
            </w:r>
          </w:p>
        </w:tc>
      </w:tr>
      <w:tr>
        <w:trPr>
          <w:trHeight w:val="24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18,279</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104,374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(104,098)</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3(e), 3(f)</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18,555</w:t>
            </w:r>
          </w:p>
        </w:tc>
      </w:tr>
      <w:tr>
        <w:trPr>
          <w:trHeight w:val="251"/>
        </w:trPr>
        <w:tc>
          <w:tcPr>
            <w:tcW w:w="46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644,951</w:t>
            </w:r>
          </w:p>
        </w:tc>
        <w:tc>
          <w:tcPr>
            <w:tcW w:w="24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457,582</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(58,368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1,044,165</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46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12,405</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29,321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(2,138)</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3(b), 3(g), 3(h)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74,844</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2,838</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86,496</w:t>
            </w:r>
          </w:p>
        </w:tc>
      </w:tr>
      <w:tr>
        <w:trPr>
          <w:trHeight w:val="23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(20,071)</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3(b)</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46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6,756</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373,723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(373,723)</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acquisition liabilities, net of current portion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87,334</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87,334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6,408</w:t>
            </w: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10,134</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10,770</w:t>
            </w:r>
          </w:p>
        </w:tc>
      </w:tr>
      <w:tr>
        <w:trPr>
          <w:trHeight w:val="210"/>
        </w:trPr>
        <w:tc>
          <w:tcPr>
            <w:tcW w:w="46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184,285</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509,078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(395,932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297,431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(170)</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1,442,560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1,023,338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(730,166)</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1,735,732</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(982,094)</w:t>
            </w:r>
          </w:p>
        </w:tc>
        <w:tc>
          <w:tcPr>
            <w:tcW w:w="1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(1,067,321)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1,060,214</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3(h)</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(989,201)</w:t>
            </w:r>
          </w:p>
        </w:tc>
      </w:tr>
      <w:tr>
        <w:trPr>
          <w:trHeight w:val="249"/>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(7,683)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7,683</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3(h)</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0"/>
        </w:trPr>
        <w:tc>
          <w:tcPr>
            <w:tcW w:w="46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460,666</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(51,496</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337,564</w:t>
            </w:r>
          </w:p>
        </w:tc>
        <w:tc>
          <w:tcPr>
            <w:tcW w:w="20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46,734</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644,951</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Information.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LivePerson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SoundHound</w:t>
            </w:r>
          </w:p>
        </w:tc>
        <w:tc>
          <w:tcPr>
            <w:tcW w:w="100" w:type="dxa"/>
            <w:vAlign w:val="bottom"/>
          </w:tcPr>
          <w:p>
            <w:pPr>
              <w:spacing w:after="0"/>
              <w:rPr>
                <w:sz w:val="18"/>
                <w:szCs w:val="18"/>
                <w:color w:val="auto"/>
              </w:rPr>
            </w:pPr>
          </w:p>
        </w:tc>
        <w:tc>
          <w:tcPr>
            <w:tcW w:w="11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80" w:type="dxa"/>
            <w:vAlign w:val="bottom"/>
          </w:tcPr>
          <w:p>
            <w:pPr>
              <w:spacing w:after="0"/>
              <w:rPr>
                <w:sz w:val="18"/>
                <w:szCs w:val="18"/>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SoundHound Consolidated Income Statement Line Items</w:t>
            </w:r>
          </w:p>
        </w:tc>
        <w:tc>
          <w:tcPr>
            <w:tcW w:w="140" w:type="dxa"/>
            <w:vAlign w:val="bottom"/>
          </w:tcPr>
          <w:p>
            <w:pPr>
              <w:spacing w:after="0"/>
              <w:rPr>
                <w:sz w:val="21"/>
                <w:szCs w:val="21"/>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1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(Note 3)</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30,453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16,599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2,050</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3(i)</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19,215</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(4,100)</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3(j)</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29,315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(3,788)</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3(k)</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37,976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(39,392)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(39,392)</w:t>
            </w:r>
          </w:p>
        </w:tc>
        <w:tc>
          <w:tcPr>
            <w:tcW w:w="0" w:type="dxa"/>
            <w:vAlign w:val="bottom"/>
          </w:tcPr>
          <w:p>
            <w:pPr>
              <w:spacing w:after="0"/>
              <w:rPr>
                <w:sz w:val="1"/>
                <w:szCs w:val="1"/>
                <w:color w:val="auto"/>
              </w:rPr>
            </w:pPr>
          </w:p>
        </w:tc>
      </w:tr>
      <w:tr>
        <w:trPr>
          <w:trHeight w:val="23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4,264</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3(i)</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(22,671</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(22,848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8,252</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3(l)</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(1,116)</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3(m)</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(24,230)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8,710</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(24,022)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(25,028</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(8,827</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8,710</w:t>
            </w:r>
          </w:p>
        </w:tc>
        <w:tc>
          <w:tcPr>
            <w:tcW w:w="200" w:type="dxa"/>
            <w:vAlign w:val="bottom"/>
            <w:tcBorders>
              <w:top w:val="single" w:sz="8" w:color="CCEEFF"/>
              <w:bottom w:val="single" w:sz="8" w:color="CCEEFF"/>
            </w:tcBorders>
          </w:tcPr>
          <w:p>
            <w:pPr>
              <w:spacing w:after="0"/>
              <w:rPr>
                <w:sz w:val="21"/>
                <w:szCs w:val="21"/>
                <w:color w:val="auto"/>
              </w:rPr>
            </w:pPr>
          </w:p>
        </w:tc>
        <w:tc>
          <w:tcPr>
            <w:tcW w:w="124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3(n)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421,472,827</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3(n)</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456,344,364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3(n)</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429,783,201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464,654,738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Information.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financial information of SoundHound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includes certain reclassifications to conform LivePerson’s historical accounting presentation to SoundHound’s accounting presentation.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give effect to the LivePerson Merger as if it had occurred on January 1, 2025, the first day of SoundHound’s fiscal 2025, and combines the historical results of SoundHound and LivePerson.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LivePerson Merger.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2 — Reclassification Adjustments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policies used in the preparation of the unaudited pro forma condensed combined financial information are those set out in SoundHound’s unaudited condensed consolidated financial statements as of and for the three months ended March 31, 2026.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balance sheet as of March 31, 2026, to conform presentation to that of SoundHound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LivePerson</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LivePerson Consolidated Balance Sheet</w:t>
            </w:r>
          </w:p>
        </w:tc>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SoundHound Consolidated Balance</w:t>
            </w:r>
          </w:p>
        </w:tc>
        <w:tc>
          <w:tcPr>
            <w:tcW w:w="12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LivePerson</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Line Items</w:t>
            </w: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Sheet Line Items</w:t>
            </w:r>
          </w:p>
        </w:tc>
        <w:tc>
          <w:tcPr>
            <w:tcW w:w="120" w:type="dxa"/>
            <w:vAlign w:val="bottom"/>
          </w:tcPr>
          <w:p>
            <w:pPr>
              <w:spacing w:after="0"/>
              <w:rPr>
                <w:sz w:val="21"/>
                <w:szCs w:val="21"/>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101,499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29,029</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(3,365)</w:t>
            </w:r>
          </w:p>
        </w:tc>
        <w:tc>
          <w:tcPr>
            <w:tcW w:w="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(d)</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25,664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15,417</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Contract assets and unbilled receivable,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3,365</w:t>
            </w:r>
          </w:p>
        </w:tc>
        <w:tc>
          <w:tcPr>
            <w:tcW w:w="980" w:type="dxa"/>
            <w:vAlign w:val="bottom"/>
            <w:gridSpan w:val="3"/>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1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87,858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(83,242)</w:t>
            </w:r>
          </w:p>
        </w:tc>
        <w:tc>
          <w:tcPr>
            <w:tcW w:w="98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184,540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acquisition costs, net</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20,856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20,856</w:t>
            </w:r>
          </w:p>
        </w:tc>
        <w:tc>
          <w:tcPr>
            <w:tcW w:w="0" w:type="dxa"/>
            <w:vAlign w:val="bottom"/>
          </w:tcPr>
          <w:p>
            <w:pPr>
              <w:spacing w:after="0"/>
              <w:rPr>
                <w:sz w:val="1"/>
                <w:szCs w:val="1"/>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83,170</w:t>
            </w:r>
          </w:p>
        </w:tc>
        <w:tc>
          <w:tcPr>
            <w:tcW w:w="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(a), (e)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83,518</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1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312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3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48,105</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980" w:type="dxa"/>
            <w:vAlign w:val="bottom"/>
            <w:gridSpan w:val="3"/>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(b), (c)</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9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(c)</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57,987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(b)</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20,071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3120" w:type="dxa"/>
            <w:vAlign w:val="bottom"/>
            <w:tcBorders>
              <w:top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130,520</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130,520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net of current portion</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373,723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373,723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1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509,078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3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Treasury stock, at cost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1,023,338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(1,067,321)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(1,067,321)</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31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Pr>
          <w:p>
            <w:pPr>
              <w:spacing w:after="0"/>
              <w:rPr>
                <w:sz w:val="22"/>
                <w:szCs w:val="22"/>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1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1"/>
        </w:trPr>
        <w:tc>
          <w:tcPr>
            <w:tcW w:w="3280" w:type="dxa"/>
            <w:vAlign w:val="bottom"/>
            <w:gridSpan w:val="2"/>
          </w:tcPr>
          <w:p>
            <w:pPr>
              <w:ind w:left="340"/>
              <w:spacing w:after="0" w:line="171"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3120" w:type="dxa"/>
            <w:vAlign w:val="bottom"/>
            <w:gridSpan w:val="2"/>
          </w:tcPr>
          <w:p>
            <w:pPr>
              <w:ind w:left="320"/>
              <w:spacing w:after="0" w:line="171"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3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457,582</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right-of-use assets of $0.1 million from other assets to right-of-use assets within SoundHound’s balance sheet.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other current liabilities of $0.4 million from accrued expenses and other current liabilities to other current liabilities within SoundHound’s balance sheet.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35" w:gutter="0" w:footer="0" w:header="0"/>
        </w:sectPr>
      </w:pPr>
    </w:p>
    <w:bookmarkStart w:id="99" w:name="page100"/>
    <w:bookmarkEnd w:id="99"/>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lease liabilities of $0.1 million from accrued expenses and other current liabilities to operating lease liabilities within SoundHound’s balance sheet.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unbilled receivables of $3.4 million from accounts receivable, net of allowances to contract assets and unbilled receivable, net within SoundHound’s balance sheet.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internal-use software development costs of $83.2 million from property and equipment to other non-current assets within SoundHound’s balance sheet.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statement of operations for the three months ended March 31, 2026, to conform presentation to that of SoundHound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LivePerson</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LivePerson Consolidated Income</w:t>
            </w:r>
          </w:p>
        </w:tc>
        <w:tc>
          <w:tcPr>
            <w:tcW w:w="3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SoundHound Consolidated Income</w:t>
            </w:r>
          </w:p>
        </w:tc>
        <w:tc>
          <w:tcPr>
            <w:tcW w:w="100" w:type="dxa"/>
            <w:vAlign w:val="bottom"/>
          </w:tcPr>
          <w:p>
            <w:pPr>
              <w:spacing w:after="0"/>
              <w:rPr>
                <w:sz w:val="18"/>
                <w:szCs w:val="18"/>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LivePerson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Line Items</w:t>
            </w:r>
          </w:p>
        </w:tc>
        <w:tc>
          <w:tcPr>
            <w:tcW w:w="31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Statement Line Items</w:t>
            </w:r>
          </w:p>
        </w:tc>
        <w:tc>
          <w:tcPr>
            <w:tcW w:w="100" w:type="dxa"/>
            <w:vAlign w:val="bottom"/>
          </w:tcPr>
          <w:p>
            <w:pPr>
              <w:spacing w:after="0"/>
              <w:rPr>
                <w:sz w:val="21"/>
                <w:szCs w:val="21"/>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w:t>
            </w:r>
          </w:p>
        </w:tc>
        <w:tc>
          <w:tcPr>
            <w:tcW w:w="31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amortization shown separately</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below)</w:t>
            </w: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16,599</w:t>
            </w:r>
          </w:p>
        </w:tc>
      </w:tr>
      <w:tr>
        <w:trPr>
          <w:trHeight w:val="216"/>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14,200</w:t>
            </w:r>
          </w:p>
        </w:tc>
      </w:tr>
      <w:tr>
        <w:trPr>
          <w:trHeight w:val="216"/>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3,256</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15,436</w:t>
            </w:r>
          </w:p>
        </w:tc>
      </w:tr>
      <w:tr>
        <w:trPr>
          <w:trHeight w:val="216"/>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12,300</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w:t>
            </w:r>
          </w:p>
        </w:tc>
      </w:tr>
      <w:tr>
        <w:trPr>
          <w:trHeight w:val="237"/>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(5,112)</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3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3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314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1,501</w:t>
            </w:r>
          </w:p>
        </w:tc>
      </w:tr>
      <w:tr>
        <w:trPr>
          <w:trHeight w:val="210"/>
        </w:trPr>
        <w:tc>
          <w:tcPr>
            <w:tcW w:w="33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314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4"/>
        </w:trPr>
        <w:tc>
          <w:tcPr>
            <w:tcW w:w="33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Loss before provision (benefit) for income</w:t>
            </w: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Loss before provision (benefit) for</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r>
      <w:tr>
        <w:trPr>
          <w:trHeight w:val="2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interest income of $0.5 million from interest income to other income, net within SoundHound’s statement of operations line item.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line="286" w:lineRule="auto"/>
        <w:rPr>
          <w:sz w:val="20"/>
          <w:szCs w:val="20"/>
          <w:color w:val="auto"/>
        </w:rPr>
      </w:pPr>
      <w:r>
        <w:rPr>
          <w:rFonts w:ascii="Times New Roman" w:cs="Times New Roman" w:eastAsia="Times New Roman" w:hAnsi="Times New Roman"/>
          <w:sz w:val="18"/>
          <w:szCs w:val="18"/>
          <w:b w:val="1"/>
          <w:bCs w:val="1"/>
          <w:color w:val="auto"/>
        </w:rPr>
        <w:t>Note 3 — Transaction Accounting Adjustments to Unaudited Pro Forma Condensed Combined Balance Sheet and Statement of Operations – LivePerson Merger</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preliminary consideration of $293.2 million was determined by reference to the fair value of SoundHound’s common stock on May 15, 2026. The calculation of estimated preliminary consideration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Preliminary Consideration</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4"/>
        </w:trPr>
        <w:tc>
          <w:tcPr>
            <w:tcW w:w="7320" w:type="dxa"/>
            <w:vAlign w:val="bottom"/>
          </w:tcPr>
          <w:p>
            <w:pPr>
              <w:spacing w:after="0"/>
              <w:rPr>
                <w:sz w:val="16"/>
                <w:szCs w:val="16"/>
                <w:color w:val="auto"/>
              </w:rPr>
            </w:pPr>
          </w:p>
        </w:tc>
        <w:tc>
          <w:tcPr>
            <w:tcW w:w="3820" w:type="dxa"/>
            <w:vAlign w:val="bottom"/>
            <w:tcBorders>
              <w:top w:val="single" w:sz="8" w:color="auto"/>
            </w:tcBorders>
            <w:gridSpan w:val="5"/>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 share and per share</w:t>
            </w: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SoundHound shares issued for settlement of Secured Notes (1)</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29,819,116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250,779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Estimated SoundHound shares issued to LivePerson’s capital stockholders (2)</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4,884,079</w:t>
            </w:r>
          </w:p>
        </w:tc>
        <w:tc>
          <w:tcPr>
            <w:tcW w:w="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41,075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replacement equity awards for LivePerson’s equity awards (3)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124,854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Estimated equity consideration for LivePerson’s equity awards settled (4)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43,488</w:t>
            </w:r>
          </w:p>
        </w:tc>
        <w:tc>
          <w:tcPr>
            <w:tcW w:w="2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expects the Secured Notes to be entirely settled in shares of Class A Common Stock. As such, estimated preliminary consideration is equal to the fair value of shares issued to holders of the Secured Notes based on the Total Consideration for the First and Second Lien Secured Notes each divided by the 10-day VWAP stock price of $8.76 estimated as of May 15, 2026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First Lien</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Second Lien</w:t>
            </w:r>
          </w:p>
        </w:tc>
        <w:tc>
          <w:tcPr>
            <w:tcW w:w="160" w:type="dxa"/>
            <w:vAlign w:val="bottom"/>
          </w:tcPr>
          <w:p>
            <w:pPr>
              <w:spacing w:after="0"/>
              <w:rPr>
                <w:sz w:val="21"/>
                <w:szCs w:val="21"/>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178,007,734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83,207,729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261,215,463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10-day VWAP 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8.76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be issued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20,320,517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9,498,599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29,819,116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8.41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8.41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170,895,548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79,883,218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250,778,766</w:t>
            </w:r>
          </w:p>
        </w:tc>
      </w:tr>
    </w:tbl>
    <w:p>
      <w:pPr>
        <w:spacing w:after="0" w:line="198" w:lineRule="exact"/>
        <w:rPr>
          <w:sz w:val="20"/>
          <w:szCs w:val="20"/>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consideration is computed based on the Shareholder Stock Consideration of $42.8 million divided by the 10-day VWAP stock price of $8.76 estimated as of May 15, 2026 rounded to the nearest whole share.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p>
      <w:pPr>
        <w:spacing w:after="0" w:line="20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Board of Directors and vested equity awards of LivePerson will be settled in shares of SoundHound common stock. Such settlement of equity awards represents estimated preliminary consideration.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May 15, 2026 was determined to be the most recent practicable date prior to the effective date. As such, May 15, 2026 was the last day of this ten-day volume-weighted period, in which the stock price was determined. A sensitivity analysis on the SoundHound share price was performed to assess the impact on purchase consideration at each end of the collar, or $7 per share and $12 per share, as this represents a reasonable range for share price based on recent volatility. The closing share price was held constant at the May 15, 2026 closing share price ($8.41 per share) for purposes of the sensitivity to illustrate range when SoundHound Closing Stock Price and closing date share price may differ. Purchase consideration will not be impacted by stock price volatility within the collar when SoundHound Closing Stock Price and closing date share price match. The value of LivePerson equity awards when considering a 20% range of outcomes, is immaterial.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change in stock price and estimated consideration:</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2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Impact on</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(May 15,</w:t>
            </w:r>
          </w:p>
        </w:tc>
        <w:tc>
          <w:tcPr>
            <w:tcW w:w="2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SoundHound Closing Stock Price</w:t>
            </w: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16"/>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Borders>
              <w:top w:val="single" w:sz="8" w:color="auto"/>
            </w:tcBorders>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 $7</w:t>
            </w: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43,428,571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365,234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72,059</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 $12</w:t>
            </w: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25,333,334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213,053</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(80,122)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r>
      <w:tr>
        <w:trPr>
          <w:trHeight w:val="241"/>
        </w:trPr>
        <w:tc>
          <w:tcPr>
            <w:tcW w:w="100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1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293,175</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53,928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unbilled receivables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 acquired</w:t>
            </w: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235,871</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57,987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Preliminary fair value of net assets acquired</w:t>
            </w: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129,833</w:t>
            </w:r>
          </w:p>
        </w:tc>
        <w:tc>
          <w:tcPr>
            <w:tcW w:w="100" w:type="dxa"/>
            <w:vAlign w:val="bottom"/>
            <w:tcBorders>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goodwill (4)</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163,342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5180" w:right="1000" w:hanging="5172"/>
        <w:spacing w:after="0" w:line="783"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Preliminary identifiable intangible assets in the unaudited pro forma condensed combined financial information consists of the following: 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4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1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756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5 Years</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Years</w:t>
            </w:r>
          </w:p>
        </w:tc>
      </w:tr>
    </w:tbl>
    <w:p>
      <w:pPr>
        <w:spacing w:after="0" w:line="19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p>
      <w:pPr>
        <w:spacing w:after="0" w:line="187"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consists primarily of computer equipment, for which the carrying value is assumed to approximate fair value.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adjustments related to the acquisition of LivePerson included in the unaudited pro forma condensed combined balance sheet as of March 31, 2026 and unaudited pro forma condensed combined statements of operations for the three months ended March 31, 2026 are as follows:</w:t>
      </w:r>
    </w:p>
    <w:p>
      <w:pPr>
        <w:spacing w:after="0" w:line="159"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expected $13.5 million of transaction costs incurred by LivePerson, which are expected to be paid by LivePerson prior to closing of the LivePerson Merger in accordance with the Merger Agreement.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r>
      <w:tr>
        <w:trPr>
          <w:trHeight w:val="221"/>
        </w:trPr>
        <w:tc>
          <w:tcPr>
            <w:tcW w:w="100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Settlement of LivePerson Debt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Cash paid by LivePerson to settle Secured Notes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paid by LivePerson for accrued interest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(7,363)</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by LivePerson to settle 2026 Notes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(20,071)</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adjustment to cash and cash equivalents</w:t>
            </w: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(34,070)</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accrued interest – accrued liability account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2026 Notes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(20,071)</w:t>
            </w: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Secured Notes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(373,723)</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Elimination of LivePerson’s historical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Merger goodwill recognized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55"/>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29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5"/>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ind w:left="455" w:hanging="455"/>
        <w:spacing w:after="0"/>
        <w:tabs>
          <w:tab w:leader="none" w:pos="4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(184,540)</w:t>
      </w:r>
    </w:p>
    <w:p>
      <w:pPr>
        <w:spacing w:after="0" w:line="27" w:lineRule="exact"/>
        <w:rPr>
          <w:rFonts w:ascii="Times New Roman" w:cs="Times New Roman" w:eastAsia="Times New Roman" w:hAnsi="Times New Roman"/>
          <w:sz w:val="18"/>
          <w:szCs w:val="18"/>
          <w:color w:val="auto"/>
        </w:rPr>
      </w:pPr>
    </w:p>
    <w:p>
      <w:pPr>
        <w:ind w:left="5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163,342</w:t>
      </w:r>
    </w:p>
    <w:p>
      <w:pPr>
        <w:spacing w:after="0" w:line="23" w:lineRule="exact"/>
        <w:rPr>
          <w:sz w:val="20"/>
          <w:szCs w:val="20"/>
          <w:color w:val="auto"/>
        </w:rPr>
      </w:pPr>
    </w:p>
    <w:p>
      <w:pPr>
        <w:ind w:left="555" w:hanging="555"/>
        <w:spacing w:after="0"/>
        <w:tabs>
          <w:tab w:leader="none" w:pos="5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029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101" w:lineRule="exact"/>
        <w:rPr>
          <w:sz w:val="20"/>
          <w:szCs w:val="20"/>
          <w:color w:val="auto"/>
        </w:rPr>
      </w:pPr>
    </w:p>
    <w:p>
      <w:pPr>
        <w:ind w:left="34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intangible assets and the recognition of the preliminary estimated fair value of intangible assets acquired in the LivePerson Merger.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r>
      <w:tr>
        <w:trPr>
          <w:trHeight w:val="241"/>
        </w:trPr>
        <w:tc>
          <w:tcPr>
            <w:tcW w:w="100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1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intangible assets acquired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128,000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LivePerson’s historical intangible assets, net</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adjustment to intangible assets,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SoundHound determined a preliminary fair value estimate of intangible assets resulting from the preliminary fair value allocation of purchase price.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intangible assets included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assets acquired</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Trade name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1420" w:type="dxa"/>
            <w:vAlign w:val="bottom"/>
            <w:tcBorders>
              <w:top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3.5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83,000</w:t>
            </w:r>
          </w:p>
        </w:tc>
        <w:tc>
          <w:tcPr>
            <w:tcW w:w="14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41,000</w:t>
            </w:r>
          </w:p>
        </w:tc>
        <w:tc>
          <w:tcPr>
            <w:tcW w:w="14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fair value of acquired intangible assets</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128,000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$20.9 million of LivePerson’s historical contract acquisition costs from other non-current assets, that were not assets as defined by ASC 805 and are considered to be a part of the fair value of customer relationships intangible asset.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$83.2 million of LivePerson’s historical internal-use software development costs.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elimination of $1.9 million LivePerson’s historical warrants balance as all warrants are cancelled or extinguished upon the LivePerson Merger.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4" w:name="page105"/>
    <w:bookmarkEnd w:id="104"/>
    <w:p>
      <w:pPr>
        <w:ind w:left="34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transaction accounting adjustments impacting the equity balances of LivePerson, as well as new equity issued as consideration for the Merger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to</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LivePerson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00" w:type="dxa"/>
            <w:vAlign w:val="bottom"/>
          </w:tcPr>
          <w:p>
            <w:pPr>
              <w:spacing w:after="0"/>
              <w:rPr>
                <w:sz w:val="18"/>
                <w:szCs w:val="18"/>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equity (1)</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costs (3)</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Treasury Stock</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Class A Common Stock</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Adjustment to Additional paid-in capital</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(1,023,338)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293,172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(730,166)</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to Accumulated deficit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1,067,321</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1,060,214</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Adjustment to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51,496</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293,175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(7,107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337,564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LivePerson’s historical equity balances as of March 31, 2026</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preliminary purchase consideration of $293.2 million as estimated on May 15, 2026. This includes the issuance of Common Shares 34.9 million shares at $.0001 Par Value.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expected acquiror transaction costs of $7.1 million.</w:t>
      </w:r>
    </w:p>
    <w:p>
      <w:pPr>
        <w:spacing w:after="0" w:line="225" w:lineRule="exact"/>
        <w:rPr>
          <w:sz w:val="20"/>
          <w:szCs w:val="20"/>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 as if the LivePerson Merger had been completed on January 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21"/>
        </w:trPr>
        <w:tc>
          <w:tcPr>
            <w:tcW w:w="8680" w:type="dxa"/>
            <w:vAlign w:val="bottom"/>
          </w:tcPr>
          <w:p>
            <w:pPr>
              <w:spacing w:after="0"/>
              <w:rPr>
                <w:sz w:val="19"/>
                <w:szCs w:val="19"/>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acquired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trade name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4,150</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amortization expense for acquired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6,486</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Adjustment to Cost of revenues -</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(developed technology)</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Adjustment to cost of revenues</w:t>
            </w: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904" w:right="339" w:bottom="1440" w:gutter="0" w:footer="0" w:header="0"/>
        </w:sect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Adjustment to Amortization of intangible assets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 and trademark / 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 of LivePerson’s historical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ind w:left="700" w:hanging="695"/>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4,436</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w:t>
      </w:r>
    </w:p>
    <w:p>
      <w:pPr>
        <w:spacing w:after="0" w:line="31" w:lineRule="exact"/>
        <w:rPr>
          <w:sz w:val="20"/>
          <w:szCs w:val="20"/>
          <w:color w:val="auto"/>
        </w:rPr>
      </w:pPr>
    </w:p>
    <w:p>
      <w:pPr>
        <w:ind w:left="700" w:hanging="695"/>
        <w:spacing w:after="0"/>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5" w:name="page106"/>
    <w:bookmarkEnd w:id="105"/>
    <w:p>
      <w:pPr>
        <w:ind w:left="340" w:right="2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of contract acquisition costs of $4.1 million for the three months ended March 31, 2026, that were not assets as defined by ASC 805.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of internal-use software development costs of $3.8 million for the three months ended March 31,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$8.3 million in historical interest expense for the three months ended March 31, 2026, related to the settlement of LivePerson’s debt at closing.</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gain on the change in fair value of debt warrants of $1.1 million for the three months ended March 31,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spacing w:after="0" w:line="179"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sectPr>
          <w:pgSz w:w="11900" w:h="16838" w:orient="portrait"/>
          <w:cols w:equalWidth="0" w:num="1">
            <w:col w:w="11240"/>
          </w:cols>
          <w:pgMar w:left="320" w:top="904" w:right="339" w:bottom="1440" w:gutter="0" w:footer="0" w:header="0"/>
        </w:sectPr>
      </w:pP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Pro forma earnings per share computation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net loss attributable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net loss attributable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potentially dilutive equivalent shares to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except share</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per share</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data)</w:t>
      </w:r>
    </w:p>
    <w:p>
      <w:pPr>
        <w:spacing w:after="0" w:line="18" w:lineRule="exact"/>
        <w:rPr>
          <w:sz w:val="20"/>
          <w:szCs w:val="20"/>
          <w:color w:val="auto"/>
        </w:rPr>
      </w:pPr>
    </w:p>
    <w:p>
      <w:pPr>
        <w:ind w:left="560" w:hanging="555"/>
        <w:spacing w:after="0"/>
        <w:tabs>
          <w:tab w:leader="none" w:pos="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(25,145)</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456,344,364</w:t>
      </w:r>
    </w:p>
    <w:p>
      <w:pPr>
        <w:spacing w:after="0" w:line="23" w:lineRule="exact"/>
        <w:rPr>
          <w:sz w:val="20"/>
          <w:szCs w:val="20"/>
          <w:color w:val="auto"/>
        </w:rPr>
      </w:pPr>
    </w:p>
    <w:p>
      <w:pPr>
        <w:ind w:left="740" w:hanging="735"/>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029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1" w:lineRule="exact"/>
        <w:rPr>
          <w:sz w:val="20"/>
          <w:szCs w:val="20"/>
          <w:color w:val="auto"/>
        </w:rPr>
      </w:pPr>
    </w:p>
    <w:p>
      <w:pPr>
        <w:ind w:left="560" w:hanging="555"/>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(25,145)</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(22,504)</w:t>
      </w:r>
    </w:p>
    <w:p>
      <w:pPr>
        <w:spacing w:after="0" w:line="23"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stockholders, diluted</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464,654,738</w:t>
            </w:r>
          </w:p>
        </w:tc>
        <w:tc>
          <w:tcPr>
            <w:tcW w:w="100" w:type="dxa"/>
            <w:vAlign w:val="bottom"/>
            <w:tcBorders>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SoundHound historical, March 31, 2026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421,472,827</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34,871,537</w:t>
            </w:r>
          </w:p>
        </w:tc>
      </w:tr>
      <w:tr>
        <w:trPr>
          <w:trHeight w:val="25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456,344,364</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historical, March 31, 2026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429,783,201</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34,871,537</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464,654,738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1)"/>
      <w:numFmt w:val="lowerLetter"/>
      <w:start w:val="1"/>
    </w:lvl>
  </w:abstractNum>
  <w:abstractNum w:abstractNumId="3">
    <w:nsid w:val="57E4CCAF"/>
    <w:multiLevelType w:val="hybridMultilevel"/>
    <w:lvl w:ilvl="0">
      <w:lvlJc w:val="left"/>
      <w:lvlText w:val="(%1)"/>
      <w:numFmt w:val="lowerLetter"/>
      <w:start w:val="2"/>
    </w:lvl>
  </w:abstractNum>
  <w:abstractNum w:abstractNumId="4">
    <w:nsid w:val="7A6D8D3C"/>
    <w:multiLevelType w:val="hybridMultilevel"/>
    <w:lvl w:ilvl="0">
      <w:lvlJc w:val="left"/>
      <w:lvlText w:val="(%1)"/>
      <w:numFmt w:val="lowerLetter"/>
      <w:start w:val="4"/>
    </w:lvl>
  </w:abstractNum>
  <w:abstractNum w:abstractNumId="5">
    <w:nsid w:val="4B588F54"/>
    <w:multiLevelType w:val="hybridMultilevel"/>
    <w:lvl w:ilvl="0">
      <w:lvlJc w:val="left"/>
      <w:lvlText w:val="(%1)"/>
      <w:numFmt w:val="lowerLetter"/>
      <w:start w:val="12"/>
    </w:lvl>
  </w:abstractNum>
  <w:abstractNum w:abstractNumId="6">
    <w:nsid w:val="542289EC"/>
    <w:multiLevelType w:val="hybridMultilevel"/>
    <w:lvl w:ilvl="0">
      <w:lvlJc w:val="left"/>
      <w:lvlText w:val="(%1)"/>
      <w:numFmt w:val="lowerLetter"/>
      <w:start w:val="19"/>
    </w:lvl>
  </w:abstractNum>
  <w:abstractNum w:abstractNumId="7">
    <w:nsid w:val="6DE91B18"/>
    <w:multiLevelType w:val="hybridMultilevel"/>
    <w:lvl w:ilvl="0">
      <w:lvlJc w:val="left"/>
      <w:lvlText w:val="(%1)"/>
      <w:numFmt w:val="lowerLetter"/>
      <w:start w:val="22"/>
    </w:lvl>
  </w:abstractNum>
  <w:abstractNum w:abstractNumId="8">
    <w:nsid w:val="38437FDB"/>
    <w:multiLevelType w:val="hybridMultilevel"/>
    <w:lvl w:ilvl="0">
      <w:lvlJc w:val="left"/>
      <w:lvlText w:val="(%1)"/>
      <w:numFmt w:val="lowerLetter"/>
      <w:start w:val="27"/>
    </w:lvl>
  </w:abstractNum>
  <w:abstractNum w:abstractNumId="9">
    <w:nsid w:val="7644A45C"/>
    <w:multiLevelType w:val="hybridMultilevel"/>
    <w:lvl w:ilvl="0">
      <w:lvlJc w:val="left"/>
      <w:lvlText w:val="(%1)"/>
      <w:numFmt w:val="lowerLetter"/>
      <w:start w:val="31"/>
    </w:lvl>
  </w:abstractNum>
  <w:abstractNum w:abstractNumId="10">
    <w:nsid w:val="32FFF902"/>
    <w:multiLevelType w:val="hybridMultilevel"/>
    <w:lvl w:ilvl="0">
      <w:lvlJc w:val="left"/>
      <w:lvlText w:val="(%1)"/>
      <w:numFmt w:val="lowerLetter"/>
      <w:start w:val="34"/>
    </w:lvl>
  </w:abstractNum>
  <w:abstractNum w:abstractNumId="11">
    <w:nsid w:val="684A481A"/>
    <w:multiLevelType w:val="hybridMultilevel"/>
    <w:lvl w:ilvl="0">
      <w:lvlJc w:val="left"/>
      <w:lvlText w:val="(%1)"/>
      <w:numFmt w:val="lowerLetter"/>
      <w:start w:val="38"/>
    </w:lvl>
  </w:abstractNum>
  <w:abstractNum w:abstractNumId="12">
    <w:nsid w:val="579478FE"/>
    <w:multiLevelType w:val="hybridMultilevel"/>
    <w:lvl w:ilvl="0">
      <w:lvlJc w:val="left"/>
      <w:lvlText w:val="(%1)"/>
      <w:numFmt w:val="lowerLetter"/>
      <w:start w:val="41"/>
    </w:lvl>
  </w:abstractNum>
  <w:abstractNum w:abstractNumId="13">
    <w:nsid w:val="749ABB43"/>
    <w:multiLevelType w:val="hybridMultilevel"/>
    <w:lvl w:ilvl="0">
      <w:lvlJc w:val="left"/>
      <w:lvlText w:val="%1"/>
      <w:numFmt w:val="lowerLetter"/>
      <w:start w:val="1"/>
    </w:lvl>
    <w:lvl w:ilvl="1">
      <w:lvlJc w:val="left"/>
      <w:lvlText w:val="(%2)"/>
      <w:numFmt w:val="lowerLetter"/>
      <w:start w:val="44"/>
    </w:lvl>
  </w:abstractNum>
  <w:abstractNum w:abstractNumId="14">
    <w:nsid w:val="3DC240FB"/>
    <w:multiLevelType w:val="hybridMultilevel"/>
    <w:lvl w:ilvl="0">
      <w:lvlJc w:val="left"/>
      <w:lvlText w:val="(%1)"/>
      <w:numFmt w:val="lowerLetter"/>
      <w:start w:val="9"/>
    </w:lvl>
    <w:lvl w:ilvl="1">
      <w:lvlJc w:val="left"/>
      <w:lvlText w:val="%2"/>
      <w:numFmt w:val="lowerLetter"/>
      <w:start w:val="1"/>
    </w:lvl>
  </w:abstractNum>
  <w:abstractNum w:abstractNumId="15">
    <w:nsid w:val="1BA026FA"/>
    <w:multiLevelType w:val="hybridMultilevel"/>
    <w:lvl w:ilvl="0">
      <w:lvlJc w:val="left"/>
      <w:lvlText w:val="%1."/>
      <w:numFmt w:val="decimal"/>
      <w:start w:val="3"/>
    </w:lvl>
  </w:abstractNum>
  <w:abstractNum w:abstractNumId="16">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Letter"/>
      <w:start w:val="61"/>
    </w:lvl>
  </w:abstractNum>
  <w:abstractNum w:abstractNumId="17">
    <w:nsid w:val="75C6C33A"/>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18">
    <w:nsid w:val="12E685FB"/>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7"/>
    </w:lvl>
  </w:abstractNum>
  <w:abstractNum w:abstractNumId="19">
    <w:nsid w:val="70C6A529"/>
    <w:multiLevelType w:val="hybridMultilevel"/>
    <w:lvl w:ilvl="0">
      <w:lvlJc w:val="left"/>
      <w:lvlText w:val="%1"/>
      <w:numFmt w:val="lowerLetter"/>
      <w:start w:val="1"/>
    </w:lvl>
    <w:lvl w:ilvl="1">
      <w:lvlJc w:val="left"/>
      <w:lvlText w:val="(%2)"/>
      <w:numFmt w:val="lowerRoman"/>
      <w:start w:val="8"/>
    </w:lvl>
  </w:abstractNum>
  <w:abstractNum w:abstractNumId="20">
    <w:nsid w:val="520EEDD1"/>
    <w:multiLevelType w:val="hybridMultilevel"/>
    <w:lvl w:ilvl="0">
      <w:lvlJc w:val="left"/>
      <w:lvlText w:val="(%1)"/>
      <w:numFmt w:val="lowerLetter"/>
      <w:start w:val="2"/>
    </w:lvl>
    <w:lvl w:ilvl="1">
      <w:lvlJc w:val="left"/>
      <w:lvlText w:val="%2"/>
      <w:numFmt w:val="lowerRoman"/>
      <w:start w:val="1"/>
    </w:lvl>
  </w:abstractNum>
  <w:abstractNum w:abstractNumId="21">
    <w:nsid w:val="374A3FE6"/>
    <w:multiLevelType w:val="hybridMultilevel"/>
    <w:lvl w:ilvl="0">
      <w:lvlJc w:val="left"/>
      <w:lvlText w:val="(%1)"/>
      <w:numFmt w:val="lowerLetter"/>
      <w:start w:val="4"/>
    </w:lvl>
  </w:abstractNum>
  <w:abstractNum w:abstractNumId="22">
    <w:nsid w:val="4F4EF005"/>
    <w:multiLevelType w:val="hybridMultilevel"/>
    <w:lvl w:ilvl="0">
      <w:lvlJc w:val="left"/>
      <w:lvlText w:val="(%1)"/>
      <w:numFmt w:val="lowerLetter"/>
      <w:start w:val="1"/>
    </w:lvl>
  </w:abstractNum>
  <w:abstractNum w:abstractNumId="23">
    <w:nsid w:val="23F9C13C"/>
    <w:multiLevelType w:val="hybridMultilevel"/>
    <w:lvl w:ilvl="0">
      <w:lvlJc w:val="left"/>
      <w:lvlText w:val="(%1)"/>
      <w:numFmt w:val="lowerLetter"/>
      <w:start w:val="2"/>
    </w:lvl>
  </w:abstractNum>
  <w:abstractNum w:abstractNumId="24">
    <w:nsid w:val="649BB77C"/>
    <w:multiLevelType w:val="hybridMultilevel"/>
    <w:lvl w:ilvl="0">
      <w:lvlJc w:val="left"/>
      <w:lvlText w:val="(%1)"/>
      <w:numFmt w:val="lowerLetter"/>
      <w:start w:val="6"/>
    </w:lvl>
  </w:abstractNum>
  <w:abstractNum w:abstractNumId="25">
    <w:nsid w:val="275AC794"/>
    <w:multiLevelType w:val="hybridMultilevel"/>
    <w:lvl w:ilvl="0">
      <w:lvlJc w:val="left"/>
      <w:lvlText w:val="%1"/>
      <w:numFmt w:val="lowerLetter"/>
      <w:start w:val="1"/>
    </w:lvl>
    <w:lvl w:ilvl="1">
      <w:lvlJc w:val="left"/>
      <w:lvlText w:val="(%2)"/>
      <w:numFmt w:val="lowerLetter"/>
      <w:start w:val="10"/>
    </w:lvl>
  </w:abstractNum>
  <w:abstractNum w:abstractNumId="26">
    <w:nsid w:val="39386575"/>
    <w:multiLevelType w:val="hybridMultilevel"/>
    <w:lvl w:ilvl="0">
      <w:lvlJc w:val="left"/>
      <w:lvlText w:val="(%1)"/>
      <w:numFmt w:val="lowerLetter"/>
      <w:start w:val="61"/>
    </w:lvl>
    <w:lvl w:ilvl="1">
      <w:lvlJc w:val="left"/>
      <w:lvlText w:val="(%2)"/>
      <w:numFmt w:val="lowerLetter"/>
      <w:start w:val="11"/>
    </w:lvl>
  </w:abstractNum>
  <w:abstractNum w:abstractNumId="27">
    <w:nsid w:val="1CF10FD8"/>
    <w:multiLevelType w:val="hybridMultilevel"/>
    <w:lvl w:ilvl="0">
      <w:lvlJc w:val="left"/>
      <w:lvlText w:val="%1"/>
      <w:numFmt w:val="lowerLetter"/>
      <w:start w:val="1"/>
    </w:lvl>
    <w:lvl w:ilvl="1">
      <w:lvlJc w:val="left"/>
      <w:lvlText w:val="(%2)"/>
      <w:numFmt w:val="lowerLetter"/>
      <w:start w:val="12"/>
    </w:lvl>
  </w:abstractNum>
  <w:abstractNum w:abstractNumId="28">
    <w:nsid w:val="180115BE"/>
    <w:multiLevelType w:val="hybridMultilevel"/>
    <w:lvl w:ilvl="0">
      <w:lvlJc w:val="left"/>
      <w:lvlText w:val="(%1)"/>
      <w:numFmt w:val="lowerLetter"/>
      <w:start w:val="61"/>
    </w:lvl>
    <w:lvl w:ilvl="1">
      <w:lvlJc w:val="left"/>
      <w:lvlText w:val="%2"/>
      <w:numFmt w:val="lowerLetter"/>
      <w:start w:val="1"/>
    </w:lvl>
  </w:abstractNum>
  <w:abstractNum w:abstractNumId="29">
    <w:nsid w:val="235BA861"/>
    <w:multiLevelType w:val="hybridMultilevel"/>
    <w:lvl w:ilvl="0">
      <w:lvlJc w:val="left"/>
      <w:lvlText w:val="(%1)"/>
      <w:numFmt w:val="lowerLetter"/>
      <w:start w:val="16"/>
    </w:lvl>
  </w:abstractNum>
  <w:abstractNum w:abstractNumId="30">
    <w:nsid w:val="47398C89"/>
    <w:multiLevelType w:val="hybridMultilevel"/>
    <w:lvl w:ilvl="0">
      <w:lvlJc w:val="left"/>
      <w:lvlText w:val="(%1)"/>
      <w:numFmt w:val="lowerLetter"/>
      <w:start w:val="21"/>
    </w:lvl>
  </w:abstractNum>
  <w:abstractNum w:abstractNumId="31">
    <w:nsid w:val="354FE9F9"/>
    <w:multiLevelType w:val="hybridMultilevel"/>
    <w:lvl w:ilvl="0">
      <w:lvlJc w:val="left"/>
      <w:lvlText w:val="%1."/>
      <w:numFmt w:val="decimal"/>
      <w:start w:val="5"/>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decimal"/>
      <w:start w:val="6"/>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1)"/>
      <w:numFmt w:val="lowerLetter"/>
      <w:start w:val="3"/>
    </w:lvl>
  </w:abstractNum>
  <w:abstractNum w:abstractNumId="36">
    <w:nsid w:val="3F6AB60F"/>
    <w:multiLevelType w:val="hybridMultilevel"/>
    <w:lvl w:ilvl="0">
      <w:lvlJc w:val="left"/>
      <w:lvlText w:val="(%1)"/>
      <w:numFmt w:val="lowerLetter"/>
      <w:start w:val="6"/>
    </w:lvl>
  </w:abstractNum>
  <w:abstractNum w:abstractNumId="37">
    <w:nsid w:val="61574095"/>
    <w:multiLevelType w:val="hybridMultilevel"/>
    <w:lvl w:ilvl="0">
      <w:lvlJc w:val="left"/>
      <w:lvlText w:val="%1."/>
      <w:numFmt w:val="decimal"/>
      <w:start w:val="7"/>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3"/>
    </w:lvl>
  </w:abstractNum>
  <w:abstractNum w:abstractNumId="40">
    <w:nsid w:val="579BE4F1"/>
    <w:multiLevelType w:val="hybridMultilevel"/>
    <w:lvl w:ilvl="0">
      <w:lvlJc w:val="left"/>
      <w:lvlText w:val="%1."/>
      <w:numFmt w:val="decimal"/>
      <w:start w:val="8"/>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decimal"/>
      <w:start w:val="9"/>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decimal"/>
      <w:start w:val="10"/>
    </w:lvl>
  </w:abstractNum>
  <w:abstractNum w:abstractNumId="45">
    <w:nsid w:val="1DBABF00"/>
    <w:multiLevelType w:val="hybridMultilevel"/>
    <w:lvl w:ilvl="0">
      <w:lvlJc w:val="left"/>
      <w:lvlText w:val="%1."/>
      <w:numFmt w:val="decimal"/>
      <w:start w:val="12"/>
    </w:lvl>
  </w:abstractNum>
  <w:abstractNum w:abstractNumId="46">
    <w:nsid w:val="4AD084E9"/>
    <w:multiLevelType w:val="hybridMultilevel"/>
    <w:lvl w:ilvl="0">
      <w:lvlJc w:val="left"/>
      <w:lvlText w:val="%1."/>
      <w:numFmt w:val="decimal"/>
      <w:start w:val="17"/>
    </w:lvl>
  </w:abstractNum>
  <w:abstractNum w:abstractNumId="47">
    <w:nsid w:val="1F48EAA1"/>
    <w:multiLevelType w:val="hybridMultilevel"/>
    <w:lvl w:ilvl="0">
      <w:lvlJc w:val="left"/>
      <w:lvlText w:val="(%1)"/>
      <w:numFmt w:val="lowerRoman"/>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70"/>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lowerRoman"/>
      <w:start w:val="1"/>
    </w:lvl>
  </w:abstractNum>
  <w:abstractNum w:abstractNumId="58">
    <w:nsid w:val="168E121F"/>
    <w:multiLevelType w:val="hybridMultilevel"/>
    <w:lvl w:ilvl="0">
      <w:lvlJc w:val="left"/>
      <w:lvlText w:val="(%1)"/>
      <w:numFmt w:val="decimal"/>
      <w:start w:val="2"/>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lowerLetter"/>
      <w:start w:val="3"/>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lowerRoman"/>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3"/>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2"/>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2"/>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3"/>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lowerLetter"/>
      <w:start w:val="4"/>
    </w:lvl>
  </w:abstractNum>
  <w:abstractNum w:abstractNumId="76">
    <w:nsid w:val="6A5EE64"/>
    <w:multiLevelType w:val="hybridMultilevel"/>
    <w:lvl w:ilvl="0">
      <w:lvlJc w:val="left"/>
      <w:lvlText w:val="(%1)"/>
      <w:numFmt w:val="lowerLetter"/>
      <w:start w:val="5"/>
    </w:lvl>
  </w:abstractNum>
  <w:abstractNum w:abstractNumId="77">
    <w:nsid w:val="14330624"/>
    <w:multiLevelType w:val="hybridMultilevel"/>
    <w:lvl w:ilvl="0">
      <w:lvlJc w:val="left"/>
      <w:lvlText w:val="(%1)"/>
      <w:numFmt w:val="lowerLetter"/>
      <w:start w:val="8"/>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lowerRoman"/>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lowerLetter"/>
      <w:start w:val="10"/>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2026-05-27T17:16:21Z</dcterms:created>
  <dcterms:modified xsi:type="dcterms:W3CDTF">2026-05-27T17:16:21Z</dcterms:modified>
</cp:coreProperties>
</file>