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8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-618490</wp:posOffset>
            </wp:positionV>
            <wp:extent cx="57785" cy="631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6995160" cy="4868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48685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spacing w:after="0" w:line="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HOM JAMES MING</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840" w:type="dxa"/>
            <w:vAlign w:val="bottom"/>
          </w:tcPr>
          <w:p>
            <w:pPr>
              <w:ind w:left="40"/>
              <w:spacing w:after="0"/>
              <w:rPr>
                <w:sz w:val="20"/>
                <w:szCs w:val="20"/>
                <w:color w:val="auto"/>
              </w:rPr>
            </w:pPr>
            <w:r>
              <w:rPr>
                <w:rFonts w:ascii="Arial" w:cs="Arial" w:eastAsia="Arial" w:hAnsi="Arial"/>
                <w:sz w:val="13"/>
                <w:szCs w:val="13"/>
                <w:color w:val="auto"/>
              </w:rPr>
              <w:t>(Last)</w:t>
            </w:r>
          </w:p>
        </w:tc>
        <w:tc>
          <w:tcPr>
            <w:tcW w:w="1480" w:type="dxa"/>
            <w:vAlign w:val="bottom"/>
          </w:tcPr>
          <w:p>
            <w:pPr>
              <w:ind w:left="420"/>
              <w:spacing w:after="0"/>
              <w:rPr>
                <w:sz w:val="20"/>
                <w:szCs w:val="20"/>
                <w:color w:val="auto"/>
              </w:rPr>
            </w:pPr>
            <w:r>
              <w:rPr>
                <w:rFonts w:ascii="Arial" w:cs="Arial" w:eastAsia="Arial" w:hAnsi="Arial"/>
                <w:sz w:val="13"/>
                <w:szCs w:val="13"/>
                <w:color w:val="auto"/>
              </w:rPr>
              <w:t>(First)</w:t>
            </w:r>
          </w:p>
        </w:tc>
        <w:tc>
          <w:tcPr>
            <w:tcW w:w="620" w:type="dxa"/>
            <w:vAlign w:val="bottom"/>
          </w:tcPr>
          <w:p>
            <w:pPr>
              <w:ind w:left="160"/>
              <w:spacing w:after="0"/>
              <w:rPr>
                <w:sz w:val="20"/>
                <w:szCs w:val="20"/>
                <w:color w:val="auto"/>
              </w:rPr>
            </w:pPr>
            <w:r>
              <w:rPr>
                <w:rFonts w:ascii="Arial" w:cs="Arial" w:eastAsia="Arial" w:hAnsi="Arial"/>
                <w:sz w:val="13"/>
                <w:szCs w:val="13"/>
                <w:color w:val="auto"/>
                <w:w w:val="93"/>
              </w:rPr>
              <w:t>(Middle)</w:t>
            </w:r>
          </w:p>
        </w:tc>
      </w:tr>
      <w:tr>
        <w:trPr>
          <w:trHeight w:val="265"/>
        </w:trPr>
        <w:tc>
          <w:tcPr>
            <w:tcW w:w="23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C/O SOUNDHOUND AI, INC.</w:t>
            </w:r>
          </w:p>
        </w:tc>
        <w:tc>
          <w:tcPr>
            <w:tcW w:w="620" w:type="dxa"/>
            <w:vAlign w:val="bottom"/>
          </w:tcPr>
          <w:p>
            <w:pPr>
              <w:spacing w:after="0"/>
              <w:rPr>
                <w:sz w:val="23"/>
                <w:szCs w:val="23"/>
                <w:color w:val="auto"/>
              </w:rPr>
            </w:pPr>
          </w:p>
        </w:tc>
      </w:tr>
      <w:tr>
        <w:trPr>
          <w:trHeight w:val="255"/>
        </w:trPr>
        <w:tc>
          <w:tcPr>
            <w:tcW w:w="23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5400 BETSY ROSS DRIVE</w:t>
            </w:r>
          </w:p>
        </w:tc>
        <w:tc>
          <w:tcPr>
            <w:tcW w:w="620" w:type="dxa"/>
            <w:vAlign w:val="bottom"/>
          </w:tcPr>
          <w:p>
            <w:pPr>
              <w:spacing w:after="0"/>
              <w:rPr>
                <w:sz w:val="22"/>
                <w:szCs w:val="22"/>
                <w:color w:val="auto"/>
              </w:rPr>
            </w:pPr>
          </w:p>
        </w:tc>
      </w:tr>
      <w:tr>
        <w:trPr>
          <w:trHeight w:val="423"/>
        </w:trPr>
        <w:tc>
          <w:tcPr>
            <w:tcW w:w="840" w:type="dxa"/>
            <w:vAlign w:val="bottom"/>
          </w:tcPr>
          <w:p>
            <w:pPr>
              <w:spacing w:after="0"/>
              <w:rPr>
                <w:sz w:val="20"/>
                <w:szCs w:val="20"/>
                <w:color w:val="auto"/>
              </w:rPr>
            </w:pPr>
            <w:r>
              <w:rPr>
                <w:rFonts w:ascii="Arial" w:cs="Arial" w:eastAsia="Arial" w:hAnsi="Arial"/>
                <w:sz w:val="13"/>
                <w:szCs w:val="13"/>
                <w:color w:val="auto"/>
              </w:rPr>
              <w:t>(Street)</w:t>
            </w:r>
          </w:p>
        </w:tc>
        <w:tc>
          <w:tcPr>
            <w:tcW w:w="14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26"/>
        </w:trPr>
        <w:tc>
          <w:tcPr>
            <w:tcW w:w="23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SANTA CLARA CA</w:t>
            </w:r>
          </w:p>
        </w:tc>
        <w:tc>
          <w:tcPr>
            <w:tcW w:w="62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95054</w:t>
            </w:r>
          </w:p>
        </w:tc>
      </w:tr>
      <w:tr>
        <w:trPr>
          <w:trHeight w:val="461"/>
        </w:trPr>
        <w:tc>
          <w:tcPr>
            <w:tcW w:w="840" w:type="dxa"/>
            <w:vAlign w:val="bottom"/>
          </w:tcPr>
          <w:p>
            <w:pPr>
              <w:ind w:left="40"/>
              <w:spacing w:after="0"/>
              <w:rPr>
                <w:sz w:val="20"/>
                <w:szCs w:val="20"/>
                <w:color w:val="auto"/>
              </w:rPr>
            </w:pPr>
            <w:r>
              <w:rPr>
                <w:rFonts w:ascii="Arial" w:cs="Arial" w:eastAsia="Arial" w:hAnsi="Arial"/>
                <w:sz w:val="13"/>
                <w:szCs w:val="13"/>
                <w:color w:val="auto"/>
              </w:rPr>
              <w:t>(City)</w:t>
            </w:r>
          </w:p>
        </w:tc>
        <w:tc>
          <w:tcPr>
            <w:tcW w:w="1480" w:type="dxa"/>
            <w:vAlign w:val="bottom"/>
          </w:tcPr>
          <w:p>
            <w:pPr>
              <w:ind w:left="420"/>
              <w:spacing w:after="0"/>
              <w:rPr>
                <w:sz w:val="20"/>
                <w:szCs w:val="20"/>
                <w:color w:val="auto"/>
              </w:rPr>
            </w:pPr>
            <w:r>
              <w:rPr>
                <w:rFonts w:ascii="Arial" w:cs="Arial" w:eastAsia="Arial" w:hAnsi="Arial"/>
                <w:sz w:val="13"/>
                <w:szCs w:val="13"/>
                <w:color w:val="auto"/>
              </w:rPr>
              <w:t>(State)</w:t>
            </w:r>
          </w:p>
        </w:tc>
        <w:tc>
          <w:tcPr>
            <w:tcW w:w="620" w:type="dxa"/>
            <w:vAlign w:val="bottom"/>
          </w:tcPr>
          <w:p>
            <w:pPr>
              <w:ind w:left="1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84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3"/>
          </w:tcPr>
          <w:p>
            <w:pPr>
              <w:ind w:left="8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SOUNDHOUND AI,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SOUN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80" w:type="dxa"/>
            <w:vAlign w:val="bottom"/>
          </w:tcPr>
          <w:p>
            <w:pPr>
              <w:spacing w:after="0"/>
              <w:rPr>
                <w:sz w:val="3"/>
                <w:szCs w:val="3"/>
                <w:color w:val="auto"/>
              </w:rPr>
            </w:pPr>
          </w:p>
        </w:tc>
        <w:tc>
          <w:tcPr>
            <w:tcW w:w="2200" w:type="dxa"/>
            <w:vAlign w:val="bottom"/>
            <w:tcBorders>
              <w:bottom w:val="single" w:sz="8" w:color="0000EE"/>
            </w:tcBorders>
          </w:tcPr>
          <w:p>
            <w:pPr>
              <w:spacing w:after="0"/>
              <w:rPr>
                <w:sz w:val="3"/>
                <w:szCs w:val="3"/>
                <w:color w:val="auto"/>
              </w:rPr>
            </w:pPr>
          </w:p>
        </w:tc>
        <w:tc>
          <w:tcPr>
            <w:tcW w:w="1560" w:type="dxa"/>
            <w:vAlign w:val="bottom"/>
          </w:tcPr>
          <w:p>
            <w:pPr>
              <w:spacing w:after="0"/>
              <w:rPr>
                <w:sz w:val="3"/>
                <w:szCs w:val="3"/>
                <w:color w:val="auto"/>
              </w:rPr>
            </w:pPr>
          </w:p>
        </w:tc>
        <w:tc>
          <w:tcPr>
            <w:tcW w:w="18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0"/>
        </w:trPr>
        <w:tc>
          <w:tcPr>
            <w:tcW w:w="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20" w:type="dxa"/>
            <w:vAlign w:val="bottom"/>
            <w:gridSpan w:val="2"/>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7"/>
        </w:trPr>
        <w:tc>
          <w:tcPr>
            <w:tcW w:w="80" w:type="dxa"/>
            <w:vAlign w:val="bottom"/>
            <w:tcBorders>
              <w:bottom w:val="single" w:sz="8" w:color="2C2C2C"/>
            </w:tcBorders>
          </w:tcPr>
          <w:p>
            <w:pPr>
              <w:spacing w:after="0"/>
              <w:rPr>
                <w:sz w:val="4"/>
                <w:szCs w:val="4"/>
                <w:color w:val="auto"/>
              </w:rPr>
            </w:pPr>
          </w:p>
        </w:tc>
        <w:tc>
          <w:tcPr>
            <w:tcW w:w="22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tcPr>
          <w:p>
            <w:pPr>
              <w:spacing w:after="0"/>
              <w:rPr>
                <w:sz w:val="4"/>
                <w:szCs w:val="4"/>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2"/>
        </w:trPr>
        <w:tc>
          <w:tcPr>
            <w:tcW w:w="3840" w:type="dxa"/>
            <w:vAlign w:val="bottom"/>
            <w:gridSpan w:val="3"/>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3840" w:type="dxa"/>
            <w:vAlign w:val="bottom"/>
            <w:gridSpan w:val="3"/>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2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03/11/2024</w:t>
            </w:r>
          </w:p>
        </w:tc>
        <w:tc>
          <w:tcPr>
            <w:tcW w:w="1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280" w:type="dxa"/>
            <w:vAlign w:val="bottom"/>
            <w:gridSpan w:val="2"/>
            <w:vMerge w:val="continue"/>
          </w:tcPr>
          <w:p>
            <w:pPr>
              <w:spacing w:after="0"/>
              <w:rPr>
                <w:sz w:val="10"/>
                <w:szCs w:val="10"/>
                <w:color w:val="auto"/>
              </w:rPr>
            </w:pPr>
          </w:p>
        </w:tc>
        <w:tc>
          <w:tcPr>
            <w:tcW w:w="1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7"/>
                <w:szCs w:val="17"/>
                <w:color w:val="0000FF"/>
              </w:rPr>
              <w:t>Chief Product Officer</w:t>
            </w:r>
          </w:p>
        </w:tc>
        <w:tc>
          <w:tcPr>
            <w:tcW w:w="0" w:type="dxa"/>
            <w:vAlign w:val="bottom"/>
          </w:tcPr>
          <w:p>
            <w:pPr>
              <w:spacing w:after="0"/>
              <w:rPr>
                <w:sz w:val="1"/>
                <w:szCs w:val="1"/>
                <w:color w:val="auto"/>
              </w:rPr>
            </w:pPr>
          </w:p>
        </w:tc>
      </w:tr>
      <w:tr>
        <w:trPr>
          <w:trHeight w:val="115"/>
        </w:trPr>
        <w:tc>
          <w:tcPr>
            <w:tcW w:w="8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80" w:type="dxa"/>
            <w:vAlign w:val="bottom"/>
            <w:tcBorders>
              <w:bottom w:val="single" w:sz="8" w:color="2C2C2C"/>
            </w:tcBorders>
          </w:tcPr>
          <w:p>
            <w:pPr>
              <w:spacing w:after="0"/>
              <w:rPr>
                <w:sz w:val="8"/>
                <w:szCs w:val="8"/>
                <w:color w:val="auto"/>
              </w:rPr>
            </w:pPr>
          </w:p>
        </w:tc>
        <w:tc>
          <w:tcPr>
            <w:tcW w:w="2200" w:type="dxa"/>
            <w:vAlign w:val="bottom"/>
            <w:tcBorders>
              <w:bottom w:val="single" w:sz="8" w:color="2C2C2C"/>
            </w:tcBorders>
          </w:tcPr>
          <w:p>
            <w:pPr>
              <w:spacing w:after="0"/>
              <w:rPr>
                <w:sz w:val="8"/>
                <w:szCs w:val="8"/>
                <w:color w:val="auto"/>
              </w:rPr>
            </w:pPr>
          </w:p>
        </w:tc>
        <w:tc>
          <w:tcPr>
            <w:tcW w:w="156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3840" w:type="dxa"/>
            <w:vAlign w:val="bottom"/>
            <w:gridSpan w:val="3"/>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8"/>
        </w:trPr>
        <w:tc>
          <w:tcPr>
            <w:tcW w:w="2280" w:type="dxa"/>
            <w:vAlign w:val="bottom"/>
            <w:gridSpan w:val="2"/>
          </w:tcPr>
          <w:p>
            <w:pPr>
              <w:ind w:left="80"/>
              <w:spacing w:after="0" w:line="178" w:lineRule="exact"/>
              <w:rPr>
                <w:sz w:val="20"/>
                <w:szCs w:val="20"/>
                <w:color w:val="auto"/>
              </w:rPr>
            </w:pPr>
            <w:r>
              <w:rPr>
                <w:rFonts w:ascii="Times New Roman" w:cs="Times New Roman" w:eastAsia="Times New Roman" w:hAnsi="Times New Roman"/>
                <w:sz w:val="17"/>
                <w:szCs w:val="17"/>
                <w:color w:val="0000FF"/>
              </w:rPr>
              <w:t>03/13/2024</w:t>
            </w:r>
          </w:p>
        </w:tc>
        <w:tc>
          <w:tcPr>
            <w:tcW w:w="1560" w:type="dxa"/>
            <w:vAlign w:val="bottom"/>
          </w:tcPr>
          <w:p>
            <w:pPr>
              <w:spacing w:after="0"/>
              <w:rPr>
                <w:sz w:val="15"/>
                <w:szCs w:val="15"/>
                <w:color w:val="auto"/>
              </w:rPr>
            </w:pPr>
          </w:p>
        </w:tc>
        <w:tc>
          <w:tcPr>
            <w:tcW w:w="480" w:type="dxa"/>
            <w:vAlign w:val="bottom"/>
          </w:tcPr>
          <w:p>
            <w:pPr>
              <w:ind w:left="60"/>
              <w:spacing w:after="0"/>
              <w:rPr>
                <w:sz w:val="20"/>
                <w:szCs w:val="20"/>
                <w:color w:val="auto"/>
              </w:rPr>
            </w:pPr>
            <w:r>
              <w:rPr>
                <w:rFonts w:ascii="Arial" w:cs="Arial" w:eastAsia="Arial" w:hAnsi="Arial"/>
                <w:sz w:val="13"/>
                <w:szCs w:val="13"/>
                <w:color w:val="auto"/>
              </w:rPr>
              <w:t>Line)</w:t>
            </w:r>
          </w:p>
        </w:tc>
        <w:tc>
          <w:tcPr>
            <w:tcW w:w="13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80" w:type="dxa"/>
            <w:vAlign w:val="bottom"/>
            <w:gridSpan w:val="3"/>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1" w:lineRule="exact"/>
        <w:rPr>
          <w:sz w:val="24"/>
          <w:szCs w:val="24"/>
          <w:color w:val="auto"/>
        </w:rPr>
      </w:pPr>
    </w:p>
    <w:p>
      <w:pPr>
        <w:ind w:left="80"/>
        <w:spacing w:after="0"/>
        <w:rPr>
          <w:sz w:val="20"/>
          <w:szCs w:val="20"/>
          <w:color w:val="auto"/>
        </w:rPr>
      </w:pPr>
      <w:r>
        <w:rPr>
          <w:rFonts w:ascii="Arial" w:cs="Arial" w:eastAsia="Arial" w:hAnsi="Arial"/>
          <w:sz w:val="20"/>
          <w:szCs w:val="20"/>
          <w:color w:val="auto"/>
        </w:rPr>
        <w:t>Rule 10b5-1(c) Transaction Indication</w:t>
      </w:r>
    </w:p>
    <w:p>
      <w:pPr>
        <w:spacing w:after="0" w:line="217" w:lineRule="exact"/>
        <w:rPr>
          <w:sz w:val="24"/>
          <w:szCs w:val="24"/>
          <w:color w:val="auto"/>
        </w:rPr>
      </w:pPr>
    </w:p>
    <w:p>
      <w:pPr>
        <w:ind w:left="360" w:right="340" w:hanging="238"/>
        <w:spacing w:after="0" w:line="180" w:lineRule="auto"/>
        <w:tabs>
          <w:tab w:leader="none" w:pos="36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4" w:lineRule="exact"/>
        <w:rPr>
          <w:sz w:val="24"/>
          <w:szCs w:val="24"/>
          <w:color w:val="auto"/>
        </w:rPr>
      </w:pPr>
    </w:p>
    <w:p>
      <w:pPr>
        <w:sectPr>
          <w:pgSz w:w="11900" w:h="16838" w:orient="portrait"/>
          <w:cols w:equalWidth="0" w:num="2">
            <w:col w:w="3120" w:space="72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60"/>
              <w:spacing w:after="0"/>
              <w:rPr>
                <w:sz w:val="20"/>
                <w:szCs w:val="20"/>
                <w:color w:val="auto"/>
              </w:rPr>
            </w:pPr>
            <w:r>
              <w:rPr>
                <w:rFonts w:ascii="Arial" w:cs="Arial" w:eastAsia="Arial" w:hAnsi="Arial"/>
                <w:sz w:val="11"/>
                <w:szCs w:val="11"/>
                <w:b w:val="1"/>
                <w:bCs w:val="1"/>
                <w:color w:val="auto"/>
              </w:rPr>
              <w:t>2. Transaction</w:t>
            </w:r>
          </w:p>
        </w:tc>
        <w:tc>
          <w:tcPr>
            <w:tcW w:w="98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76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980" w:type="dxa"/>
            <w:vAlign w:val="bottom"/>
          </w:tcPr>
          <w:p>
            <w:pPr>
              <w:ind w:left="2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2000" w:type="dxa"/>
            <w:vAlign w:val="bottom"/>
            <w:gridSpan w:val="4"/>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0" w:type="dxa"/>
            <w:vAlign w:val="bottom"/>
            <w:gridSpan w:val="2"/>
          </w:tcPr>
          <w:p>
            <w:pPr>
              <w:ind w:left="760"/>
              <w:spacing w:after="0"/>
              <w:rPr>
                <w:sz w:val="20"/>
                <w:szCs w:val="20"/>
                <w:color w:val="auto"/>
              </w:rPr>
            </w:pPr>
            <w:r>
              <w:rPr>
                <w:rFonts w:ascii="Arial" w:cs="Arial" w:eastAsia="Arial" w:hAnsi="Arial"/>
                <w:sz w:val="11"/>
                <w:szCs w:val="11"/>
                <w:b w:val="1"/>
                <w:bCs w:val="1"/>
                <w:color w:val="auto"/>
              </w:rPr>
              <w:t>(Month/Day/Year)</w:t>
            </w:r>
          </w:p>
        </w:tc>
        <w:tc>
          <w:tcPr>
            <w:tcW w:w="98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2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2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2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2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6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2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2"/>
          </w:tcPr>
          <w:p>
            <w:pPr>
              <w:ind w:left="860"/>
              <w:spacing w:after="0"/>
              <w:rPr>
                <w:sz w:val="20"/>
                <w:szCs w:val="20"/>
                <w:color w:val="auto"/>
              </w:rPr>
            </w:pPr>
            <w:r>
              <w:rPr>
                <w:rFonts w:ascii="Times New Roman" w:cs="Times New Roman" w:eastAsia="Times New Roman" w:hAnsi="Times New Roman"/>
                <w:sz w:val="17"/>
                <w:szCs w:val="17"/>
                <w:color w:val="0000FF"/>
              </w:rPr>
              <w:t>03/11/2024</w:t>
            </w:r>
          </w:p>
        </w:tc>
        <w:tc>
          <w:tcPr>
            <w:tcW w:w="9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6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w w:val="98"/>
              </w:rPr>
              <w:t>50,416</w:t>
            </w:r>
          </w:p>
        </w:tc>
        <w:tc>
          <w:tcPr>
            <w:tcW w:w="640" w:type="dxa"/>
            <w:vAlign w:val="bottom"/>
            <w:tcBorders>
              <w:bottom w:val="single" w:sz="8" w:color="2C2C2C"/>
            </w:tcBorders>
          </w:tcPr>
          <w:p>
            <w:pPr>
              <w:jc w:val="right"/>
              <w:ind w:right="119"/>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5.972</w:t>
            </w:r>
            <w:r>
              <w:rPr>
                <w:rFonts w:ascii="Times New Roman" w:cs="Times New Roman" w:eastAsia="Times New Roman" w:hAnsi="Times New Roman"/>
                <w:sz w:val="21"/>
                <w:szCs w:val="21"/>
                <w:color w:val="008000"/>
                <w:w w:val="99"/>
                <w:vertAlign w:val="superscript"/>
              </w:rPr>
              <w:t>(2)</w:t>
            </w:r>
          </w:p>
        </w:tc>
        <w:tc>
          <w:tcPr>
            <w:tcW w:w="124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7"/>
                <w:szCs w:val="17"/>
                <w:color w:val="0000FF"/>
              </w:rPr>
              <w:t>512,732</w:t>
            </w:r>
            <w:r>
              <w:rPr>
                <w:rFonts w:ascii="Times New Roman" w:cs="Times New Roman" w:eastAsia="Times New Roman" w:hAnsi="Times New Roman"/>
                <w:sz w:val="21"/>
                <w:szCs w:val="21"/>
                <w:color w:val="008000"/>
                <w:vertAlign w:val="superscript"/>
              </w:rPr>
              <w:t>(3)</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1"/>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6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80" w:type="dxa"/>
            <w:vAlign w:val="bottom"/>
          </w:tcPr>
          <w:p>
            <w:pPr>
              <w:ind w:left="16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80" w:type="dxa"/>
            <w:vAlign w:val="bottom"/>
          </w:tcPr>
          <w:p>
            <w:pPr>
              <w:ind w:left="16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2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80" w:type="dxa"/>
            <w:vAlign w:val="bottom"/>
          </w:tcPr>
          <w:p>
            <w:pPr>
              <w:ind w:left="16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80" w:type="dxa"/>
            <w:vAlign w:val="bottom"/>
          </w:tcPr>
          <w:p>
            <w:pPr>
              <w:ind w:left="16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2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16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2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160"/>
              <w:spacing w:after="0"/>
              <w:rPr>
                <w:sz w:val="20"/>
                <w:szCs w:val="20"/>
                <w:color w:val="auto"/>
              </w:rPr>
            </w:pPr>
            <w:r>
              <w:rPr>
                <w:rFonts w:ascii="Arial" w:cs="Arial" w:eastAsia="Arial" w:hAnsi="Arial"/>
                <w:sz w:val="11"/>
                <w:szCs w:val="11"/>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160"/>
              <w:spacing w:after="0"/>
              <w:rPr>
                <w:sz w:val="20"/>
                <w:szCs w:val="20"/>
                <w:color w:val="auto"/>
              </w:rPr>
            </w:pPr>
            <w:r>
              <w:rPr>
                <w:rFonts w:ascii="Arial" w:cs="Arial" w:eastAsia="Arial" w:hAnsi="Arial"/>
                <w:sz w:val="11"/>
                <w:szCs w:val="11"/>
                <w:b w:val="1"/>
                <w:bCs w:val="1"/>
                <w:color w:val="auto"/>
              </w:rPr>
              <w:t>3, 4 and 5)</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2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80" w:type="dxa"/>
            <w:vAlign w:val="bottom"/>
          </w:tcPr>
          <w:p>
            <w:pPr>
              <w:ind w:left="16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98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(4)</w:t>
            </w:r>
          </w:p>
        </w:tc>
        <w:tc>
          <w:tcPr>
            <w:tcW w:w="640" w:type="dxa"/>
            <w:vAlign w:val="bottom"/>
          </w:tcPr>
          <w:p>
            <w:pPr>
              <w:jc w:val="right"/>
              <w:ind w:right="99"/>
              <w:spacing w:after="0"/>
              <w:rPr>
                <w:sz w:val="20"/>
                <w:szCs w:val="20"/>
                <w:color w:val="auto"/>
              </w:rPr>
            </w:pPr>
            <w:r>
              <w:rPr>
                <w:rFonts w:ascii="Times New Roman" w:cs="Times New Roman" w:eastAsia="Times New Roman" w:hAnsi="Times New Roman"/>
                <w:sz w:val="13"/>
                <w:szCs w:val="13"/>
                <w:color w:val="0000FF"/>
              </w:rPr>
              <w:t>Class A</w:t>
            </w:r>
          </w:p>
        </w:tc>
        <w:tc>
          <w:tcPr>
            <w:tcW w:w="620" w:type="dxa"/>
            <w:vAlign w:val="bottom"/>
            <w:vMerge w:val="restart"/>
          </w:tcPr>
          <w:p>
            <w:pPr>
              <w:jc w:val="right"/>
              <w:ind w:right="15"/>
              <w:spacing w:after="0"/>
              <w:rPr>
                <w:sz w:val="20"/>
                <w:szCs w:val="20"/>
                <w:color w:val="auto"/>
              </w:rPr>
            </w:pPr>
            <w:r>
              <w:rPr>
                <w:rFonts w:ascii="Times New Roman" w:cs="Times New Roman" w:eastAsia="Times New Roman" w:hAnsi="Times New Roman"/>
                <w:sz w:val="17"/>
                <w:szCs w:val="17"/>
                <w:color w:val="0000FF"/>
                <w:w w:val="94"/>
              </w:rPr>
              <w:t>200,000</w:t>
            </w:r>
          </w:p>
        </w:tc>
        <w:tc>
          <w:tcPr>
            <w:tcW w:w="60" w:type="dxa"/>
            <w:vAlign w:val="bottom"/>
          </w:tcPr>
          <w:p>
            <w:pPr>
              <w:spacing w:after="0"/>
              <w:rPr>
                <w:sz w:val="15"/>
                <w:szCs w:val="15"/>
                <w:color w:val="auto"/>
              </w:rPr>
            </w:pPr>
          </w:p>
        </w:tc>
        <w:tc>
          <w:tcPr>
            <w:tcW w:w="680" w:type="dxa"/>
            <w:vAlign w:val="bottom"/>
            <w:gridSpan w:val="2"/>
            <w:vMerge w:val="restart"/>
          </w:tcPr>
          <w:p>
            <w:pP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8.0089</w:t>
            </w:r>
            <w:r>
              <w:rPr>
                <w:rFonts w:ascii="Times New Roman" w:cs="Times New Roman" w:eastAsia="Times New Roman" w:hAnsi="Times New Roman"/>
                <w:sz w:val="21"/>
                <w:szCs w:val="21"/>
                <w:color w:val="008000"/>
                <w:vertAlign w:val="superscript"/>
              </w:rPr>
              <w:t>(5)</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right"/>
              <w:ind w:right="161"/>
              <w:spacing w:after="0" w:line="141" w:lineRule="exact"/>
              <w:rPr>
                <w:sz w:val="20"/>
                <w:szCs w:val="20"/>
                <w:color w:val="auto"/>
              </w:rPr>
            </w:pPr>
            <w:r>
              <w:rPr>
                <w:rFonts w:ascii="Times New Roman" w:cs="Times New Roman" w:eastAsia="Times New Roman" w:hAnsi="Times New Roman"/>
                <w:sz w:val="13"/>
                <w:szCs w:val="13"/>
                <w:color w:val="0000FF"/>
              </w:rPr>
              <w:t>03/13/2024</w:t>
            </w:r>
          </w:p>
        </w:tc>
        <w:tc>
          <w:tcPr>
            <w:tcW w:w="10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980" w:type="dxa"/>
            <w:vAlign w:val="bottom"/>
          </w:tcPr>
          <w:p>
            <w:pPr>
              <w:ind w:left="440"/>
              <w:spacing w:after="0" w:line="141" w:lineRule="exact"/>
              <w:rPr>
                <w:sz w:val="20"/>
                <w:szCs w:val="20"/>
                <w:color w:val="auto"/>
              </w:rPr>
            </w:pPr>
            <w:r>
              <w:rPr>
                <w:rFonts w:ascii="Times New Roman" w:cs="Times New Roman" w:eastAsia="Times New Roman" w:hAnsi="Times New Roman"/>
                <w:sz w:val="13"/>
                <w:szCs w:val="13"/>
                <w:color w:val="0000FF"/>
              </w:rPr>
              <w:t>200,000</w:t>
            </w: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40" w:type="dxa"/>
            <w:vAlign w:val="bottom"/>
          </w:tcPr>
          <w:p>
            <w:pPr>
              <w:ind w:left="4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60" w:type="dxa"/>
            <w:vAlign w:val="bottom"/>
            <w:gridSpan w:val="2"/>
          </w:tcPr>
          <w:p>
            <w:pPr>
              <w:ind w:left="140"/>
              <w:spacing w:after="0" w:line="141" w:lineRule="exact"/>
              <w:rPr>
                <w:sz w:val="20"/>
                <w:szCs w:val="20"/>
                <w:color w:val="auto"/>
              </w:rPr>
            </w:pPr>
            <w:r>
              <w:rPr>
                <w:rFonts w:ascii="Times New Roman" w:cs="Times New Roman" w:eastAsia="Times New Roman" w:hAnsi="Times New Roman"/>
                <w:sz w:val="13"/>
                <w:szCs w:val="13"/>
                <w:color w:val="0000FF"/>
              </w:rPr>
              <w:t>2,012,588</w:t>
            </w:r>
          </w:p>
        </w:tc>
        <w:tc>
          <w:tcPr>
            <w:tcW w:w="64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-1742440</wp:posOffset>
            </wp:positionV>
            <wp:extent cx="28575" cy="17475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7475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in December 2023.</w:t>
      </w:r>
    </w:p>
    <w:p>
      <w:pPr>
        <w:spacing w:after="0" w:line="41" w:lineRule="exact"/>
        <w:rPr>
          <w:rFonts w:ascii="Times New Roman" w:cs="Times New Roman" w:eastAsia="Times New Roman" w:hAnsi="Times New Roman"/>
          <w:sz w:val="13"/>
          <w:szCs w:val="13"/>
          <w:color w:val="008000"/>
        </w:rPr>
      </w:pPr>
    </w:p>
    <w:p>
      <w:pPr>
        <w:ind w:left="40" w:right="50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during the day at prices ranging from $5.69 to 6.25. The weighted-average price is reported above. The reporting person hereby undertakes to provide upon request to the SEC staff, the issuer or a security holder of the issuer full information regarding the number of shares and prices at which the transactions were effected.</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5,853 shares of common stock acquired in November 2023 through the SoundHound AI, Inc. 2022 Employee Stock Purchase Plan.</w:t>
      </w:r>
    </w:p>
    <w:p>
      <w:pPr>
        <w:spacing w:after="0" w:line="41" w:lineRule="exact"/>
        <w:rPr>
          <w:rFonts w:ascii="Times New Roman" w:cs="Times New Roman" w:eastAsia="Times New Roman" w:hAnsi="Times New Roman"/>
          <w:sz w:val="13"/>
          <w:szCs w:val="13"/>
          <w:color w:val="008000"/>
        </w:rPr>
      </w:pPr>
    </w:p>
    <w:p>
      <w:pPr>
        <w:ind w:left="40" w:right="58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into one share of Class A Common Stock at any time at the option of the reporting person or automatically or on the earliest to occur of certain events specified. The Class B Common Stock has no expiration date.</w:t>
      </w:r>
    </w:p>
    <w:p>
      <w:pPr>
        <w:spacing w:after="0" w:line="19" w:lineRule="exact"/>
        <w:rPr>
          <w:rFonts w:ascii="Times New Roman" w:cs="Times New Roman" w:eastAsia="Times New Roman" w:hAnsi="Times New Roman"/>
          <w:sz w:val="13"/>
          <w:szCs w:val="13"/>
          <w:color w:val="008000"/>
        </w:rPr>
      </w:pPr>
    </w:p>
    <w:p>
      <w:pPr>
        <w:ind w:left="40" w:right="32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13, 2024, a 10b5-1 transaction executed and sold 200,000 shares of this reporting person's Class B Common Stock, resulting in the automatic conversion of such shares into Class A Common Stock upon execution of the sale. This transaction was executed in multiple trades during the day at prices ranging from $8.00 to $8.06. The weighted-average price is reported above. The reporting person hereby undertakes to provide upon request to the SEC staff, the issuer or a security holder of the issuer full information regarding the number of shares and prices at which the transactions were effected.</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The Form 4, as originally filed, incorrectly reported a sale of Class B common shares. Mr. Hom sold 50,416 Class A common shares on March 11, 2024.</w:t>
      </w:r>
    </w:p>
    <w:p>
      <w:pPr>
        <w:ind w:left="6600"/>
        <w:spacing w:after="0" w:line="182" w:lineRule="auto"/>
        <w:rPr>
          <w:sz w:val="20"/>
          <w:szCs w:val="20"/>
          <w:color w:val="auto"/>
        </w:rPr>
      </w:pPr>
      <w:r>
        <w:rPr>
          <w:rFonts w:ascii="Times New Roman" w:cs="Times New Roman" w:eastAsia="Times New Roman" w:hAnsi="Times New Roman"/>
          <w:sz w:val="17"/>
          <w:szCs w:val="17"/>
          <w:color w:val="0000FF"/>
        </w:rPr>
        <w:t xml:space="preserve">/s /Warren Heit, attorney-in-fact </w:t>
      </w:r>
      <w:r>
        <w:rPr>
          <w:rFonts w:ascii="Times New Roman" w:cs="Times New Roman" w:eastAsia="Times New Roman" w:hAnsi="Times New Roman"/>
          <w:sz w:val="33"/>
          <w:szCs w:val="33"/>
          <w:color w:val="0000FF"/>
          <w:vertAlign w:val="subscript"/>
        </w:rPr>
        <w:t>03/21/2024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-26035</wp:posOffset>
            </wp:positionV>
            <wp:extent cx="13455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for HOM JAMES MING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-21590</wp:posOffset>
            </wp:positionV>
            <wp:extent cx="10598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59815" cy="825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-86360</wp:posOffset>
            </wp:positionV>
            <wp:extent cx="4787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2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ind w:right="3839"/>
        <w:spacing w:after="0" w:line="250" w:lineRule="auto"/>
        <w:rPr>
          <w:sz w:val="20"/>
          <w:szCs w:val="20"/>
          <w:color w:val="auto"/>
        </w:rPr>
      </w:pPr>
      <w:r>
        <w:rPr>
          <w:rFonts w:ascii="Courier New" w:cs="Courier New" w:eastAsia="Courier New" w:hAnsi="Courier New"/>
          <w:sz w:val="17"/>
          <w:szCs w:val="17"/>
          <w:color w:val="auto"/>
        </w:rPr>
        <w:t>LIMITED POWER OF ATTORNEY FOR REPORTING UNDER SECTION 16(a) OF THE SECURITIES EXCHANGE ACT OF 1934, AS AMENDED SOUNDHOUND AI,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HOM JAMES MING - CIK # 0001920481</w:t>
      </w:r>
    </w:p>
    <w:p>
      <w:pPr>
        <w:spacing w:after="0" w:line="159" w:lineRule="exact"/>
        <w:rPr>
          <w:sz w:val="20"/>
          <w:szCs w:val="20"/>
          <w:color w:val="auto"/>
        </w:rPr>
      </w:pPr>
    </w:p>
    <w:p>
      <w:pPr>
        <w:ind w:right="3839" w:firstLine="497"/>
        <w:spacing w:after="0" w:line="247"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spacing w:after="0" w:line="1" w:lineRule="exact"/>
        <w:rPr>
          <w:sz w:val="20"/>
          <w:szCs w:val="20"/>
          <w:color w:val="auto"/>
        </w:rPr>
      </w:pPr>
    </w:p>
    <w:p>
      <w:pPr>
        <w:ind w:right="3839" w:firstLine="498"/>
        <w:spacing w:after="0" w:line="252" w:lineRule="auto"/>
        <w:tabs>
          <w:tab w:leader="none" w:pos="894"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any Form 3, 4, or 5 in accordance with Section 16(a) of the Securities Exchange Act of 1934, as amended, and the rules thereunder;</w:t>
      </w:r>
    </w:p>
    <w:p>
      <w:pPr>
        <w:spacing w:after="0" w:line="2" w:lineRule="exact"/>
        <w:rPr>
          <w:rFonts w:ascii="Courier New" w:cs="Courier New" w:eastAsia="Courier New" w:hAnsi="Courier New"/>
          <w:sz w:val="16"/>
          <w:szCs w:val="16"/>
          <w:color w:val="auto"/>
        </w:rPr>
      </w:pPr>
    </w:p>
    <w:p>
      <w:pPr>
        <w:ind w:right="3339" w:firstLine="498"/>
        <w:spacing w:after="0" w:line="238" w:lineRule="auto"/>
        <w:tabs>
          <w:tab w:leader="none" w:pos="894"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ind w:right="3239" w:firstLine="498"/>
        <w:spacing w:after="0" w:line="238" w:lineRule="auto"/>
        <w:tabs>
          <w:tab w:leader="none" w:pos="894"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3139" w:firstLine="497"/>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3039"/>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839" w:firstLine="497"/>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539" w:firstLine="497"/>
        <w:spacing w:after="0" w:line="30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4 day of May, 2022.</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James Ming Hom</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rPr>
          <w:sz w:val="20"/>
          <w:szCs w:val="20"/>
          <w:color w:val="auto"/>
        </w:rPr>
      </w:pPr>
      <w:r>
        <w:rPr>
          <w:rFonts w:ascii="Courier New" w:cs="Courier New" w:eastAsia="Courier New" w:hAnsi="Courier New"/>
          <w:sz w:val="17"/>
          <w:szCs w:val="17"/>
          <w:color w:val="auto"/>
        </w:rPr>
        <w:t>Signature</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James Ming Hom</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20481" TargetMode="External"/><Relationship Id="rId13"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2024-03-21T20:24:01Z</dcterms:created>
  <dcterms:modified xsi:type="dcterms:W3CDTF">2024-03-21T20:24:01Z</dcterms:modified>
</cp:coreProperties>
</file>