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April 9, 2022</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ARCHIMEDES TECH SPAC PARTNERS CO.</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86-1286799</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2093 Philadelphia Pike #1968</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Claymont, DE 19703</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(650) 560 4753</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Units, each consisting of one subunit and one-</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ATSPU</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quarter of one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Subunits included as part of the units, each</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4"/>
              </w:rPr>
              <w:t>ATSPT</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consisting of one share of common stock, $.0001</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par value, and one-quarter of one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warrants</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ATSPW</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9, 2022, Archimedes Tech SPAC Partners Co., a Delaware corporation (“Archimedes”) entered into a subscription agreement (“Subscription Agreement”) with an accredited investor (the “New Subscriber”) pursuant to which the New Subscriber agreed to purchase, and Archimedes has agreed to sell, 200,000 shares of Class A Common Stock, par value $0.0001 per share, of Archimedes (“Class A Common Stock”), at a purchase price of $10.00 per share for gross proceeds of $2,000,000. The subscription was made in connection with the previously reported planned merger (the “Merger”) pursuant to the Merger Agreement (the “Merger Agreement”), dated as of November 15, 2021, by and among Archimedes, ATSPC Merger Sub, Inc., a Delaware corporation and a wholly owned subsidiary of Archimedes (“Merger Sub”), and SoundHound, Inc., a Delaware corporation (“SoundHound”).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reported, in connection with the execution of the Merger Agreement, Archimedes entered into Subscription Agreements with certain accredited investors (the “Subscribers”) pursuant to which the Subscribers agreed to purchase, and Archimedes agreed to sell, an aggregate of 11,100,000 shares of Class A Common Stock, for a purchase price of $10.00 per share and aggregate gross proceeds of $111,000,000 in a PIPE transaction. With the new Subscription Agreement, the PIPE investment increased to an aggregate of 11,300,000 shares of Class A Common Stock and aggregate gross proceeds of $113,000,000. The obligations to consummate the transactions contemplated by the Subscription Agreements are conditioned upon, among other things, customary closing conditions and the consummation of the Merger and related transactions contemplated by the Merger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Subscription Agreement is not complete and is subject to and qualified in its entirety by reference to the Subscription Agreement, a copy of which is filed with this Current Report on Form 8-K as Exhibit 10.1, and the terms of which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Lock-Up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On April 14, 2022, Archimedes amended the lock-up agreement (the “Amendment”) previously entered into with the chief executive officer of SoundHound, Keyvan Mohajer, to extend the lock-up period applicable to Mr. Mohajer from six months to one year from the date of the closing of the Merger. As previously reported, pursuant to lock-up agreements entered into between Archimedes and certain key SoundHound stockholders, including Mr. Mohajer, such holders agreed not to (i) sell, offer to sell, contract or agree to sell, pledge or otherwise dispose of, directly or indirectly, any shares of Class A Common Stock and Class B Common Stock (collectively, “Common Stock”) held by them (such shares, together with any securities convertible into or exchangeable for or representing the rights to receive shares of Common Stock if any, acquired during the lock-up period,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during the applicable lock-up period. No terms of the original lock-up agreement were amended in connection with the Amendment other than the extension of the lock-up period applicable to Mr. Mohajer.</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not complete and is subject to and qualified in its entirety by reference to the Amendment, a copy of which is filed with this Current Report on Form 8-K as Exhibit 10.2, and the terms of which are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information set forth above in Item 1.01 of this Report under the heading “</w:t>
      </w:r>
      <w:r>
        <w:rPr>
          <w:rFonts w:ascii="Times New Roman" w:cs="Times New Roman" w:eastAsia="Times New Roman" w:hAnsi="Times New Roman"/>
          <w:sz w:val="18"/>
          <w:szCs w:val="18"/>
          <w:i w:val="1"/>
          <w:iCs w:val="1"/>
          <w:color w:val="auto"/>
        </w:rPr>
        <w:t>Subscription Agreement</w:t>
      </w:r>
      <w:r>
        <w:rPr>
          <w:rFonts w:ascii="Times New Roman" w:cs="Times New Roman" w:eastAsia="Times New Roman" w:hAnsi="Times New Roman"/>
          <w:sz w:val="18"/>
          <w:szCs w:val="18"/>
          <w:color w:val="auto"/>
        </w:rPr>
        <w:t>” is incorporated by reference herein. The shares of Class A Common Stock to be issued in connection with the Subscription Agreement will not be registered under the Securities Act, in reliance on the exemption from registration provided by Section 4(a)(2) of the Securities Act and/or Regulation D promulgated thereunder.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Stockholders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document relates to a proposed transaction between Archimedes and SoundHound. This document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Archimedes has filed a registration statement on Form S-4 (Registration No. 333-262094) with the SEC, which includes a document that serves as a prospectus and proxy statement of Archimedes, referred to as a proxy statement/prospectus. A proxy statement/prospectus is being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Investors and security holders can obtain free copies of the registration statement, the proxy statement/prospectus and all other relevant documents filed or that will be filed with the SEC by Archimedes through the website maintained by the SEC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are not historical facts but are forward-looking statements.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estimates and forecasts of other performance metrics and projections of market opportunity. These statements are based on various assumptions, whether or not identified in this Current Report on Form 8-K and on the current expectations of Archimedes’ and SoundHound’s respective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Archimedes and SoundHound. Some important factors that could cause actual results to differ materially from those in any forward-looking statements could include changes in domestic and foreign business, market, financial, political and legal conditions.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including, the inability of the parties to successfully or timely consummate the Merger, including the risk that any required regulatory approvals are not obtained, are delayed or are subject to unanticipated conditions that could adversely affect the Company or the expected benefits of the Merger, if not obtained; the failure to realize the anticipated benefits of the Merger; matters discovered by the parties as they complete their respective due diligence investigation of the other parties; the ability of Archimedes prior to the Merger, and the Company following the Merger, to maintain the listing of the Company’s shares on Nasdaq; costs related to the Merger; the failure to satisfy the conditions to the consummation of the Merger, including the approval of the Merger Agreement by the shareholders of Archimedes, the satisfaction of the minimum cash requirements of the Merger Agreement, which is an amount equal to the PIPE commitments as of the date of the Merger Agreement, following any redemptions by Archimedes’ public shareholders; the risk that the Merger may not be completed by the stated deadline and the potential failure to obtain an extension of the stated deadline; the inability to complete a PIPE transaction; the outcome of any legal proceedings that may be instituted against Archimedes or SoundHound related to the Merger; the attraction and retention of qualified directors, officers, employees and key personnel of Archimedes and SoundHound prior to the Merger, and SoundHound following the Merger; the ability of SoundHound to compete effectively in a highly competitive market; the ability to protect and enhance SoundHound’s corporate reputation and brand; the impact from future regulatory, judicial, and legislative changes in SoundHound’s industry; the uncertain effects of the COVID-19 pandemic; competition from larger technology companies that have greater resources, technology, relationships and/or expertise; future financial performance of SoundHound following the Merger including the ability of future revenues to meet projected annual bookings; the ability of SoundHound to forecast and maintain an adequate rate of revenue growth and appropriately plan its expenses; the ability of SoundHound to generate sufficient revenue from each of its revenue streams; the ability of SoundHound’s patents and patent applications to protect SoundHound’s core technologies from competitors; SoundHound’s ability to manage a complex set of marketing relationships and realize projected revenues from subscriptions, advertisements, product sales and/or services; SoundHound’s ability to execute its business plans and strategy; and those factors set forth in documents of Archimedes filed, or to be filed, with SEC. The foregoing list of risks is not exhaustive.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 There may be additional risks that neither Archimedes nor SoundHound presently know, or that Archimedes and SoundHound currently believe are immaterial that could also cause actual results to differ from those contained in the forward-looking statements. In addition, forward-looking statements reflect Archimedes’ and SoundHound’s current expectations, plans and forecasts of future events and views as of the date hereof. Nothing in this Current Report on Form 8-K and the attachments hereto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Current Report on Form 8-K and the attachments hereto, which speak only as of the date they are made and are qualified in their entirety by reference to the cautionary statements herein and the risk factors of Archimedes and SoundHound described above. Archimedes and SoundHound anticipate that subsequent events and developments will cause their assessments to change. However, while Archimedes and SoundHound may elect to update these forward-looking statements at some point in the future, they each specifically disclaim any obligation to do so, except as required by law. These forward-looking statements should not be relied upon as representing Archimedes’ or SoundHound’s assessments as of any date subsequent to the date of this Current Report. Accordingly, undue reliance should not be placed upon the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Archimedes and SoundHound and their respective directors and executive officers may be deemed to be participants in the solicitation of proxies from Archimedes’ stockholders in connection with the proposed transaction. A list of the names of the directors and executive officers of Archimedes and information regarding their interests in the Merger are contained in the proxy statement/prospectus. You may obtain free copies of these documents as described in the preceding paragraph.</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any securities in any state or jurisdiction in which such offer, solicitation, or sale would be unlawful prior to registration or qualification under the securities laws of such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44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w:t>
            </w:r>
            <w:r>
              <w:rPr>
                <w:rFonts w:ascii="Times New Roman" w:cs="Times New Roman" w:eastAsia="Times New Roman" w:hAnsi="Times New Roman"/>
                <w:sz w:val="18"/>
                <w:szCs w:val="18"/>
                <w:color w:val="auto"/>
              </w:rPr>
              <w:t>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auto"/>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Form of Subscription Agreement.</w:t>
              </w:r>
            </w:hyperlink>
          </w:p>
        </w:tc>
        <w:tc>
          <w:tcPr>
            <w:tcW w:w="766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832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Amendment to Lock-Up Agreement, dated as of April 14, 2022, by and between Archimedes and Keyvan Mohajer.</w:t>
              </w:r>
            </w:hyperlink>
          </w:p>
        </w:tc>
        <w:tc>
          <w:tcPr>
            <w:tcW w:w="1780" w:type="dxa"/>
            <w:vAlign w:val="bottom"/>
          </w:tcPr>
          <w:p>
            <w:pPr>
              <w:spacing w:after="0"/>
              <w:rPr>
                <w:sz w:val="15"/>
                <w:szCs w:val="15"/>
                <w:color w:val="auto"/>
              </w:rPr>
            </w:pPr>
          </w:p>
        </w:tc>
      </w:tr>
    </w:tbl>
    <w:p>
      <w:pPr>
        <w:spacing w:after="0" w:line="9" w:lineRule="exact"/>
        <w:rPr>
          <w:sz w:val="20"/>
          <w:szCs w:val="20"/>
          <w:color w:val="auto"/>
        </w:rPr>
      </w:pPr>
    </w:p>
    <w:p>
      <w:pPr>
        <w:ind w:left="5580" w:right="208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Long Long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is entered into this 9th day of April, 2022, by and between Archimedes Tech SPAC Partners Co.,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undersigned subscriber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 Defined terms used but not otherwise defined herein shall have the respective meanings ascribed thereto in the Transaction Agreement (as defined below).</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the Company has entered into the Merger Agreement, dated as of November 15, 2021 (as it may be amended,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the Company, ATSPC Merger Sub, Inc., a Delaware corporation and wholly-owned subsidiary of ATSP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SoundHound, Inc., a Delaware corporation (together with its subsidiaries, “</w:t>
      </w:r>
      <w:r>
        <w:rPr>
          <w:rFonts w:ascii="Times New Roman" w:cs="Times New Roman" w:eastAsia="Times New Roman" w:hAnsi="Times New Roman"/>
          <w:sz w:val="18"/>
          <w:szCs w:val="18"/>
          <w:b w:val="1"/>
          <w:bCs w:val="1"/>
          <w:color w:val="auto"/>
        </w:rPr>
        <w:t>SoundHound</w:t>
      </w:r>
      <w:r>
        <w:rPr>
          <w:rFonts w:ascii="Times New Roman" w:cs="Times New Roman" w:eastAsia="Times New Roman" w:hAnsi="Times New Roman"/>
          <w:sz w:val="18"/>
          <w:szCs w:val="18"/>
          <w:color w:val="auto"/>
        </w:rPr>
        <w:t>”), pursuant to which, among other things, Merger Sub will merge with and into SoundHound, and SoundHound will continue as the surviving corporation and as a wholly-owned subsidiary of the Company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in connection with and contingent on the closing of the Transaction (the “</w:t>
      </w:r>
      <w:r>
        <w:rPr>
          <w:rFonts w:ascii="Times New Roman" w:cs="Times New Roman" w:eastAsia="Times New Roman" w:hAnsi="Times New Roman"/>
          <w:sz w:val="18"/>
          <w:szCs w:val="18"/>
          <w:b w:val="1"/>
          <w:bCs w:val="1"/>
          <w:color w:val="auto"/>
        </w:rPr>
        <w:t>Transaction Closing</w:t>
      </w:r>
      <w:r>
        <w:rPr>
          <w:rFonts w:ascii="Times New Roman" w:cs="Times New Roman" w:eastAsia="Times New Roman" w:hAnsi="Times New Roman"/>
          <w:sz w:val="18"/>
          <w:szCs w:val="18"/>
          <w:color w:val="auto"/>
        </w:rPr>
        <w:t>”), as contemplated by the Transaction Agreement, and pursuant to the terms and conditions hereof, Subscriber desires to subscribe for and purchase from the Company that number of the Company’s Class A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set forth on the signature page hereto for a purchase price of $10.00 per share (the “</w:t>
      </w:r>
      <w:r>
        <w:rPr>
          <w:rFonts w:ascii="Times New Roman" w:cs="Times New Roman" w:eastAsia="Times New Roman" w:hAnsi="Times New Roman"/>
          <w:sz w:val="18"/>
          <w:szCs w:val="18"/>
          <w:b w:val="1"/>
          <w:bCs w:val="1"/>
          <w:color w:val="auto"/>
        </w:rPr>
        <w:t>Per Share Price</w:t>
      </w:r>
      <w:r>
        <w:rPr>
          <w:rFonts w:ascii="Times New Roman" w:cs="Times New Roman" w:eastAsia="Times New Roman" w:hAnsi="Times New Roman"/>
          <w:sz w:val="18"/>
          <w:szCs w:val="18"/>
          <w:color w:val="auto"/>
        </w:rPr>
        <w:t>”), or the aggregate purchase price set forth on the signature page hereto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and the Company desires to issue and sell to Subscriber at the Closing the Securities (as defined below) in consideration of the payment of the Purchase Price by or on behalf of Subscriber to the Company on or prior to the Closing (as defined below); and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Transaction, certain other “accredited investors” (within the meaning of Rule 501(a)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“qualified institutional buyers” (within the meaning of Rule 144A under the Securities Act) (the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Subscribers</w:t>
      </w:r>
      <w:r>
        <w:rPr>
          <w:rFonts w:ascii="Times New Roman" w:cs="Times New Roman" w:eastAsia="Times New Roman" w:hAnsi="Times New Roman"/>
          <w:sz w:val="18"/>
          <w:szCs w:val="18"/>
          <w:color w:val="auto"/>
        </w:rPr>
        <w:t>”) have entered into separate subscription agreements with the Company (“</w:t>
      </w:r>
      <w:r>
        <w:rPr>
          <w:rFonts w:ascii="Times New Roman" w:cs="Times New Roman" w:eastAsia="Times New Roman" w:hAnsi="Times New Roman"/>
          <w:sz w:val="18"/>
          <w:szCs w:val="18"/>
          <w:b w:val="1"/>
          <w:bCs w:val="1"/>
          <w:color w:val="auto"/>
        </w:rPr>
        <w:t>Other Subscription Agreements</w:t>
      </w:r>
      <w:r>
        <w:rPr>
          <w:rFonts w:ascii="Times New Roman" w:cs="Times New Roman" w:eastAsia="Times New Roman" w:hAnsi="Times New Roman"/>
          <w:sz w:val="18"/>
          <w:szCs w:val="18"/>
          <w:color w:val="auto"/>
        </w:rPr>
        <w:t>”) substantially similar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 Agreement, pursuant to which such Other Subscribers have agreed, severally and not jointly, to purchase on the closing date of the Transaction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an aggregate of up to 11,100,000 shares of Common Stock at the Per Share Price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pursuant to the terms and subject to the conditions, herein contained, and intending to be legally bound hereby, the parties hereto hereby agree as follows, severally and not jointly with any Other Subscriber in the offering contemplated by this Subscription Agreement:</w:t>
      </w:r>
    </w:p>
    <w:p>
      <w:pPr>
        <w:spacing w:after="0" w:line="176" w:lineRule="exact"/>
        <w:rPr>
          <w:sz w:val="20"/>
          <w:szCs w:val="20"/>
          <w:color w:val="auto"/>
        </w:rPr>
      </w:pPr>
    </w:p>
    <w:p>
      <w:pPr>
        <w:jc w:val="both"/>
        <w:ind w:firstLine="656"/>
        <w:spacing w:after="0" w:line="261" w:lineRule="auto"/>
        <w:tabs>
          <w:tab w:leader="none" w:pos="8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Subject to the terms and conditions hereof, Subscriber hereby subscribes for and agrees to purchase from the Company at the Closing, and the Company hereby agrees to issue and sell to Subscriber, at the Closing, upon the payment of the Purchase Price, that number of shares of Common Stock set forth on the signature page hereto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on the terms and conditions set forth herein (such subscription and issuance, the “</w:t>
      </w: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840" w:hanging="184"/>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Subscriber’s Representations, Warranties and Agreements</w:t>
      </w:r>
      <w:r>
        <w:rPr>
          <w:rFonts w:ascii="Times New Roman" w:cs="Times New Roman" w:eastAsia="Times New Roman" w:hAnsi="Times New Roman"/>
          <w:sz w:val="18"/>
          <w:szCs w:val="18"/>
          <w:color w:val="auto"/>
        </w:rPr>
        <w:t>. To induce the Company to issue the Securities to Subscriber, Subscriber hereby represents and warrants to the Company and agrees with the Company as follows: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2.1.1 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Subscriber’s obligations under this Subscription Agreement.</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2.1.2 If Subscriber is not an individual, this Subscription Agreement has been duly authorized, executed and delivered by Subscriber. If Subscriber is an individual, the signature on this Subscription Agreement is genuine, and Subscriber has legal competence and capacity to execute the same. Assuming the due authorization, execution and delivery of the Subscription Agreement by the Company, this Subscription Agreement constitutes a valid and binding obligation of Subscriber, enforceable against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2.1.3 The execution, delivery and performance by Subscriber of this Subscription Agreement and the consummation of the transactions contemplated herein do not and will not (i)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any indenture, mortgage, deed of trust, loan agreement, lease, license or other agreement or instrument to which Subscriber is a party or by which Subscriber is bound or to which any of the property or assets of Subscriber is subject, which would reasonably be expected to materially and adversely affect the legal authority or ability of Subscriber to comply in all material respects with the terms of this Subscription Agreement (a “</w:t>
      </w:r>
      <w:r>
        <w:rPr>
          <w:rFonts w:ascii="Times New Roman" w:cs="Times New Roman" w:eastAsia="Times New Roman" w:hAnsi="Times New Roman"/>
          <w:sz w:val="18"/>
          <w:szCs w:val="18"/>
          <w:b w:val="1"/>
          <w:bCs w:val="1"/>
          <w:color w:val="auto"/>
        </w:rPr>
        <w:t>Subscriber Material Adverse Effect</w:t>
      </w:r>
      <w:r>
        <w:rPr>
          <w:rFonts w:ascii="Times New Roman" w:cs="Times New Roman" w:eastAsia="Times New Roman" w:hAnsi="Times New Roman"/>
          <w:sz w:val="18"/>
          <w:szCs w:val="18"/>
          <w:color w:val="auto"/>
        </w:rPr>
        <w:t>”); (ii) if Subscriber is not an individual, result in any violation of the provisions of the organizational documents of Subscriber or any of its subsidiaries in any material respect; or (iii) result in any violation of any statute or any judgment, order, rule or regulation of any court or government or governmental, tribunal, judicial, administrative federal, state, local, or foreign or any agency, bureau, board, commission instrumentality or authority thereof, including any state’s attorney general or any court or arbitrator (public or private)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having jurisdiction over Subscriber or any of its subsidiaries or any of their respective properties that would reasonably be expected to have a Subscriber Material Adverse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2.1.4 Subscriber (i) is a “qualified institutional buyer” (as defined in Rule 144A under the Securities Act)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acquiring the Securities only for its own account and not for the account of others, or if Subscriber is subscribing for the Securities as a fiduciary or agent for one or more investor accounts, each owner of such account is a “qualified institutional buyer” or an “accredited investor” and Subscriber has full investment discretion with respect to each such account, and the full power and authority to make the acknowledgements, representations, warranties and agreements herein on behalf of each owner of each such account, and (iii) is not acquiring the Securities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following the signature page hereto). Nothing contained herein shall be deemed a representation or warranty by Subscriber to hold the Securities for any period of time. Subscriber is not an entity formed for the specific purpose of acquiring the Securities unless such entity is an accredited investor within the meaning of Rule 501(a)(8) under the Securities Act and all of the equity owners in such entity are accredited investors.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2.1.5 Subscriber understands and agrees that the Securities are being offered in a transaction not involving any public offering within the meaning of the Securities Act and that the Securities have not been registered under the Securities Act. Subscriber understands and agrees that the Securities may not be resold, transferred, pledged or otherwise disposed of by Subscriber absent an effective registration statement under the Securities Act with respect to the Securities except (i) to the Company or a subsidiary thereof, or (ii) pursuant to another applicable exemption from the registration requirements of the Securities Act that is available and that any book entries representing the Securities shall contain a restrictive legend in substantially the form provided in Section 4.4 hereof. Subscriber understands and agrees that the Securities will not be eligible for resale pursuant to Rule 144 promulgated under the Securities Act for at least a year after the Closing Date and that the provisions of Rule 144(i) will apply to the Shares. Subscriber understands and agrees that the Securities will be subject to the foregoing transfer restrictions and, as a result of these transfer restrictions, Subscriber may not be able to readily resell the Securities and may be required to bear the financial risk of an investment in the Securities for an indefinite period of time. Subscriber understands that it has been advised to consult legal, tax and accounting counsel prior to making any offer, resale, transfer, pledge or other disposition of any of the Securities.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2.1.6 Subscriber understands and agrees that Subscriber is purchasing the Securities directly from the Company. Subscriber further acknowledges that there have been no representations, warranties, covenants and agreements made to Subscriber by the Company or any of its officers or directors, expressly or by implication, other than those representations, warranties, covenants and agreements included in this Subscription Agreement, and Subscriber is not relying on any representations, warranties or covenants other than those expressly set forth in this Subscription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2.1.7 Subscriber represents and warrants that (i) it is not a Benefit Plan Investor as contemplated by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or (ii) its acquisition and holding of the Securities will not constitute or result in a non-exempt prohibited transaction under Section 406 of ERISA, Section 4975 of the Internal Revenue Code of 1986, as amended, or any applicable similar law, to the extent such laws are applicable to Subscriber.</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2.1.8 In making its decision to purchase the Securities, Subscriber represents that it has relied solely upon independent investigation made by Subscriber and the representations, warranties, and covenants of the Company contained in this Subscription Agreement. Subscriber acknowledges and agrees that Subscriber has received and has had an adequate opportunity to review, such financial and other information as Subscriber deems necessary in order to make an investment decision with respect to the Securities and made its own assessment and is satisfied concerning the relevant tax and other economic considerations relevant to Subscriber’s investment in the Securities. Without limiting the generality of the foregoing, Subscriber acknowledges that it has reviewed the documents provided to Subscriber by the Company, including (collectively, the “</w:t>
      </w:r>
      <w:r>
        <w:rPr>
          <w:rFonts w:ascii="Times New Roman" w:cs="Times New Roman" w:eastAsia="Times New Roman" w:hAnsi="Times New Roman"/>
          <w:sz w:val="18"/>
          <w:szCs w:val="18"/>
          <w:b w:val="1"/>
          <w:bCs w:val="1"/>
          <w:color w:val="auto"/>
        </w:rPr>
        <w:t>Disclosure Documents</w:t>
      </w:r>
      <w:r>
        <w:rPr>
          <w:rFonts w:ascii="Times New Roman" w:cs="Times New Roman" w:eastAsia="Times New Roman" w:hAnsi="Times New Roman"/>
          <w:sz w:val="18"/>
          <w:szCs w:val="18"/>
          <w:color w:val="auto"/>
        </w:rPr>
        <w:t>”): (i) the final prospectus of the Company, dated as of March 10, 2021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(File Nos. 333-253108 and 333-254114) on March 12, 2021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(ii) each SEC Document (as defined below) through the date of this Subscription Agreement, (iii) the Transaction Agreement, a copy of which has been filed by the Company with the Commission and (iv) the investor presentation by the Company and SoundHound (the “</w:t>
      </w:r>
      <w:r>
        <w:rPr>
          <w:rFonts w:ascii="Times New Roman" w:cs="Times New Roman" w:eastAsia="Times New Roman" w:hAnsi="Times New Roman"/>
          <w:sz w:val="18"/>
          <w:szCs w:val="18"/>
          <w:b w:val="1"/>
          <w:bCs w:val="1"/>
          <w:color w:val="auto"/>
        </w:rPr>
        <w:t>Investor Presentation</w:t>
      </w:r>
      <w:r>
        <w:rPr>
          <w:rFonts w:ascii="Times New Roman" w:cs="Times New Roman" w:eastAsia="Times New Roman" w:hAnsi="Times New Roman"/>
          <w:sz w:val="18"/>
          <w:szCs w:val="18"/>
          <w:color w:val="auto"/>
        </w:rPr>
        <w:t>”), a copy of which has been furnished by the Company to the Commission. Subscriber represents and agrees that Subscriber and its professional advisor(s), if any, have had the full opportunity to ask the Company’s management questions, receive such answers and obtain such information as Subscriber and its professional advisor(s), if any, have deemed necessary to make an investment decision with respect to the Securities. The Subscriber further acknowledges that the information contained in the Disclosure Documents is subject to change, and that any changes to the information contained in the Disclosure Documents, including any changes based on updated information or changes in terms of the Transaction, shall in no way affect Subscriber’s obligation to purchase the Securities hereunder, except as otherwise provided herein including pursuant to Section 3.2 hereof. Subscriber acknowledges and agrees that (i) it has not relied on any statements or other information provided by Guggenheim Securities, LLC (the “</w:t>
      </w:r>
      <w:r>
        <w:rPr>
          <w:rFonts w:ascii="Times New Roman" w:cs="Times New Roman" w:eastAsia="Times New Roman" w:hAnsi="Times New Roman"/>
          <w:sz w:val="18"/>
          <w:szCs w:val="18"/>
          <w:b w:val="1"/>
          <w:bCs w:val="1"/>
          <w:color w:val="auto"/>
        </w:rPr>
        <w:t>Advisor</w:t>
      </w:r>
      <w:r>
        <w:rPr>
          <w:rFonts w:ascii="Times New Roman" w:cs="Times New Roman" w:eastAsia="Times New Roman" w:hAnsi="Times New Roman"/>
          <w:sz w:val="18"/>
          <w:szCs w:val="18"/>
          <w:color w:val="auto"/>
        </w:rPr>
        <w:t>”) or any of the Advisor’s affiliates with respect to its decision to invest in the Securities, including information related to the Company, SoundHound, the Securities and the offer and sale of the Securities, (ii) neither the Advisor, nor any of the Advisor’s affiliates, has provided Subscriber with any information or advice with respect to the Securities, nor is such information or advice necessary or desired, and (iii) neither the Advisor, nor any of the Advisor’s affiliates, has prepared any disclosure or offering document in connection with the offer and sale of the Securities. Neither the Advisor, nor any of the Advisor’s affiliates, has made or makes any representation as to the Company, SoundHound or the quality or value of the Securities and the Advisor and its affiliates may have acquired non-public information with respect to the Company which Subscriber agrees need not be provided to it. Subscriber agrees the Advisor shall not be liable to Subscriber for any action heretofore or hereafter taken or omitted to be taken by it in connection with Subscriber’s purchase of the Securities.</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2.1.9 Subscriber became aware of this offering of the Securities solely (a) by means of direct contact from the Advisor, the Company, SoundHound or a representative of the Advisor, the Company or SoundHound, or (b) directly from the Company as a result of a pre-existing, substantial relationship with the Company, and the Securities were offered to Subscriber solely by direct contact between Subscriber and the Company. Subscriber did not become aware of this offering of the Securities, nor were the Securities offered to Subscriber, by any other means. Subscriber acknowledges that the Advisor has not acted as its financial advisor. Subscriber acknowledges that the Company represents and warrants that the Securities (i) were not offered by any form of general solicitation or general advertising and (ii) are not being offered in a manner involving a public offering under, or in a distribution in violation of, the Securities Act, or any state securities laws.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2.1.10 Subscriber acknowledges that it is aware that there are substantial risks incident to the purchase and ownership of the Securities. Subscriber has such knowledge and experience in financial and business matters as to be capable of evaluating the merits and risks of an investment in the Securities, and Subscriber has sought such accounting, legal and tax advice as Subscriber has considered necessary to make an informed investment decision. Subscriber understands and acknowledges that it (i) is a sophisticated investor, experienced in investing in private equity transactions and capable of evaluating investment risks independently, both in general and with regard to all transactions and investment strategies involving a security or securities and (ii) has exercised independent judgment in evaluating its participation in the purchase of the Securities.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2.1.11 Subscriber represents and acknowledges that Subscriber has such knowledge and experience in financial and business matters as to be capable of evaluating the merits and risks of the investment in the Securities, has analyzed and fully considered the risks of an investment in the Securities and determined that the Securities are a suitable investment for Subscriber and that Subscriber is able at this time and in the foreseeable future to bear the economic risk of a total loss of Subscriber’s investment in the Company. Subscriber further acknowledges specifically that a possibility of total loss of investment exists.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2.1.12 Subscriber understands and agrees that no federal or state agency has passed upon or endorsed the merits of the offering of the Securities or made any findings or determination as to the fairness of this investment.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2.1.13 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b w:val="1"/>
          <w:bCs w:val="1"/>
          <w:color w:val="auto"/>
        </w:rPr>
        <w:t>OFAC List</w:t>
      </w:r>
      <w:r>
        <w:rPr>
          <w:rFonts w:ascii="Times New Roman" w:cs="Times New Roman" w:eastAsia="Times New Roman" w:hAnsi="Times New Roman"/>
          <w:sz w:val="18"/>
          <w:szCs w:val="18"/>
          <w:color w:val="auto"/>
        </w:rPr>
        <w:t>”), or a person or entity prohibited by any OFAC sanctions program, (ii) owned or controlled by, or acting on behalf of, a person, that is named on an OFAC List; (iii) organized, incorporated, established, located, resident or born in, or a citizen, national, or the government, including any political subdivision, agency, or instrumentality thereof, of any country or territory embargoed or subject to substantial trade restrictions by the United States; (iv) a Designated National as defined in the Cuban Assets Control Regulations, 31 C.F.R. Part 515, or (v) a non-U.S. shell bank or providing banking services indirectly to a non-U.S. shell bank (collectively, a “</w:t>
      </w:r>
      <w:r>
        <w:rPr>
          <w:rFonts w:ascii="Times New Roman" w:cs="Times New Roman" w:eastAsia="Times New Roman" w:hAnsi="Times New Roman"/>
          <w:sz w:val="18"/>
          <w:szCs w:val="18"/>
          <w:b w:val="1"/>
          <w:bCs w:val="1"/>
          <w:color w:val="auto"/>
        </w:rPr>
        <w:t>Prohibited Investor</w:t>
      </w:r>
      <w:r>
        <w:rPr>
          <w:rFonts w:ascii="Times New Roman" w:cs="Times New Roman" w:eastAsia="Times New Roman" w:hAnsi="Times New Roman"/>
          <w:sz w:val="18"/>
          <w:szCs w:val="18"/>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Times New Roman" w:cs="Times New Roman" w:eastAsia="Times New Roman" w:hAnsi="Times New Roman"/>
          <w:sz w:val="18"/>
          <w:szCs w:val="18"/>
          <w:b w:val="1"/>
          <w:bCs w:val="1"/>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b w:val="1"/>
          <w:bCs w:val="1"/>
          <w:color w:val="auto"/>
        </w:rPr>
        <w:t>BSA/PATRIOT Act</w:t>
      </w:r>
      <w:r>
        <w:rPr>
          <w:rFonts w:ascii="Times New Roman" w:cs="Times New Roman" w:eastAsia="Times New Roman" w:hAnsi="Times New Roman"/>
          <w:sz w:val="18"/>
          <w:szCs w:val="18"/>
          <w:color w:val="auto"/>
        </w:rPr>
        <w:t>”), that Subscriber, directly or indirectly through a third party administrator, maintains policies and procedures reasonably designed to comply with applicable obligations under the BSA/PATRIOT Act. Subscriber also represents that, to the extent required by applicable law or regulation, it, directly or indirectly through a third party administrator, maintains policies and procedures reasonably designed for the screening of its investors against the OFAC sanctions programs, including the OFAC List, and to otherwise ensure compliance with OFAC-administered sanctions programs. Subscriber further represents and warrants that, to the extent required by applicable law or regulation, it, directly or indirectly through a third-party administrator, maintains policies and procedures reasonably designed to ensure that the funds held by Subscriber and used to purchase the Securities were legally derived.</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2.1.14 On the date the Purchase Price will be required to be funded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Subscriber will have sufficient immediately available funds to pay the Purchase Price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2.1.15 To the extent Subscriber is one of the covered persons identified in Rule 506(d)(1), Subscriber represents that no disqualifying event described in Rule 506(d)(1)(i)-(viii) under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is applicable to Subscriber or any of its Rule 506(d) Related Parties (as defined below), except, if applicable, for a Disqualification Event as to which Rule 506(d)(2)(ii) or (iii) or (d)(3) is applicable. Subscriber hereby agrees that it shall notify the Company promptly in writing in the event a Disqualification Event becomes applicable to Subscriber or any of its Rule 506(d) Related Parties, except, if applicable, for a Disqualification Event as to which Rule 506(d)(2)(ii) or (iii) or (d)(3) is applicable. For purposes of this Section 2.1.15, “Rule 506(d) Related Party” shall mean a person or entity that is a direct beneficial owner of Subscriber’s securities for purposes of Rule 506(d) under the Securities Act.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2.1.16 No broker, finder or other financial consultant has acted on behalf of Subscriber in connection with this Subscription Agreement or the transactions contemplated hereby in such a way as to create any liability on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2.1.17 Except as expressly disclosed in a Schedule 13D or Schedule 13G (or amendments thereto) filed by such Subscriber with the Commission with respect to the beneficial ownership of the Company’s Common Stock prior to the date hereof, Subscriber is not currently (and at all times through Closing will refrain from being or becoming) a member of a “group” (within the meaning of Section 13(d)(3) or Section 14(d)(2)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any successor provision) acting for the purpose of acquiring, holding or disposing of equity securities of the Company (within the meaning of Rule 13d-5(b)(1) under the Exchange Act).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2.1.18 No foreign person (as defined in 31 C.F.R. Part 800.224) in which the national or subnational governments of a single foreign state have a substantial interest (as defined in 31 C.F.R. Part 800.244) will acquire a substantial interest in the Company as a result of the purchase by such Subscriber and sale of the Securities hereunder such that a declaration to the Committee on Foreign Investment in the United States would be mandatory under 31 C.F.R. Part 800.401, and no foreign person will have control (as defined in 31 C.F.R. Part 800.208) over the Company from and after the Closing as a result of the purchase by such Subscriber and sale of the Securities hereunder.</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2.1.19 Subscriber understands and agrees that the Advisor is acting as capital markets advisor to SoundHound in connection with the Offering and as financial advisor to SoundHound in connection with the Transaction. In such capacity, the Advisor has no fiduciary or other obligation to the Company or Subscriber in respect of the Offering, the Transaction or otherwise. In addition, Subscriber understands and agrees that certain representatives of the Advisor, including members of the Advisor’s investment banking team that is working with SoundHound, have direct or indirect investments in and other relationships with SoundHound, and as a result, it is possible that the Advisor and its affiliates and representatives may be or may be perceived as being adverse to the interests of the Company or SoundHound in the context of the Offering, the Transaction or otherwise. Subscriber further understands and agrees that none of the Advisor and its affiliates and representatives will be under any obligation or duty as a result of any such relationship or investment or as a result of the Advisor’s engagement by SoundHound to take any action or refrain from taking any action, or to exercise or not exercise any rights or remedies, that they may otherwise be entitled to take or exercise in respect of any such relationship or investment or in respect of the Advisor’s engagement by SoundHound.</w:t>
      </w:r>
    </w:p>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Company’s Representations, Warranties and Agreements</w:t>
      </w:r>
      <w:r>
        <w:rPr>
          <w:rFonts w:ascii="Times New Roman" w:cs="Times New Roman" w:eastAsia="Times New Roman" w:hAnsi="Times New Roman"/>
          <w:sz w:val="18"/>
          <w:szCs w:val="18"/>
          <w:color w:val="auto"/>
        </w:rPr>
        <w:t>. To induce Subscriber to purchase the Securities, the Company hereby represents and warrants to Subscriber and agrees with Subscriber as follows: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2.2.1 The Company has been duly incorporated and is validly existing as a corporation in good standing under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with the requisite corporate power and authority to own, lease and operate its properties and conduct its business as presently conducted and to enter into, deliver and perform its obligations under this Subscription Agreement.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2.2.2 The Securities have been duly authorized and, when issued and delivered to Subscriber against full payment for the Securities in accordance with the terms of this Subscription Agreement, and registered with the Company’s transfer agent, the Securities will be validly issued, fully paid, non-assessable and free and clear of any liens or other restrictions whatsoever (other than those arising under state or federal securities laws or as set forth herein), and will not be issued in violation of or subject to any preemptive or similar rights created under the Company’s amended and restated certificate of incorporation or bylaws or under the DGCL or any agreement to which the Company is a party or by which is otherwise bound.</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2.2.3 This Subscription Agreement has been duly authorized, executed and delivered by the Company and is a valid and binding obligation of the Company, enforceable against it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2.2.4 The execution, delivery and performance of this Subscription Agreement (including compliance by the Company with all of the provisions hereof), the issuance and sale of the Securities and the consummation of the certain other transactions contemplated herein will not (i) conflict with or result in a breach or violation of any of the terms or provisions of, or constitute a default under, or result in the creation or imposition of any lien, charge or encumbrance upon any of the property or assets of the Company pursuant to the terms of any indenture, mortgage, deed of trust, loan agreement, lease, license or other agreement or instrument to which the Company is a party or by which the Company is bound or to which any of the property or assets of the Company is subject, which would, individually or in the aggregate, reasonably be expected to have a material adverse effect on the business, properties, assets, liabilities, operations, financial condition, stockholders’ equity or results of operations of the Company after giving effect to the Transaction or materially and adversely affect the validity of the Securities or the legal authority or ability of the Company to comply in all material respects with the terms of this Subscription Agreement (a “</w:t>
      </w:r>
      <w:r>
        <w:rPr>
          <w:rFonts w:ascii="Times New Roman" w:cs="Times New Roman" w:eastAsia="Times New Roman" w:hAnsi="Times New Roman"/>
          <w:sz w:val="18"/>
          <w:szCs w:val="18"/>
          <w:b w:val="1"/>
          <w:bCs w:val="1"/>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(ii) result in any violation of the provisions of the organizational documents of the Company in any material respect; or (iii) result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any statute or any judgment, order, rule or regulation of any court or governmental agency or body, domestic or foreign, having jurisdiction over the Company or any of its properties that would reasonably be expected to have a Material Adverse Effect.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2.2.5 Neither the Company, nor any person acting on its behalf has, directly or indirectly, made any offers or sales of any Company security or solicited any offers to buy any security, under circumstances that would adversely affect reliance by the Company on Section 4(a)(2) of the Securities Act for the exemption from registration for the transactions contemplated hereby or would require registration of the issuance or sale of the Securities under the Securities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2.2.6 Neither the Company nor any person acting on its behalf has conducted any general solicitation or general advertising (as those terms are used in Regulation D under the Securities Act) in connection with the offer or sale of any of the Securities and neither the Company, nor any person acting on its behalf has offered any of the Securities in a manner involving any public offering under, or in a distribution in violation of, the Securities Act or any state securities laws.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2.2.7 Immediately after the Closing, SoundHound will be a wholly-owned subsidiary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2.2.8 The Company has not taken any steps to seek protection pursuant to any law or statute relating to bankruptcy, insolvency, reorganization, receivership, liquidation, administration or winding up or failed to pay its debts when due, nor does the Company have any knowledge or reason to believe that any of their respective creditors intend to initiate involuntary bankruptcy proceedings or seek to commence an administration.</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2.2.9 No Disqualification Event is applicable to the Company or, to the Company’s knowledge, any Company Covered Person (as defined below), except for a Disqualification Event as to which Rule 506(d)(2)(ii)-(iv) or (d)(3) under the Securities Act is applicable. The Company has complied, to the extent applicable, with any disclosure obligations under Rule 506(e) under the Securities Act. “</w:t>
      </w:r>
      <w:r>
        <w:rPr>
          <w:rFonts w:ascii="Times New Roman" w:cs="Times New Roman" w:eastAsia="Times New Roman" w:hAnsi="Times New Roman"/>
          <w:sz w:val="18"/>
          <w:szCs w:val="18"/>
          <w:b w:val="1"/>
          <w:bCs w:val="1"/>
          <w:color w:val="auto"/>
        </w:rPr>
        <w:t>Company 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with respect to the Company as an “issuer” for purposes of Rule 506 under the Securities Act, any person listed in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 of Rule 506(d)(1) under the Securities Act.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2.2.10 As of the date of this Subscription Agreement, the authorized capital stock of the Company consists of 100,000,000 shares of Common Stock and 1,000,000 shares of preferred stock, par value $0.0001 per share, of which 17,461,000 shares of Common Stock are issued and outstanding as of the date hereof and no preferred shares are issued and outstanding. 6,858,000 shares of Common Stock are reserved for issuance upon the exercise of the Company’s warrants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All (i) issued and outstanding shares of Common Stock have been duly authorized and validly issued, are fully paid and are non-assessable and are not subject to preemptive rights and (ii) outstanding Warrants have been duly authorized and validly issued, are fully paid and are not subject to preemptive rights. As of the date hereof, except as set forth above pursuant to the organizational documents of the Company, the Other Subscription Agreements, the Transaction Agreement and any promissory notes issued by the Company’s sponsor or its affiliate to the Company for working capital purposes as described in the SEC Documents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there are no outstanding options, warrants or other rights to subscribe for, purchase or acquire from the Company any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other equity interests in the Company, or securities convertible into or exchangeable or exercisable for such equity interests. As of the date hereof, other than any subsidiary created for purposes of the Transaction,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securities of the Company, other than (A) as set forth in the Company’s filings with the Commission, together with any amendments, restatements or supplements thereto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and (B) as contemplated by the Transaction Agreement. Except as disclosed in the SEC Documents, the Company has no outstanding indebtedness and will not have any outstanding long-term indebtedness as of immediately prior to the Closing (excluding any Sponsor Loans).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2.2.11 Assuming the accuracy of Subscriber’s representations and warranties set forth in this Subscription Agreement, no registration under the Securities Act is required for the offer and sale of the Common Stock by the Company to Subscriber and the Common Stock is not being offered in a manner involving a public offering under, or in a distribution in violation of, the Securities Act or any state securities laws.</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2.2.12 Except as to the accounting relating to the Warrants, as of their respective dates, each of the SEC Documents complied in all material respects with the requirements of the Securities Act and the Exchange Act, and the rules and regulations of the Commission promulgated thereunder, and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provided, that with respect to any registration statement or any proxy statement/prospectus to be filed by the Company with respect to the Transaction or any other information relating to SoundHound or any of its affiliates included in any SEC Document or filed as an exhibit thereto, the representation and warranty in this sentence is made to the Company’s knowledge. The Company has filed each filing with the Commission that the Company was required to file with the Commission since its inception and through the date hereof. Except as to the accounting relating to the Warrants, each of the financial statements of the Company included in the SEC Documents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As of the date hereof, there are no outstanding or unresolved comments in comment letters from the Staff of the Commission with respect to any of the SEC Documents.</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2.2.13 The Company is not, and immediately after receipt of payment for the Securities will not be, an “investment company” within the meaning of the Investment Company Act of 1940, as amended.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2.2.14 The Company is in compliance with all applicable laws, except where such non-compliance would not reasonably be expected to have a Material Adverse Effect. As of the date of this Agreement the Company has not received any written communication from a governmental entity that alleges that the Company is not in compliance with or is in default or violation of any applicable law, except where such non-compliance, default or violation would not, individually or in the aggregate, be reasonably expected to have a Material Adverse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2.2.15 Except for such matters as have not had and would not be reasonably expected to have, individually or in the aggregate, a Material Adverse Effect, as of the date of this Subscription Agreement, there is no (i) proceeding pending, or, to the knowledge of the Company, threatened against the Company or (ii) judgment, decree, injunction, ruling or order of any governmental entity or arbitrator outstanding against the Company.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2.2.16 Except for discussions specifically regarding the offer and sale of the Securities, the Company confirms that neither it nor any other person acting on its behalf has provided Subscriber or its agents or counsel with any information that constitutes or could reasonably be expected to constitute material, nonpublic information concerning the Company or any of its subsidiaries, other than with respect to the Transaction and the transactions contemplated by this Subscription Agreement or the Other Subscription Agreements. Except with respect to the Transaction and the transactions contemplated by this Subscription Agreement and the Other Subscription Agreements, no event or circumstance has occurred which, under applicable law, rule or regulation, requires public disclosure at or before the date hereof or announcement by the Company but which has not been so publicly disclosed.</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2.2.17 (i) Each of the Company and its subsidiaries, any of their respective directors and officers and, to the Company’s knowledge, SoundHound, any of SoundHound’s directors and officers and any of the Company’s, its subsidiaries and SoundHound’s employees, representatives, agents and any person acting on its or their behalf has not engaged in any activity or conduct which would violate any applicable anti-bribery, anti-corruption or anti-money laundering laws, regulations or rules in any applicable jurisdiction (including the U.S. Foreign Corrupt Practices Act of 1977, as amended), (ii) the Company, its subsidiaries and, to the Company’s knowledge, the Company has instituted and maintains systems, policies and procedures designed to prevent violation of such laws, regulations and rules and (iii) no action, suit or proceeding by or before any court or governmental or regulatory agency, authority or body or any arbitrator having jurisdiction over the Company, its subsidiaries, or, to the Company’s knowledge, SoundHound with respect to such laws, regulations and rules is pending and, to the Company’s knowledge, no such actions, suits or proceedings are threatened or contemplated.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2.2.18 The Company’s Subunits are registered pursuant to Section 12(b) of the Exchange Act, and are listed for trading on Nasdaq under the symbol “ATSPT”; provided, that the Subscriber acknowledges that the Subunits will be broken up into their component parts upon the consummation of the Transaction or any other Business Combination and will thereafter not continue to trade on Nasdaq, and only the Common Stock and the Warrants will trade on Nasdaq. As of the date of this Agreement, there is no suit, action, proceeding or investigation pending or, to the knowledge of the Company, threatened against the Company by Nasdaq or the Commission, respectively, to prohibit or terminate the listing of the Company’s Subunits on Nasdaq, suspend trading of the Subunits on Nasdaq or to deregister the Subunits under the Exchange Act. The Company has taken no action that is designed to terminate or expected to result in the termination of the registration of the Common Stock or the Subunits under the Exchange Act (except with respect to the Subunits upon the consummation of the Transaction or any other Business Combination).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2.2.19 Except with respect to agreements regarding the non-disclosure of confidential information and/or trading restrictions entered into on or prior to the date hereof, the Company has not entered into, amended or modified, and shall not enter into, amend or modify any Other Subscription Agreement or any other related agreements (including side letters or similar agreements in respect thereof) with any Other Subscriber as a result of which any such Other Subscriber (or any of their affiliates) may purchase shares of the Company’s Common Stock at a price per share less than the Per Share Price in connection with the Transaction or on other terms (economic or otherwise) materially more favorable to such Other Subscriber (or any of their affiliates) than as set forth in this Subscription Agreement. The Company and its affiliates shall not release any Other Subscriber (or any of its affiliates) under any Other Subscription Agreement from any of its material obligations thereunder or any other agreements (including side letters or similar agreements in respect thereof) with any Other Subscriber (or any of its affiliates) under any Other Subscription Agreement unless it offers a similar release to Subscriber with respect to any similar obligations it has hereunder. For the avoidance of doubt, the foregoing shall exclude (A) any commercial arrangements entered into by the Company or SoundHound with Other Subscribers that have executed Other Subscription Agreements and that the Company or SoundHound has determined are strategic investors (“</w:t>
      </w:r>
      <w:r>
        <w:rPr>
          <w:rFonts w:ascii="Times New Roman" w:cs="Times New Roman" w:eastAsia="Times New Roman" w:hAnsi="Times New Roman"/>
          <w:sz w:val="18"/>
          <w:szCs w:val="18"/>
          <w:b w:val="1"/>
          <w:bCs w:val="1"/>
          <w:color w:val="auto"/>
        </w:rPr>
        <w:t>Strategic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Arrangements</w:t>
      </w:r>
      <w:r>
        <w:rPr>
          <w:rFonts w:ascii="Times New Roman" w:cs="Times New Roman" w:eastAsia="Times New Roman" w:hAnsi="Times New Roman"/>
          <w:sz w:val="18"/>
          <w:szCs w:val="18"/>
          <w:color w:val="auto"/>
        </w:rPr>
        <w:t>”) and (B) any arrangements that SoundHound has entered into prior to or as of the date hereof with Other Subscribers that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Other Subscription Agreements which Other Subscribers, as of the date hereof, are equity holders of SoundHound (“</w:t>
      </w:r>
      <w:r>
        <w:rPr>
          <w:rFonts w:ascii="Times New Roman" w:cs="Times New Roman" w:eastAsia="Times New Roman" w:hAnsi="Times New Roman"/>
          <w:sz w:val="18"/>
          <w:szCs w:val="18"/>
          <w:b w:val="1"/>
          <w:bCs w:val="1"/>
          <w:color w:val="auto"/>
        </w:rPr>
        <w:t>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SoundHound Equity Holders</w:t>
      </w:r>
      <w:r>
        <w:rPr>
          <w:rFonts w:ascii="Times New Roman" w:cs="Times New Roman" w:eastAsia="Times New Roman" w:hAnsi="Times New Roman"/>
          <w:sz w:val="18"/>
          <w:szCs w:val="18"/>
          <w:color w:val="auto"/>
        </w:rPr>
        <w:t>”) who have entered into such arrangements in their capacity as equity holders of SoundHound (“</w:t>
      </w:r>
      <w:r>
        <w:rPr>
          <w:rFonts w:ascii="Times New Roman" w:cs="Times New Roman" w:eastAsia="Times New Roman" w:hAnsi="Times New Roman"/>
          <w:sz w:val="18"/>
          <w:szCs w:val="18"/>
          <w:b w:val="1"/>
          <w:bCs w:val="1"/>
          <w:color w:val="auto"/>
        </w:rPr>
        <w:t>Existing SoundHound Equity Holder Arrangements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2.2.20 Upon the Closing, the Securities will not be subject to any transfer restriction other than those restrictions related to the status of the Securities as “restricted securities” under applicable securities laws, pending their resale pursuant to an effective registration statement, Rule 144 or pursuant to another applicable exemption from the registration requirements of the Securities 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2.2.21 (i) The Company, and, to the knowledge of the Company, the officers, directors, employees, and agents of the Company, in each case, acting on behalf of the Company, have been in compliance in all material respects with all applicable Anti-Corruption Laws (as herein defined), (ii) the Company has not been convicted of violating any Anti-Corruption Laws or, to the knowledge of the Company, subjected to any investigation by a governmental authority for violation of any applicable Anti-Corruption Laws, (iii) the Company has not conducted or initiated any internal investigation or made a voluntary, directed, or involuntary disclosure to any governmental authority regarding any alleged act or omission arising under or relating to any noncompliance with any Anti-Corruption Laws and (iv) the Company has not received any written notice or citation from a governmental authority for any actual or potential noncompliance with any applicable Anti-Corruption Laws. As used herein,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any applicable laws relating to corruption and bribery, including the U.S. Foreign Corrupt Practices Act of 1977 (as amended), the UK Bribery Act 2010, and any similar law that prohibits bribery or corruption.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2.2.22 The Company represents and warrants that the Company and its directors and officers and, to the Company’s knowledge, SoundHound and any of its directors, officers, employees, representatives, agents and any person acting on its or their behalf is not (i) a person or entity named on the List of Specially Designated Nationals and Blocked Persons, the Executive Order 13599 List, the Foreign Sanctions Evaders List, or the Sectoral Sanctions Identification List, each of which is administered by OFAC, or any OFAC Lists,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or (iv) a Designated National as defined in the Cuban Assets Control Regulations, 31 C.F.R. Part 515.</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2.2.23 There are no securities or instruments issued by the Company containing anti-dilution provisions that will be triggered by the issuance of (i) the Securities or (ii) the Common Stock to be issued pursuant to any Other Subscription Agreement, in each case, that have not been or will not be validly waived on or prior to the Closing Date.</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ind w:left="840" w:hanging="18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Date and Delivery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Subscription contemplated hereby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is contingent upon the substantially concurrent consummation of the Transaction and the satisfaction or waiver of the other conditions, as provided for by the Transaction Agreement. The Closing shall occur on the closing date of, and immediately prior to, or simultaneously with, the consummation of the Transaction. Upon written notice from (or on behalf of) the Company to Subscriber (the “</w:t>
      </w:r>
      <w:r>
        <w:rPr>
          <w:rFonts w:ascii="Times New Roman" w:cs="Times New Roman" w:eastAsia="Times New Roman" w:hAnsi="Times New Roman"/>
          <w:sz w:val="18"/>
          <w:szCs w:val="18"/>
          <w:b w:val="1"/>
          <w:bCs w:val="1"/>
          <w:color w:val="auto"/>
        </w:rPr>
        <w:t>Closing Notice</w:t>
      </w:r>
      <w:r>
        <w:rPr>
          <w:rFonts w:ascii="Times New Roman" w:cs="Times New Roman" w:eastAsia="Times New Roman" w:hAnsi="Times New Roman"/>
          <w:sz w:val="18"/>
          <w:szCs w:val="18"/>
          <w:color w:val="auto"/>
        </w:rPr>
        <w:t>”) that the Company reasonably expects all conditions to the Transaction Closing to be satisfied on a date that is not less than five (5) business days from the date of the Closing Notice, Subscriber shall deliver to the Company, at least one (1) business day prior to the scheduled closing date specified in the Closing Notice (the “</w:t>
      </w:r>
      <w:r>
        <w:rPr>
          <w:rFonts w:ascii="Times New Roman" w:cs="Times New Roman" w:eastAsia="Times New Roman" w:hAnsi="Times New Roman"/>
          <w:sz w:val="18"/>
          <w:szCs w:val="18"/>
          <w:b w:val="1"/>
          <w:bCs w:val="1"/>
          <w:color w:val="auto"/>
        </w:rPr>
        <w:t>Scheduled Closing Date</w:t>
      </w:r>
      <w:r>
        <w:rPr>
          <w:rFonts w:ascii="Times New Roman" w:cs="Times New Roman" w:eastAsia="Times New Roman" w:hAnsi="Times New Roman"/>
          <w:sz w:val="18"/>
          <w:szCs w:val="18"/>
          <w:color w:val="auto"/>
        </w:rPr>
        <w:t>”), to be held in escrow until the Closing, the Purchase Price for the Securities by wire transfer of United States dollars in immediately available funds to the account specified by the Company in the Closing Notice, which at the Closing will be released to the Company against delivery by the Company promptly after the Closing to Subscriber of the Securities in book-entry form (or in certificated form if indicated by Subscriber on Subscriber’s signature page hereto), free and clear of any liens or other restrictions (other than those arising under this Subscription Agreement or applicable securities laws). In the event the Closing does not occur within three (3) business days of the Scheduled Closing Date, the Company shall promptly (but not later than two (2) business days thereafter) return the Purchase Price to Subscriber. The failure of the Closing to occur on the Scheduled Closing Date shall not terminate this Subscription Agreement or otherwise relieve any party of any of its obligations hereunder, unless this Subscription Agreement has been terminated pursuant to Section 5 hereof. Upon written request by Subscriber, the Company will provide a completed Form W-9 concurrent with, or prior to, the delivery of the Closing Notice. For purposes of this Subscription Agreement, “business day” means any day that, in New York, New York, is neither a legal holiday nor a day on which commercial banking institutions are generally authorized or required by law or regulation to close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banking institutions in New York, New York are generally open for use by customers on such day).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Conditions to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3.2.1 The Closing shall be subject to the satisfaction or valid waiver by each of the Company and SoundHound, on the one hand,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Subscriber, on the other, of the conditions that, on the Closing Date:</w:t>
      </w:r>
    </w:p>
    <w:p>
      <w:pPr>
        <w:spacing w:after="0" w:line="207" w:lineRule="exact"/>
        <w:rPr>
          <w:sz w:val="20"/>
          <w:szCs w:val="20"/>
          <w:color w:val="auto"/>
        </w:rPr>
      </w:pPr>
    </w:p>
    <w:p>
      <w:pPr>
        <w:ind w:left="1300" w:firstLine="652"/>
        <w:spacing w:after="0" w:line="282" w:lineRule="auto"/>
        <w:tabs>
          <w:tab w:leader="none" w:pos="21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Securities for offering or sale or trading of the Common Stock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shall have occurred and be continuing.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180" w:firstLine="652"/>
        <w:spacing w:after="0" w:line="266"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Authority shall have enacted, issued, promulgated, enforced or entered any law, rule, regulation, judgment, decree, executive order or award (whether temporary preliminary or permanent) which is then in effect and has the effect of making the transactions contemplated hereby illegal or otherwise prohibiting or enjoining the consummation of the transactions contemplated hereby.</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conditions precedent to the consummation of the Transaction set forth in the Transaction Agreement, as determined by the parties to the Transaction Agreement, shall have been satisfied or waived by the party entitled to the benefit thereof (other than those conditions that, by their nature, may only be satisfied at the consummation of the Transaction, but subject to satisfaction of such conditions as of the consummation of the Transaction), and (B) the Transaction Closing shall be substantially concurrent with the Closing</w:t>
      </w:r>
    </w:p>
    <w:p>
      <w:pPr>
        <w:spacing w:after="0" w:line="2"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3.2.2 The Closing shall also be subject to the satisfaction or valid waiver by the Subscriber of the conditions that, on the Closing Date:</w:t>
      </w:r>
    </w:p>
    <w:p>
      <w:pPr>
        <w:spacing w:after="0" w:line="225" w:lineRule="exact"/>
        <w:rPr>
          <w:sz w:val="20"/>
          <w:szCs w:val="20"/>
          <w:color w:val="auto"/>
        </w:rPr>
      </w:pPr>
    </w:p>
    <w:p>
      <w:pPr>
        <w:ind w:left="180" w:firstLine="652"/>
        <w:spacing w:after="0" w:line="282" w:lineRule="auto"/>
        <w:tabs>
          <w:tab w:leader="none" w:pos="10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in all material respects with all agreements and covenants required by this Subscription Agreement to be performed by the Company at or prior to the Closing.</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0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Subscription Agreement shall be true and correct in all material respects (other than representations and warranties that are qualified as to materiality or Material Adverse Effect, which representations and warranties shall be true and correct in all respects) at and as of the Closing Date (except for representations and warranties made as of a specific date, which shall be true and correct in all material respects (other than representations and warranties that are qualified as to materiality or Material Adverse Effect, which representations and warranties shall be true and correct in all respects) as of such date), and the consummation of the Closing shall constitute a reaffirmation by the Company of each of the representations, warranties and agreements of the Company contained in this Subscription Agreement as of the Closing Date.</w:t>
      </w:r>
    </w:p>
    <w:p>
      <w:pPr>
        <w:spacing w:after="0" w:line="188" w:lineRule="exact"/>
        <w:rPr>
          <w:rFonts w:ascii="Times New Roman" w:cs="Times New Roman" w:eastAsia="Times New Roman" w:hAnsi="Times New Roman"/>
          <w:sz w:val="18"/>
          <w:szCs w:val="18"/>
          <w:color w:val="auto"/>
        </w:rPr>
      </w:pPr>
    </w:p>
    <w:p>
      <w:pPr>
        <w:ind w:left="180" w:firstLine="652"/>
        <w:spacing w:after="0" w:line="282" w:lineRule="auto"/>
        <w:tabs>
          <w:tab w:leader="none" w:pos="11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have filed with Nasdaq an application or supplemental listing application for the listing of the Securities and Nasdaq shall have raised no objection with respect thereto, subject to official notice of issuance.</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amendment, modification or waiver of one or more of the Other Subscription Agreements (including via side letter or other agreement) that materially benefits one or more Other Subscribers unless Subscriber has been offered the same benefits (excluding Strategic Arrangements and Existing SoundHound Equity Holder Arrangements).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0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modification or waiver of the Transaction Agreement (as the same exists on the date hereof as provided to Subscriber) or any terms thereof shall have occurred that would reasonably be expected to materially and adversely affect the economic benefits that Subscriber would reasonably expect to receive under this Subscription Agreement without having received Subscriber’s prior written consent.</w:t>
      </w:r>
    </w:p>
    <w:p>
      <w:pPr>
        <w:spacing w:after="0" w:line="179" w:lineRule="exact"/>
        <w:rPr>
          <w:rFonts w:ascii="Times New Roman" w:cs="Times New Roman" w:eastAsia="Times New Roman" w:hAnsi="Times New Roman"/>
          <w:sz w:val="18"/>
          <w:szCs w:val="18"/>
          <w:color w:val="auto"/>
        </w:rPr>
      </w:pPr>
    </w:p>
    <w:p>
      <w:pPr>
        <w:ind w:left="180" w:firstLine="652"/>
        <w:spacing w:after="0" w:line="282" w:lineRule="auto"/>
        <w:tabs>
          <w:tab w:leader="none" w:pos="11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condition, if any, appearing in the Transaction Agreement relating to the minimum cash of the Company as of the closing of the Transaction (after giving effect to redemptions from the Trust Account) shall be waived or amended.</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8"/>
          <w:szCs w:val="18"/>
          <w:color w:val="auto"/>
        </w:rPr>
        <w:t>3.2.3 The Closing shall also be subject to the satisfaction or valid waiver by the Company and SoundHound of the conditions that, on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ind w:left="1300" w:firstLine="652"/>
        <w:spacing w:after="0" w:line="282" w:lineRule="auto"/>
        <w:tabs>
          <w:tab w:leader="none" w:pos="21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have performed or complied in all material respects with all agreements and covenants required by this Subscription Agreement to be performed by Subscriber at or prior to the Closing.</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2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Subscriber contained in this Subscription Agreement shall be true and correct in all material respects (other than representations and warranties that are qualified as to materiality or Subscriber Material Adverse Effect, which representations and warranties shall be true in all respects) at and as of the Closing Date (except for representations and warranties made as of a specific date, which shall be true and correct in all material respects (other than representations and warranties that are qualified as to materiality or Subscriber Material Adverse Effect, which representations and warranties shall be true in all respects) as of such date), and the consummation of the Closing shall constitute a reaffirmation by the Subscriber of each of the representations, warranties and agreements of the Subscriber contained in this Subscription Agreement as of the Closing Date.</w:t>
      </w:r>
    </w:p>
    <w:p>
      <w:pPr>
        <w:spacing w:after="0" w:line="18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4.1 After the Closing, the Securities may only be resold, transferred, pledged or otherwise disposed of in compliance with state and federal securities laws and pursuant to an effective registration statement, Rule 144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or pursuant to another applicable exemption from the registration requirements of the Securities Act, to the Company or to an affiliate of Subscriber. As a condition of transfer (other than pursuant to an effective registration statement, pursuant to Rule 144 or pursuant to another applicable exemption from the registration requirements of the Securities Act), any such transferee shall agree in writing to be bound by the terms of this Subscription Agreement and shall have the rights and obligations of Subscriber under this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4.2 The Company acknowledges that the Securities may be pledged by Subscriber in connection with a bona fide margin agreement, provided that such pledge shall be pursuant to an available exemption from the registration requirements of the Securities Act or pursuant to, and in accordance with, a registration statement that is effective under the Securities Act at the time of such pledge, and Subscriber effecting a pledge of the Securities shall not be required to provide the Company with any notice thereof; provided, however, that neither the Company nor its counsel shall be required to take any action (or refrain from taking any action) in connection with any such pledge, other than providing any such lender of such margin agreement with an acknowledgment that the Securities are not subject to any contractual lock up or prohibition on pledging, the form of such acknowledgment to be subject to review and comment by the Company in all respects.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4.3 Subject to applicable requirements of the Securities Act and the interpretations of the Commission thereunder and any requirements of the Company’s transfer agent, the Company shall use commercially reasonable efforts to ensure that instruments, whether certificated or uncertificated, evidencing the Securities shall not contain any legend (including the legend set forth in Section 4.4 below) (i) in connection with any sale of such Securities pursuant to Rule 144, (ii) at such time as the Securities are registered for resale under the Securities Act, (iii) if such Securities are eligible for sale under Rule 144 without the requirement for the Company to be in compliance with the current public information required under Rule 144 and without volume or manner-of-sale restrictions, and in each case, Subscriber provides the Company with an undertaking to effect any sales or other transfers in accordance with the Securities Act, or (iv) if such legend is not required under applicable requirements of the Securities Act (including judicial interpretations and pronouncements issued by the staff of the Commission).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Subscriber agrees to the imprinting, so long as is required by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of a legend on any of the Securities in the following form: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4.5 Subscriber hereby acknowledges and agrees that it will not, and will cause each person acting at Subscriber’s direction or pursuant to any understanding with Subscriber to not, directly or indirectly offer, sell, pledge, contract to sell or sell any option to purchase, or engage in hedging activities or execute any “short sales” as defined in Rule 200 of Regulation SHO under the Exchange Act, in each case that result in Subscriber having a net short cash position in respect of the Securities until the Closing (or such earlier termination of this Subscription Agreement in accordance with its terms). For the avoidance of doubt, nothing contained herein shall prohibit Subscriber from (i) any purchase of securities by Subscriber, its controlled affiliates or any person or entity acting on behalf of Subscriber or any of its controlled affiliates in an open market transaction after the execution of this Subscription Agreement, or (ii) any sale (including the exercise of any redemption right) of securities of the Company (A) held by Subscriber, its controlled affiliates or any person or entity acting on behalf of Subscriber or any of its controlled affiliates prior to the execution of this Subscription Agreement or (B) purchased by Subscriber, its controlled affiliates or any person or entity acting on behalf of Subscriber or any of its controlled affiliates in an open market transaction after the execution of this Subscription Agreement. Notwithstanding the foregoing, (i) nothing herein shall prohibit other entities under common management with Subscriber that have no knowledge of this Subscription Agreement or of Subscriber’s participation in the Transaction (including Subscriber’s controlled affiliates and/or affiliates) from entering into any “short sales” as defined in Rule 200 of Regulation SHO under the Exchange Act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Securities covered by this Subscription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4.6 The Company will use its commercially reasonable efforts to make all Securities DRS eligible so that Subscriber can move shares to respective prime broker accounts and sell without restriction.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4.7 With a view to making available to Subscriber the benefits of Rule 144 promulgated under the Securities Act or any other similar rule or regulation of the Commission that may at any time permit Subscriber to sell the Securities to the public without registration, the Company agrees, so long as Subscriber holds the Securities, to use commercially reasonable efforts 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4.7.1 make and keep public information available, as those terms are understood and defined in Rule 144;</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4.7.2 file with the Commission in a timely manner all reports and other documents required of Holdings under the Securities Act and the Exchange Act so long as Holdings remains subject to such requirements and the filing of such reports and other documents is required for the applicable provisions of Rule 144; and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4.7.3 beginning one year after the Closing Date, furnish to Subscriber so long as it owns Securities, promptly upon request, (x) a written statement by the Company, if true, that it has complied with the reporting requirements of Rule 144, the Securities Act and the Exchange Act, (y) a copy of the most recent annual or quarterly report of the Company and such other reports and documents so filed by the Company and (z) such other information as may be reasonably requested to permit Subscriber to sell such securities pursuant to Rule 144 without registration.</w:t>
      </w:r>
    </w:p>
    <w:p>
      <w:pPr>
        <w:spacing w:after="0" w:line="180" w:lineRule="exact"/>
        <w:rPr>
          <w:sz w:val="20"/>
          <w:szCs w:val="20"/>
          <w:color w:val="auto"/>
        </w:rPr>
      </w:pPr>
    </w:p>
    <w:p>
      <w:pPr>
        <w:jc w:val="both"/>
        <w:ind w:firstLine="656"/>
        <w:spacing w:after="0" w:line="252" w:lineRule="auto"/>
        <w:tabs>
          <w:tab w:leader="none" w:pos="8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for the provisions of Sections 5, 7, 8 and 9 and the provisions of this Agreement providing for the return of funds previously delivered in the event the Closing does not occur, all of which shall survive any termination hereunder, this Subscription Agreement shall terminate and be void and of no further force and effect, and all rights and obligations of the parties hereunder shall terminate without any further liability on the part of any party in respect thereof, upon the earlier to occur of (i) such date and time as the Transaction Agreement is terminated in accordance with its terms, (ii) upon the mutual written agreement of each of the parties hereto and SoundHound to terminate this Subscription Agreement, (iii) by written notice by the Subscriber to the Company if, upon the Transaction Closing, any of the conditions set forth in Sections 3.2.1 and 3.2.2 of this Subscription Agreement have not been satisfied or waived as of the time required pursuant to this Subscription Agreement to be so satisfied or waived by the party entitled to grant such waiver and, as a result thereof, the transactions contemplated by this Subscription Agreement are not consummated, (iv) by written notice by the Company and SoundHound to the Subscriber if, upon the Transaction Closing, any of the conditions set forth in Sections 3.2.1 and 3.2.3 of this Subscription Agreement have not been satisfied or waived as of the time required pursuant to this Subscription Agreement to be so satisfied or waived by the party entitled to grant such waiver and, as a result thereof, the transactions contemplated by this Subscription Agreement are not consummated, or</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shall not have occurred on or before the Outside Date (as defined in the Transaction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subject to the limitations set forth in Section 8,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of such agreement. If any termination hereof occurs after the delivery by Subscriber of the Purchase Price for the Securities, the Company shall promptly (but not later than four business days thereafter) return the Purchase Price to Subscriber without any deduction for or on account of any tax, withholding, charges, or set-off.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840" w:hanging="18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6.1 The Company agrees that, within fifteen (15) business days after the consummation of the Transaction (the “</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the Company will file with the Commission (at the Company’s sole cost and expense) a registration statement to register under and in accordance with the provisions of the Securities Act, the resale of all of the Registrable Securities (as defined below) on Form S-3 or Form S-1 (which in either case shall be filed pursuant to Rule 415 under the Securities Act as a secondary-only registration statement), which shall be on Form S-3 if the Company is then eligible for such short form, or any similar or successor short form registration or, if the Company is not then eligible for such short form registration or would not be able to register for resale all of the Registrable Securities on Form S-3, on Form S-1 or any similar or successor long form registration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The Company will provide a draft of the Registration Statement to Subscriber for review at least two (2) business days in advance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 the Registration Statement, and shall advise Subscriber promptly upon the Registration Statement being declared effective by the Commission. The Company shall use its commercially reasonable efforts to have the Registration Statement declared effective by the Commission as soon as practicable after the filing thereof, but no later than the earlier of (i) sixty (60) calendar days (or ninety (90) calendar days if the Commission notifies the Company that it</w:t>
      </w:r>
    </w:p>
    <w:p>
      <w:pPr>
        <w:jc w:val="both"/>
        <w:spacing w:after="0" w:line="239" w:lineRule="auto"/>
        <w:rPr>
          <w:sz w:val="20"/>
          <w:szCs w:val="20"/>
          <w:color w:val="auto"/>
        </w:rPr>
      </w:pPr>
      <w:r>
        <w:rPr>
          <w:rFonts w:ascii="Times New Roman" w:cs="Times New Roman" w:eastAsia="Times New Roman" w:hAnsi="Times New Roman"/>
          <w:sz w:val="18"/>
          <w:szCs w:val="18"/>
          <w:color w:val="auto"/>
        </w:rPr>
        <w:t>will “review” the Registration Statement) following the Filing Deadline and (ii)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the Company is notified in writing by the Commission that the Registration Statement will not be “reviewed” or will not be subject to further review (such earlier date, the “</w:t>
      </w:r>
      <w:r>
        <w:rPr>
          <w:rFonts w:ascii="Times New Roman" w:cs="Times New Roman" w:eastAsia="Times New Roman" w:hAnsi="Times New Roman"/>
          <w:sz w:val="18"/>
          <w:szCs w:val="18"/>
          <w:b w:val="1"/>
          <w:bCs w:val="1"/>
          <w:color w:val="auto"/>
        </w:rPr>
        <w:t>Effectiveness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provided, however, that the Company’s obligations to include the Registrable Securities of Subscriber in the Registration Statement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upon Subscriber furnishing in writing to the Company such information regarding Subscriber, the securities of the Company held by Subscriber and the intended method of disposition of the Registrable Securities as shall be reasonably requested by the Company to effect the registration of the Registrable Securities, and Subscriber shall execute such documents in connection with such registration as the Company may reasonably request that are customary of a selling shareholder in similar situations. Notwithstanding the foregoing, if the Commission prevents the Company from including any or all of the Common Stock proposed to be registered under the Registration Statement due to limitations on the use of Rule 415 under the Securities Act for the resale of the Registrable Securities by the Subscribers or otherwise, the Company shall use its best efforts to ensure that the Commission determines that</w:t>
      </w:r>
    </w:p>
    <w:p>
      <w:pPr>
        <w:spacing w:after="0" w:line="3" w:lineRule="exact"/>
        <w:rPr>
          <w:sz w:val="20"/>
          <w:szCs w:val="20"/>
          <w:color w:val="auto"/>
        </w:rPr>
      </w:pPr>
    </w:p>
    <w:p>
      <w:pPr>
        <w:jc w:val="both"/>
        <w:ind w:firstLine="8"/>
        <w:spacing w:after="0" w:line="266" w:lineRule="auto"/>
        <w:tabs>
          <w:tab w:leader="none" w:pos="25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offering contemplated by the Registration Statement is a bona fide secondary offering and not an offering “by or on behalf of the issuer” as defined in Rule 415 of the Securities Act and (2) Subscriber is not a statutory underwriter. If the Company is unsuccessful in the efforts described in the preceding sentence then (i) the Company shall cause such Registration Statement to register for resale such number of Common Stock which is equal to the maximum number of Common Stock as is permitted by the Commission and (ii) Subscriber shall have an opportunity to withdraw its Registrable Securities. For the avoidance of doubt, unless otherwise agreed to in writing by Subscriber or required by the Commission or applicable law, Subscriber shall not be identified as a statutory underwriter in any Registration Statement. In such event, the number of Common Stock to be registered for each selling shareholder named in the Registration Statement shall be reduced pro rata among all such selling shareholders, and as promptly as practicable after being permitted to register additional Shares under Rule 415 under the Securities Act, the Company shall file a new Registration Statement to register such Securities not included in the initial Registration Statement and cause such Registration Statement to become effective as promptly as practicable consistent with the terms of this Section 4. The Company will use its commercially reasonable efforts to maintain the continuous effectiveness of the Registration Statement until the earliest of (x) such time as when all of Subscriber’s securities included therein cease to be Registrable Securities, (y) such time as when all of Subscriber’s Registrable Securities included in such Registration Statement have actually been sold and (z) three (3) years from the Closing Date. The Company will use its commercially reasonable efforts to cause the removal of all restrictive legends from any Registrable Securities being sold under the Registration Statement or pursuant to Rule 144 at the time of sale of such Registrable Securities, including causing legal counsel to deliver a customary legal opinion, if necessary, to the transfer agent for the Common Stock, upon the receipt from the Subscriber of such supporting documentation, if any, as requested by the Company, and issue shares of Common Stock without any restrictive legends in book-entry form or by electronic delivery through The Depository Trust Company. The Company will use commercially reasonable efforts to file all reports, and provide all customary and reasonable cooperation, reasonably necessary to enable Subscriber to resell Registrable Securities pursuant to the Registration Statement, qualify the Registrable Securities for listing on the applicable stock exchange and update or amend the Registration Statement as necessary to include Registrable Securities. “</w:t>
      </w:r>
      <w:r>
        <w:rPr>
          <w:rFonts w:ascii="Times New Roman" w:cs="Times New Roman" w:eastAsia="Times New Roman" w:hAnsi="Times New Roman"/>
          <w:sz w:val="17"/>
          <w:szCs w:val="17"/>
          <w:b w:val="1"/>
          <w:bCs w:val="1"/>
          <w:color w:val="auto"/>
        </w:rPr>
        <w:t>Registrable Securities</w:t>
      </w:r>
      <w:r>
        <w:rPr>
          <w:rFonts w:ascii="Times New Roman" w:cs="Times New Roman" w:eastAsia="Times New Roman" w:hAnsi="Times New Roman"/>
          <w:sz w:val="17"/>
          <w:szCs w:val="17"/>
          <w:color w:val="auto"/>
        </w:rPr>
        <w:t>” shall mean, as of any date of determination, the Securities and any other equity security issued or issuable with respect to the Securities by way of share split, dividend, distribution, recapitalization, merger, exchange, replacement or similar event, provided, however, that such securities shall cease to be Registrable Securities at the earliest of (A) three (3) years after the Closing Date, (B) the date all Securities held by Subscriber may be sold by Subscriber without volume or manner of sale limitations pursuant to Rule 144 and without the requirement for the Company to be in compliance with the current public information required under Rule 144(c)(1) (or Rule 144(i)(2), if applicable), (C) the date on which such securities have actually been sold by Subscriber, or</w:t>
      </w:r>
    </w:p>
    <w:p>
      <w:pPr>
        <w:spacing w:after="0" w:line="200"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when such securities shall have ceased to be outstanding. Notwithstanding the foregoing, Subscriber shall not be required to sign any form of lock-up agreement in connection with the Registration Statement. Subscriber may deliver written notice (an “</w:t>
      </w:r>
      <w:r>
        <w:rPr>
          <w:rFonts w:ascii="Times New Roman" w:cs="Times New Roman" w:eastAsia="Times New Roman" w:hAnsi="Times New Roman"/>
          <w:sz w:val="18"/>
          <w:szCs w:val="18"/>
          <w:b w:val="1"/>
          <w:bCs w:val="1"/>
          <w:color w:val="auto"/>
        </w:rPr>
        <w:t>Opt-Out Notice</w:t>
      </w:r>
      <w:r>
        <w:rPr>
          <w:rFonts w:ascii="Times New Roman" w:cs="Times New Roman" w:eastAsia="Times New Roman" w:hAnsi="Times New Roman"/>
          <w:sz w:val="18"/>
          <w:szCs w:val="18"/>
          <w:color w:val="auto"/>
        </w:rPr>
        <w:t>”) to the Company requesting that Subscriber not receive notices from the Company otherwise required by this Section 6.1; provided, however, that Subscriber may later revoke any such Opt-Out Notice in writing. Following receipt of an Opt-Out Notice from Subscriber (unless subsequently revoked), (i) the Company shall not deliver any such notices to Subscriber and Subscriber shall no longer be entitled to the rights associated with any such notice and (ii) Subscriber will notify the Company in writing at least three (3) business days in advance of each intended use of an effective Registration Statement, and if a notice of a Suspension Event (as defined below) was previously delivered (or would have been delivered but for the provisions of this Section 6.1) and the related suspension period remains in effect, the Company will so notify Subscriber, within two (2) business days after Subscriber’s notification to the Company, by delivering to Subscriber a copy of such previous notice of Suspension Event, and thereafter will provide Subscriber with the related notice of the conclusion of such Suspension Event promptly following its availability. Within this Section 6,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 shall mean Subscriber or any affiliate of Subscriber to which the rights under this Section 6 shall have been assigned.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6.2 At its expense the Company shall:</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6.2.1 except for such times as the Company is permitted hereunder to suspend the use of the prospectus forming part of a Registration Statement, use its commercially reasonable efforts to keep such registration, and any qualification, exemption or compliance under state securities laws that the Company determines to obtain in connection with such registration, continuously effective with respect to Subscriber, and to keep the applicable Registration Statement or any subsequent shelf registration statement free of any material misstatements or omissions, until all Securities acquired by Subscriber hereunder cease to be Registrable Securities or such shorter period upon which Subscriber has notified the Company that such Registrable Securities have actually been sold, or otherwise when such Registration Statement is no longer required to be effective under this Section 6;</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6.2.2 subject to an Opt-Out Notice, advise Subscriber within three (3) business days: (A) of the issuance by the Commission of any stop order suspending the effectiveness of any Registration Statement or the initiation of any proceedings for such purpose; (B) of the receipt by the Company of any notification with respect to the suspension of the qualification of the Registrable Securities included therein for sale in any jurisdiction or the initiation or threatening of any proceeding for such purpose; and (C) 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Notwithstanding anything to the contrary set forth herein, the Company shall not, when so advising Subscriber of such events, provide Subscriber with any material, nonpublic information regarding the Company other than to the extent that providing notice to Subscriber of the occurrence of the events listed in (A) through (C) above constitutes material, nonpublic information regarding the Company;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6.2.3 use its commercially reasonable efforts to obtain the withdrawal of any order suspending the effectiveness of any Registration Statement as promptly as reasonably practicable;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 w:name="page25"/>
    <w:bookmarkEnd w:id="24"/>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6.2.4 upon the occurrence of any event contemplated in Section 6.2.2, except for such times as the Company is permitted hereunder to suspend, and has suspended, the use of a prospectus forming part of a Registration Statement, the Company shall use its commercially reasonable efforts to as promptly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6.2.5 use its commercially reasonable efforts to cause all Securities to be listed on each securities exchange or market, if any, on which the Common Stock issued by the Company have been listed; and</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6.2.6 use its commercially reasonable efforts (A) to take all other steps necessary to effect the registration of the Registrable Securities contemplated hereby and to enable Subscriber to sell its Securities under Rule 144 or another exemption from registration and (B) to file all reports and other materials required to be filed by the Exchange Act so long as the Company remains subject to such requirements and the filing of such reports and other documents is required for the applicable provisions of Rule 144 to enable Subscriber to sell its Securities under Rule 144 for so long as the Subscriber holds Securities.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6.3 Notwithstanding anything to the contrary in this Subscription Agreement, the Company shall be entitled to delay or postpone the effectiveness of the Registration Statement, and from time to time to require Subscriber not to sell under the Registration Statement or to suspend the effectiveness thereof, (i) if any information (e.g., compensation data) is not readily available and the non-disclosure of which in the Registration Statement would be expected, in the reasonable determination of the Company’s board of directors, upon the advice of external legal counsel, to cause the Registration Statement to fail to comply with applicable disclosure requirements, (ii) at any time the Company is required to file a post-effective amendment to the Registration Statement and the Commission has not declared such amendment effective or (iii) if the negotiation or consummation of a transaction by the Company or its subsidiaries is pending or an event has occurred, which negotiation, consummation or event, the Company’s board of directors reasonably believes, upon the advice of external legal counsel, would require additional disclosure by the Company in the Registration Statement of material non-public information that the Company has a bona fide business purpose for keeping confidential and the non-disclosure of which in the Registration Statement would be expected, in the reasonable determination of the Company’s board of directors, upon the advice of external legal counsel, to cause the Registration Statement to fail to comply with applicable disclosure requirements (each such circumstance,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provided, however, the Company shall not so delay filing or so suspend the use of the Registration Statement on more than two (2) occasions or for a period of more than sixty</w:t>
      </w:r>
    </w:p>
    <w:p>
      <w:pPr>
        <w:spacing w:after="0" w:line="2" w:lineRule="exact"/>
        <w:rPr>
          <w:sz w:val="20"/>
          <w:szCs w:val="20"/>
          <w:color w:val="auto"/>
        </w:rPr>
      </w:pPr>
    </w:p>
    <w:p>
      <w:pPr>
        <w:jc w:val="both"/>
        <w:ind w:firstLine="8"/>
        <w:spacing w:after="0" w:line="251" w:lineRule="auto"/>
        <w:tabs>
          <w:tab w:leader="none" w:pos="3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days or more than a total of ninety (90) calendar days, in each case in any three hundred sixty (360) day period. Upon receipt of any written notice from the Company of the happening of any Suspension Event (which notice shall not contain material non-public information)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the light of the circumstances under which they were made (in the case of the prospectus) not misleading, Subscriber agrees that (i) it will immediately discontinue offers and sales of the Registrable Securities under the Registration Statement (excluding, for the avoidance of doubt, sales conducted pursuant to Rule 144) until such Subscriber receives copies of a supplemental or amended prospectus (which the Company agrees to promptly prepare after the completion of the Suspension Event)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Subscriber will deliver to the Company or, in such Subscriber’s sole discretion destroy, all copies of the prospectus covering the Registrable Securities in such Subscriber’s possession; provided, however, that this obligation to deliver or destroy all copies of the prospectus covering the Registrable Securities shall not apply (i) to the extent such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6.4 The Company shall indemnify, defend and hold harmless Subscriber (to the extent a seller under the Registration Statement), and any of its officers, directors, agents, partners, members, stockholders, affiliates, managers, investment advisers and employees, and each person who controls Subscriber (within the meaning of Section 15 of the Securities Act or Section 20 of the Exchange Act), to the fullest extent permitted by applicable law, from and against any and all losses, claims, damages, liabilities, costs (including reasonable out-of-pocket external attorneys’ fees and expenses incurred in connection with defending or investigating any such action or claim) and expenses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as incurred, that arise out of or are based upon</w:t>
      </w:r>
    </w:p>
    <w:p>
      <w:pPr>
        <w:spacing w:after="0" w:line="3" w:lineRule="exact"/>
        <w:rPr>
          <w:sz w:val="20"/>
          <w:szCs w:val="20"/>
          <w:color w:val="auto"/>
        </w:rPr>
      </w:pPr>
    </w:p>
    <w:p>
      <w:pPr>
        <w:jc w:val="both"/>
        <w:ind w:firstLine="8"/>
        <w:spacing w:after="0" w:line="251" w:lineRule="auto"/>
        <w:tabs>
          <w:tab w:leader="none" w:pos="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the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under this Section 6, except insofar as and to the extent, but only to the extent, that such untrue statements, alleged untrue statements, omissions or alleged omissions are based upon information regarding Subscriber furnished in writing to the Company by such Subscriber expressly for use therein or such Subscriber has omitted a material fact from such information or otherwise violated the Securities Act, the Exchange Act or any state securities law or any rule or regulation thereunder; provided, however, that the indemnification contained in this Section 6 shall not apply to amounts paid in settlement of any Losses if such settlement is effected without the consent of the Company (which consent shall not be unreasonably withheld, conditioned or delayed), nor shall the Company be liable for any Losses to the extent they arise out of or are based upon a violation which occurs (A) in reliance upon and in conformity with written information furnished by such Subscriber, (B) in connection with any failure of such person to deliver or cause to be delivered a prospectus made available by the Company in a timely manner, (C) as a result of offers or sales effected by or on behalf of any person by means of a “free writing prospectus” (as defined in Rule 405 under the Securities Act) that was not authorized in writing by the Company, or (D) in connection with any offers or sales effected by or on behalf of such Subscriber in violation of Section 6.3 hereof. Subscriber shall notify the Company promptly of the institution of any proceeding arising from or in connection with the transactions contemplated by this Section 6 of which Subscriber becomes aware, provided that a failure by Subscriber to provide such notice shall not impact Subscriber’s right to be indemnified hereunder unless the Company is actually prejudiced thereby. Such indemnity shall remain in full force and effect regardless of any investigation made by or on behalf of an indemnified party and shall survive the transfer of the Securities by Subscriber.</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6.5 Subscriber shall (severally and not jointly with any Other Subscriber) indemnify and hold harmless the Company, its directors, officers, agents and employees, and each person who controls the Company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solely upon information regarding Subscriber furnished to the Company by Subscriber expressly for use therein; provided, however, that the indemnification contained in this Section 6 shall not apply to amounts paid in settlement of any Losses if such settlement is effected without the consent of Subscriber (which consent shall not be unreasonably withheld, conditioned or delayed). In no event shall the liability of Subscriber be greater in amount than the dollar amount of the net proceeds received by Subscriber upon the sale of the Registrable Securities giving rise to such indemnification obligation. The Company shall notify Subscriber promptly of the institution of any proceeding arising from or in connection with the transactions contemplated by this Section 6 of which the Company becomes aware, provided that a failure by the Company to provide such notice shall not impact the Company’s right to be indemnified hereunder unless Subscriber is actually prejudiced thereby. Such indemnity shall remain in full force and effect regardless of any investigation made by or on behalf of an indemnified party and shall survive the transfer of the Securities by Subscriber.</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6.6 Any person entitled to indemnification pursuant to this Section 6 shall (i)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(ii)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(which consent shall not be unreasonably withheld, conditioned or delayed).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where representation by the same counsel would be in violation of professional rules applicable to such counsel. No indemnifying party shall, without the consent of the indemnified party (which consent shall not be unreasonably withheld, conditioned or delayed),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6.7 If the indemnification provided under this Section 6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Section 6,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6 from any person who was not guilty of such fraudulent misrepresentation. Each indemnifying party’s obligation to make a contribution pursuant to this Section 6.6 shall be individual, not joint and several, and in no event shall the liability of Subscriber hereunder be greater in amount than the dollar amount of the net proceeds received by Subscriber upon the sale of the Registrable Securities giving rise to such indemnification obligation.</w:t>
      </w:r>
    </w:p>
    <w:p>
      <w:pPr>
        <w:spacing w:after="0" w:line="197" w:lineRule="exact"/>
        <w:rPr>
          <w:sz w:val="20"/>
          <w:szCs w:val="20"/>
          <w:color w:val="auto"/>
        </w:rPr>
      </w:pPr>
    </w:p>
    <w:p>
      <w:pPr>
        <w:ind w:left="840" w:hanging="184"/>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7.1.1 Subscriber acknowledges that the Company, the Advisor and others will rely on the acknowledgments, understandings, agreements, representations and warranties contained in this Subscription Agreement. Each party agrees to promptly notify the other party if any of its acknowledgments, understandings, agreements, representations and warranties set forth herein are no longer accurate in all material respects. Subscriber further acknowledges and agrees that the Advisor is a third-party beneficiary of the representations and warranties of Subscriber contained in Section 2.1 of this Subscription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7.1.2 Each of the Company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in each case, to the extent required by applicable law.</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7.1.3 The Company may request from Subscriber such additional information as the Company may deem reasonably necessary to evaluate the eligibility of Subscriber to acquire the Securities, and Subscriber shall use reasonable best efforts to promptly provide such information as may be reasonably requested, to the extent readily available and to the extent consistent with its internal policies and procedures,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agrees to keep confidential any such information provided by Subscriber.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communication required or permitted hereunder shall be in writing and either delivered personally, emailed or sent by overnight mail via a reputable overnight carrier, or sent by certified or registered mail, postage prepaid, and shall be deemed to be given and received (a) when so delivered personally, (b) when sent, with affirmative confirmation of receipt, if sent by email, (c) one (1) business day after being sent, if sent by reputable, internationally recognized overnight courier service or (d) three (3) business days after the date of mailing by registered or certified mail (prepaid and return receipt requested), in any case, to the address below or to such other address or addresses as such person may hereafter designate by notice given hereunder:</w:t>
      </w:r>
    </w:p>
    <w:p>
      <w:pPr>
        <w:spacing w:after="0" w:line="187" w:lineRule="exact"/>
        <w:rPr>
          <w:sz w:val="20"/>
          <w:szCs w:val="20"/>
          <w:color w:val="auto"/>
        </w:rPr>
      </w:pPr>
    </w:p>
    <w:p>
      <w:pPr>
        <w:ind w:left="1960" w:hanging="417"/>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Subscriber, to such address or addresses set forth on the signature page hereto;</w:t>
      </w:r>
    </w:p>
    <w:p>
      <w:pPr>
        <w:spacing w:after="0" w:line="225" w:lineRule="exact"/>
        <w:rPr>
          <w:sz w:val="20"/>
          <w:szCs w:val="20"/>
          <w:color w:val="auto"/>
        </w:rPr>
      </w:pPr>
    </w:p>
    <w:p>
      <w:pPr>
        <w:ind w:left="1960" w:hanging="442"/>
        <w:spacing w:after="0"/>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(prior to the Closing),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Archimedes Tech SPAC Partners Co.</w:t>
      </w:r>
    </w:p>
    <w:p>
      <w:pPr>
        <w:spacing w:after="0" w:line="27" w:lineRule="exact"/>
        <w:rPr>
          <w:rFonts w:ascii="Times New Roman" w:cs="Times New Roman" w:eastAsia="Times New Roman" w:hAnsi="Times New Roman"/>
          <w:sz w:val="18"/>
          <w:szCs w:val="18"/>
          <w:color w:val="auto"/>
        </w:rPr>
      </w:pPr>
    </w:p>
    <w:p>
      <w:pPr>
        <w:ind w:left="1960" w:right="6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2093 Philadelphia Pike #1968 Claymont, DE 19703 Attention: Long Long E-mail: long@spacpartners.com</w:t>
      </w:r>
    </w:p>
    <w:p>
      <w:pPr>
        <w:spacing w:after="0" w:line="18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a required copy to (which copy shall not constitute notice):</w:t>
      </w:r>
    </w:p>
    <w:p>
      <w:pPr>
        <w:spacing w:after="0" w:line="2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Loeb &amp; Loeb LLP</w:t>
      </w:r>
    </w:p>
    <w:p>
      <w:pPr>
        <w:spacing w:after="0" w:line="27" w:lineRule="exact"/>
        <w:rPr>
          <w:rFonts w:ascii="Times New Roman" w:cs="Times New Roman" w:eastAsia="Times New Roman" w:hAnsi="Times New Roman"/>
          <w:sz w:val="18"/>
          <w:szCs w:val="18"/>
          <w:color w:val="auto"/>
        </w:rPr>
      </w:pPr>
    </w:p>
    <w:p>
      <w:pPr>
        <w:ind w:left="1960" w:right="70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345 Park Avenue, 19th Floor New York, NY 10154 Attention: Mitchell Nussbaum E-mail: mnussbaum@loeb.com</w:t>
      </w:r>
    </w:p>
    <w:p>
      <w:pPr>
        <w:spacing w:after="0" w:line="172"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1960"/>
        <w:spacing w:after="0"/>
        <w:rPr>
          <w:sz w:val="20"/>
          <w:szCs w:val="20"/>
          <w:color w:val="auto"/>
        </w:rPr>
      </w:pPr>
      <w:r>
        <w:rPr>
          <w:rFonts w:ascii="Times New Roman" w:cs="Times New Roman" w:eastAsia="Times New Roman" w:hAnsi="Times New Roman"/>
          <w:sz w:val="18"/>
          <w:szCs w:val="18"/>
          <w:color w:val="auto"/>
        </w:rPr>
        <w:t>SoundHound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Santa Clara, California 95054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Keyvan Mohajer, Founder and CEO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keyvan@soundhound.com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Matthew Gray, Esq. and Douglas Ellenoff,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mgray@egsllp.com and ellenoff@egsllp.com</w:t>
      </w:r>
    </w:p>
    <w:p>
      <w:pPr>
        <w:spacing w:after="0" w:line="207" w:lineRule="exact"/>
        <w:rPr>
          <w:sz w:val="20"/>
          <w:szCs w:val="20"/>
          <w:color w:val="auto"/>
        </w:rPr>
      </w:pPr>
    </w:p>
    <w:p>
      <w:pPr>
        <w:ind w:left="1960" w:hanging="656"/>
        <w:spacing w:after="0"/>
        <w:tabs>
          <w:tab w:leader="none" w:pos="1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(following the Closing)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Inc.</w:t>
      </w:r>
    </w:p>
    <w:p>
      <w:pPr>
        <w:spacing w:after="0" w:line="27" w:lineRule="exact"/>
        <w:rPr>
          <w:rFonts w:ascii="Times New Roman" w:cs="Times New Roman" w:eastAsia="Times New Roman" w:hAnsi="Times New Roman"/>
          <w:sz w:val="18"/>
          <w:szCs w:val="18"/>
          <w:color w:val="auto"/>
        </w:rPr>
      </w:pPr>
    </w:p>
    <w:p>
      <w:pPr>
        <w:ind w:left="1960" w:right="7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5400 Betsy Ross Drive Santa Clara, California 95054</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Keyvan Mohajer, Founder and CEO</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keyvan@soundhound.com</w:t>
      </w:r>
    </w:p>
    <w:p>
      <w:pPr>
        <w:spacing w:after="0" w:line="20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required copy to (which copy shall not constitute notice):</w:t>
      </w:r>
    </w:p>
    <w:p>
      <w:pPr>
        <w:spacing w:after="0" w:line="225" w:lineRule="exact"/>
        <w:rPr>
          <w:rFonts w:ascii="Times New Roman" w:cs="Times New Roman" w:eastAsia="Times New Roman" w:hAnsi="Times New Roman"/>
          <w:sz w:val="18"/>
          <w:szCs w:val="18"/>
          <w:color w:val="auto"/>
        </w:rPr>
      </w:pPr>
    </w:p>
    <w:p>
      <w:pPr>
        <w:ind w:left="1960" w:right="684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Ellenoff Grossman &amp; Schole LLP 1345 Avenue of the Americas New York, New York 10105</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Matthew Gray, Esq. and Douglas Ellenoff, Esq.</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mgray@egsllp.com and ellenoff@egsllp.com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Subscription Agreement constitutes the entire agreement, and supersedes all other prior agreements, understandings, representations and warranties, both written and oral, among the parties, with respect to the subject matter hereof (other than any confidentiality agreement entered into by the Company and Subscriber in connection with the Offering).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This Subscription Agreement may not be modified, waived or terminated except by an instrument in writing, signed by the Company, Subscriber and, if prior to the Transaction Closing, SoundHound.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Waivers and Consents</w:t>
      </w:r>
      <w:r>
        <w:rPr>
          <w:rFonts w:ascii="Times New Roman" w:cs="Times New Roman" w:eastAsia="Times New Roman" w:hAnsi="Times New Roman"/>
          <w:sz w:val="18"/>
          <w:szCs w:val="18"/>
          <w:color w:val="auto"/>
        </w:rPr>
        <w:t>. The terms and provisions of this Subscription Agreement may be waived, or consent for the departure therefrom granted, only by a written document executed by the party against whom enforcement of such waiver or consent is sought (and with respect to any waiver or consent by the Company prior to the Transaction Closing, SoundHound). No such waiver or consent shall be deemed to be or shall constitute a waiver or consent with respect to any other terms or provisions of this Subscription Agreement, whether or not similar. Each such waiver or consent shall be effective only in the specific instance and for the purpose for which it was given, and shall not constitute a continuing waiver or consent.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Subscription Agreement nor any rights, interests or obligations that may accrue to the Subscriber hereunder (other than the Securities acquired hereunder by Subscriber, if any, after the Closing and Subscriber’s rights under Section 6 above) may be transferred or assigned without the prior written consent of the Company, and any purported transfer or assignment without such consent shall be null and void ab initio;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Subscriber may transfer or assign its rights, interests and obligations hereunder to a controlled affiliate of Subscriber or another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investment fund or account managed or advised by the same manager as Subscriber (or a related party or affiliate) that can satisfy the requirements of Section 2.1.4 and the other representations and warranties in Section 2.1,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no such transfer or assignment without the prior express written consent of the Company shall release Subscriber of its obligations hereunder and such transferee(s) or assignee(s), as applicable, agrees in writing to be bound by the terms hereof as if it were the original Subscriber party hereto.</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Benefit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7.7.1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 Except as expressly provided for herein, this Subscription Agreement shall not confer rights or remedies upon any person other than the parties hereto and their respective successors and permitted assigns.</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7.7.2 Subscriber acknowledges and agrees that (a) this Subscription Agreement is being entered into in order to induce SoundHound to execute and deliver the Transaction Agreement and without the representations, warranties, covenants and agreements of Subscriber hereunder, the SoundHound would not enter into the Transaction Agreement, and (b) each representation, warranty, covenant and agreement of Subscriber hereunder is being made also for the benefit of SoundHound, and the Advisor.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7.7.3 Each of the parties agrees that SoundHound is an express third party beneficiary of this Agreement and SoundHound may directly enforce (including by an action for specific performance, injunctive relief or other equitable relief) each of the provisions of this Agreement, as amended, modified, supplemented or waived in accordance with Sections 7.4 and 7.5, as if it were a direct party hereto. Each of the parties further agrees that the Advisor is a third-party beneficiary of the representations and warranties of Subscriber and the Company under this Subscription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giving effect to the principles of conflicts of law thereof.</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Consent to Jurisdiction; Waiver of Jury Trial</w:t>
      </w:r>
      <w:r>
        <w:rPr>
          <w:rFonts w:ascii="Times New Roman" w:cs="Times New Roman" w:eastAsia="Times New Roman" w:hAnsi="Times New Roman"/>
          <w:sz w:val="18"/>
          <w:szCs w:val="18"/>
          <w:color w:val="auto"/>
        </w:rPr>
        <w:t>. The parties hereto agree to submit any matter or dispute resulting from or arising out of the execution, performance, interpretation, breach or termination of this Agreement to the exclusive jurisdiction of federal or state courts within the County of New York, State of New York (and any appellate courts thereof)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Each of the parties agrees that service of any process, summons, notice or document in the manner set forth in Section 7.2 hereof or in such other manner as may be permitted by applicable law, shall be effective service of process for any proceeding with respect to any matters to which it has submitted to jurisdiction in this Section 7.9. Each of the parties hereto irrevocably and unconditionally agrees that it is subject to, and hereby submits to, the personal jurisdiction of the Specified Courts for any action, suit or proceeding arising out of this Subscription Agreement or the transactions contemplated hereunder and waives any objection to the laying of venue in the Specified Courts (the United States District Court for the Southern District of New York, or the applicable New York state courts if the federal jurisdictional standards are not satisfied), and hereby further irrevocably and unconditionally waives and agrees not to plead or claim in any such court that any such action, suit or proceeding brought in any such court has been brought in an inconvenient forum. TO THE FULLEST EXTENT PERMITTED BY APPLICABLE LAW, EACH OF THE PARTIES HEREBY IRREVOCABLY WAIVES ITS RIGHTS TO A TRIAL BY JURY.</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Non-Reliance and Exculpation</w:t>
      </w:r>
      <w:r>
        <w:rPr>
          <w:rFonts w:ascii="Times New Roman" w:cs="Times New Roman" w:eastAsia="Times New Roman" w:hAnsi="Times New Roman"/>
          <w:sz w:val="18"/>
          <w:szCs w:val="18"/>
          <w:color w:val="auto"/>
        </w:rPr>
        <w:t>. Subscriber acknowledges that it is not relying upon, and has not relied upon, any statement, representation or warranty made by any person (including the Advisor, any of its affiliates or any of its or their control persons, officers, directors, employees, partners, agents, and any representatives of any of the foregoing), other than the statements, representations and warranties of the Company expressly contained in Section 2.2 of this Subscription Agreement, in making its investment or decision to invest in the Company. Subscriber acknowledges and agrees that neither of the Advisor, nor its affiliates or any of its or their respective control persons, officers, directors, employees or representatives shall have any liability to Subscriber pursuant to, arising out of or relating to this Subscription Agreement, the negotiation hereof or its subject matter, or the transactions contemplated hereby, including, without limitation, with respect to any action heretofore or hereafter taken or omitted to be taken by any of them in connection with the purchase of the Securities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the Company, the Advisor, SoundHound or any other person or entity concerning the Company or SoundHound. Subscriber further acknowledges and agrees that no Other Subscriber pursuant to Other Subscription Agreements (including the controlling persons, members, officers, directors, partners, agents, employees or other representatives of any such Other Subscriber) shall be liable to Subscriber pursuant to this Subscription Agreement for any action heretofore or hereafter taken or omitted to be taken by any of them in connection with the purchase of the Securities.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 Upon such determination that any provision is invalid, illegal or unenforceable,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by the parties hereto in this Subscription Agreement or in any other agreement, certificate or instrument provided for or contemplated hereby, shall survive the Closing until the expiration of any statute of limitations under applicable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Subscriber shall pay all of its own expenses in connection with this Subscription Agreement and the transactions contemplated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Headings and Captions</w:t>
      </w:r>
      <w:r>
        <w:rPr>
          <w:rFonts w:ascii="Times New Roman" w:cs="Times New Roman" w:eastAsia="Times New Roman" w:hAnsi="Times New Roman"/>
          <w:sz w:val="18"/>
          <w:szCs w:val="18"/>
          <w:color w:val="auto"/>
        </w:rPr>
        <w:t>. The headings and captions of the various subdivisions of this Subscription Agreement are for convenience of reference only and shall in no way modify or affect the meaning or construction of any of the terms or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Subscription Agreement may be executed in one or more counterparts (including by facsimile or electronic mail or in .pdf),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will be deemed to be followed by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8"/>
          <w:szCs w:val="18"/>
          <w:i w:val="1"/>
          <w:iCs w:val="1"/>
          <w:color w:val="auto"/>
        </w:rPr>
        <w:t>this Subscription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hereunder</w:t>
      </w:r>
      <w:r>
        <w:rPr>
          <w:rFonts w:ascii="Times New Roman" w:cs="Times New Roman" w:eastAsia="Times New Roman" w:hAnsi="Times New Roman"/>
          <w:sz w:val="18"/>
          <w:szCs w:val="18"/>
          <w:color w:val="auto"/>
        </w:rPr>
        <w:t>,” and words of similar import refer to this Subscription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 All references in this Subscription Agreement to numbers of shares, per share amounts and purchase prices shall be appropriately adjusted to reflect any stock split, stock dividend, stock combination, recapitalization or the like occurring after the date hereof. As used in this Subscription Agreement, the term: (x) “person” shall refer to any individual, corporation, partnership, trust, limited liability company or other entity or association, including any governmental or regulatory body, whether acting in an individual, fiduciary or any other capacity; and (y) “affiliate” shall mean, with respect to any specified person, any other person or group of persons acting together that, directly or indirectly, through one or more intermediaries controls, is controlled by or is under common control with such specified person (where the term “control” (and any correlative terms) means the possession, direct or indirect, of the power to direct or cause the direction of the management and policies of such person, whether through the ownership of voting securities, by contract or otherwise). For the avoidance of doubt, any reference in this Subscription Agreement to an affiliate of the Company will include the Company’s sponsor, Archimedes Tech SPAC Sponsors LLC.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This Subscription Agreement is the joint product of Subscriber and the Company and each provision hereof has been subject to the mutual consultation, negotiation and agreement of such parties and shall not be construed for or against any party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7.18.1 The parties agree that the irreparable damage would occur if this Subscription Agreement was not performed in accordance with its specific terms or was otherwise breached and that money damages or other legal remedies would not be an adequate remedy for any such damage. It is accordingly agreed that the parties hereto shall be entitled to equitable relief, including in the form of an injunction or injunctions, to prevent breaches or threatened breaches of this Subscription Agreement and to enforce specifically the terms and provisions of this Subscription Agreement in an appropriate court of competent jurisdiction as set forth in Section 7.9, this being in addition to any other remedy to which any party is entitled at law or in equity, including money damages. The right to specific enforcement shall include the right of the parties hereto to cause the other parties hereto to cause the transactions contemplated hereby to be consummated on the terms and subject to the conditions and limitations set forth in this Subscription Agreement. The parties hereto further agree (i) to waive any requirement for the security or posting of any bond in connection with any such equitable remedy, (ii) not to assert that a remedy of specific enforcement pursuant to this Section 7.18 is unenforceable, invalid, contrary to applicable law or inequitable for any reason and (iii) to waive any defenses in any action for specific performance, including the defense that a remedy at law would be adequate.</w:t>
      </w:r>
    </w:p>
    <w:p>
      <w:pPr>
        <w:spacing w:after="0" w:line="19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7.18.2 The parties acknowledge and agree that this Section 7.18 is an integral part of the transactions contemplated hereby and without that right, the parties hereto would not have entered into this Subscription Agreement.</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7.18.3 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documented and out-of-pocket costs and external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 on some but not all of the claims and counterclaims, the adjudicating body may award the prevailing party an appropriate percentage of the documented out-of-pocket costs and external attorneys’ fees reasonably incurred by the prevailing party in connection with the adjudication and the enforcement of its rights under this Subscription Agreement or any other agreement, document, instrument or certificate contemplated hereby or thereby.</w:t>
      </w:r>
    </w:p>
    <w:p>
      <w:pPr>
        <w:spacing w:after="0" w:line="188" w:lineRule="exact"/>
        <w:rPr>
          <w:sz w:val="20"/>
          <w:szCs w:val="20"/>
          <w:color w:val="auto"/>
        </w:rPr>
      </w:pPr>
    </w:p>
    <w:p>
      <w:pPr>
        <w:ind w:left="840" w:hanging="184"/>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8.1 The Company shall, by 9:00 a.m., New York City time,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immediately following the date of this Subscription Agreement file a Current Report on Form 8-K or press release (collectively, the “</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filed with the Commission (the time of such filing, “</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and a form of this Subscription Agreement may be filed with the Commission as an exhibit thereto, which shall disclose all material terms of the transactions contemplated hereby. From and after the Disclosure Time, the Company represents to Subscriber that, unless the Subscriber has obtained other material, non-public information through a prior relationship with the Company or SoundHound, or has otherwise obtained material, non-public information other than through the Donnelley Financial Solutions Virtual Data Room named “Picard PIPE” established in connection with the Transaction, it shall have publicly disclosed all material, non-public information delivered to Subscriber by the Company, SoundHound or any of their officers, directors, employees or agents in connection with the transactions contemplated by the Subscription Agreement and the Transaction Agreement, and Subscriber shall no longer be subject to any confidentiality or similar obligations under any current agreement, whether written or oral with Company, the Advisor or any of their affiliates, relating to the transactions contemplated by this Subscription Agreement. If the Subscriber has obtained material, nonpublic information of the Company other than through the Donnelley Financial Solutions Virtual Data Room named “Picard PIPE,” then unless otherwise previously agreed to by the Subscriber, the Subscriber will remain subject to the confidentiality or similar obligations under its current non-disclosure agreement with Company, the Advisor or any of their affiliates, relating to the transactions contemplated by this Subscription Agreement upon initial filing of the Company’s registration statement or proxy statement/prospectus to be filed by the Company with respect to the Transaction which shall include all material, nonpublic information provided by the Company to the Subscriber in connection with this Subscription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8.2 Subscriber hereby consents to the publication and disclosure in (x) any Form 8-K filed by the Company with the Commission in connection with the execution and delivery of the Transaction Agreement or this Subscription Agreement or the Other Subscription Agreements and any filing with the Commission made in connection therewith, including any proxy statement, prospectus or registration statement related thereto or any other filing with the Commission pursuant to applicable securities laws, and (y) any other documents or communications, including press-releases, provided by the Company in connection with the execution and delivery of the Transaction Agreement or this Subscription Agreement or the Other Subscription Agreements, the nature of Subscriber’s commitments, arrangements and understandings under and relating to this Subscription Agreement and, if deemed required or appropriate by the Company, a copy of this Subscription Agreement but in each case solely to the extent disclosure is required by law, the Commission or other regulatory agency or Nasdaq. Notwithstanding the foregoing or anything in this Subscription Agreement to the contrary, the Company shall not (and shall cause its officers, directors, employees or agents (including the Advisor) not to), without the prior written consent of the Subscriber, publicly disclose the name of Subscriber, its investment adviser or any of their respective affiliates or advisers, or include the name of Subscriber, its investment adviser or any of their respective affiliates or advisers (i) in any press release, marketing materials, media or similar circumstances or (ii) in any filing with the Commission or any regulatory agency or trading market, other than the Registration Statement and except (A) as required by the federal securities laws’ or pursuant to other routine proceedings of regulatory authorities or (B) to the extent such disclosure is required by law, at the request of the staff of the Commission or regulatory agency or under the regulations of any national securities exchange on which the Company's securities are listed for trading, provided, that in the case of this clause (ii), the Company shall provide Subscriber with prior written notice (including by e-mail) of such permitted disclosure, and shall reasonably consult with Subscriber regarding such disclosure.</w:t>
      </w:r>
    </w:p>
    <w:p>
      <w:pPr>
        <w:spacing w:after="0" w:line="195" w:lineRule="exact"/>
        <w:rPr>
          <w:sz w:val="20"/>
          <w:szCs w:val="20"/>
          <w:color w:val="auto"/>
        </w:rPr>
      </w:pPr>
    </w:p>
    <w:p>
      <w:pPr>
        <w:jc w:val="both"/>
        <w:ind w:firstLine="656"/>
        <w:spacing w:after="0" w:line="268" w:lineRule="auto"/>
        <w:tabs>
          <w:tab w:leader="none" w:pos="82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Trust Account Waiver</w:t>
      </w:r>
      <w:r>
        <w:rPr>
          <w:rFonts w:ascii="Times New Roman" w:cs="Times New Roman" w:eastAsia="Times New Roman" w:hAnsi="Times New Roman"/>
          <w:sz w:val="17"/>
          <w:szCs w:val="17"/>
          <w:color w:val="auto"/>
        </w:rPr>
        <w:t>. Subscriber acknowledges that the Company is a blank check company with the powers and privileges to effect a merger, asset acquisition, reorganization or similar business combination involving the Company and one or more businesses or assets. Subscriber further acknowledges that, as described in the Prospectus available at www.sec.gov, substantially all of the Company’s assets consist of the cash proceeds of Company’s initial public offering (including overallotment securities sold by the Company’s underwriter thereafter) and private placements of its securities, and substantially all of those proceeds have been deposited in a trust account (the “</w:t>
      </w:r>
      <w:r>
        <w:rPr>
          <w:rFonts w:ascii="Times New Roman" w:cs="Times New Roman" w:eastAsia="Times New Roman" w:hAnsi="Times New Roman"/>
          <w:sz w:val="17"/>
          <w:szCs w:val="17"/>
          <w:b w:val="1"/>
          <w:bCs w:val="1"/>
          <w:color w:val="auto"/>
        </w:rPr>
        <w:t>Trust Account</w:t>
      </w:r>
      <w:r>
        <w:rPr>
          <w:rFonts w:ascii="Times New Roman" w:cs="Times New Roman" w:eastAsia="Times New Roman" w:hAnsi="Times New Roman"/>
          <w:sz w:val="17"/>
          <w:szCs w:val="17"/>
          <w:color w:val="auto"/>
        </w:rPr>
        <w:t xml:space="preserve">”) for the benefit of Company, its public shareholders and the underwriters of Company’s initial public offering. Except with respect to interest earned on the funds held in the Trust Account that may be released to Company to pay its tax obligations, if any, the cash in the Trust Account may be disbursed only for the purposes set forth in the Prospectus. For and in consideration of the Company entering into this Subscription Agreement, the receipt and sufficiency of which are hereby acknowledged, Subscriber, on behalf of itself and its representatives, hereby irrevocably waives any and all right, title and interest, or any claim of any kind they now have or may have in the future, in or to any monies held in the Trust Account or distributions therefrom to the Company’s public stockholders, and agrees not to seek recourse against the Trust Account for any claims in connection with, as a result of, or arising out of, this Subscription Agreement or the transactions contemplated hereby;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(x) shall serve to limit or prohibit Subscriber’s right to pursue a claim against Company for legal relief against assets held outside the Trust Account (other than distributions to the Company’s public stockholders), for specific performance or other equitable relief, (y) shall serve to limit or prohibit any claims that Subscriber may have in the future against Company’s assets or funds that are not held in the Trust Account (including any funds that have been released from the Trust Account (other than distributions to the Company’s public stockholders) and any assets that have been purchased or acquired with any such funds) or (z) shall be deemed to limit any Subscriber’s right, title, interest or claim to the Trust Account by virtue of such Subscriber’s record or beneficial ownership of securities of the Company acquired by any means other than pursuant to this Subscription Agreement, including but not limited to any redemption right with respect to any such securities of the Company.</w:t>
      </w:r>
    </w:p>
    <w:p>
      <w:pPr>
        <w:spacing w:after="0" w:line="393" w:lineRule="exact"/>
        <w:rPr>
          <w:rFonts w:ascii="Times New Roman" w:cs="Times New Roman" w:eastAsia="Times New Roman" w:hAnsi="Times New Roman"/>
          <w:sz w:val="17"/>
          <w:szCs w:val="17"/>
          <w:color w:val="auto"/>
        </w:rPr>
      </w:pPr>
    </w:p>
    <w:p>
      <w:pPr>
        <w:jc w:val="both"/>
        <w:ind w:firstLine="656"/>
        <w:spacing w:after="0" w:line="258" w:lineRule="auto"/>
        <w:tabs>
          <w:tab w:leader="none" w:pos="9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Obligations</w:t>
      </w:r>
      <w:r>
        <w:rPr>
          <w:rFonts w:ascii="Times New Roman" w:cs="Times New Roman" w:eastAsia="Times New Roman" w:hAnsi="Times New Roman"/>
          <w:sz w:val="18"/>
          <w:szCs w:val="18"/>
          <w:color w:val="auto"/>
        </w:rPr>
        <w: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the Other Subscription Agreements.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Company and Subscriber has executed or caused this Subscription Agreement to be executed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as of the date first set forth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Accepted and agreed as of the date first set forth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2232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232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Subscriber: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9317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there are joint investors, please check one:</w:t>
      </w:r>
    </w:p>
    <w:p>
      <w:pPr>
        <w:spacing w:after="0" w:line="225" w:lineRule="exact"/>
        <w:rPr>
          <w:sz w:val="20"/>
          <w:szCs w:val="20"/>
          <w:color w:val="auto"/>
        </w:rPr>
      </w:pPr>
    </w:p>
    <w:p>
      <w:pPr>
        <w:ind w:left="500" w:hanging="492"/>
        <w:spacing w:after="0"/>
        <w:tabs>
          <w:tab w:leader="none" w:pos="5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Joint Tenants with Rights of Survivorship</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Community Property</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Tenants-in-Common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8890</wp:posOffset>
            </wp:positionV>
            <wp:extent cx="221170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Address-Street: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32143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Number of shares of Common Stock subscribed for: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Purchase Price: $________________________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291465</wp:posOffset>
            </wp:positionV>
            <wp:extent cx="2846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Joint Subscriber, if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17145</wp:posOffset>
            </wp:positionV>
            <wp:extent cx="2562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7"/>
          <w:szCs w:val="17"/>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453390</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161925</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462915</wp:posOffset>
            </wp:positionV>
            <wp:extent cx="377190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71900" cy="17145"/>
                    </a:xfrm>
                    <a:prstGeom prst="rect">
                      <a:avLst/>
                    </a:prstGeom>
                    <a:noFill/>
                  </pic:spPr>
                </pic:pic>
              </a:graphicData>
            </a:graphic>
          </wp:anchor>
        </w:drawing>
      </w:r>
    </w:p>
    <w:p>
      <w:pPr>
        <w:spacing w:after="0" w:line="1356" w:lineRule="exact"/>
        <w:rPr>
          <w:sz w:val="20"/>
          <w:szCs w:val="20"/>
          <w:color w:val="auto"/>
        </w:rPr>
      </w:pPr>
    </w:p>
    <w:p>
      <w:pPr>
        <w:sectPr>
          <w:pgSz w:w="11900" w:h="16838" w:orient="portrait"/>
          <w:cols w:equalWidth="0" w:num="2">
            <w:col w:w="6040" w:space="720"/>
            <w:col w:w="4480"/>
          </w:cols>
          <w:pgMar w:left="320" w:top="904" w:right="339" w:bottom="1440" w:gutter="0" w:footer="0" w:header="0"/>
        </w:sectPr>
      </w:pPr>
    </w:p>
    <w:p>
      <w:pPr>
        <w:spacing w:after="0" w:line="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Subscriber must pay the Purchase Price by wire transfer of U.S. dollars in immediately available funds to the account specified by the Company in the Closing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Subscriber wants certificated Securities rather than book-entry form, indicate here: ________</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SUBSCRIBER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Schedule A should be completed by Subscriber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7" w:lineRule="exact"/>
        <w:rPr>
          <w:sz w:val="20"/>
          <w:szCs w:val="20"/>
          <w:color w:val="auto"/>
        </w:rPr>
      </w:pPr>
    </w:p>
    <w:p>
      <w:pPr>
        <w:ind w:right="6860" w:firstLine="8"/>
        <w:spacing w:after="0" w:line="484"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INSTITUTIONAL BUYER STATUS (Please check the applicable subparagraphs):</w:t>
      </w:r>
    </w:p>
    <w:p>
      <w:pPr>
        <w:ind w:left="1300" w:right="20" w:hanging="644"/>
        <w:spacing w:after="0" w:line="239" w:lineRule="exact"/>
        <w:tabs>
          <w:tab w:leader="none" w:pos="976"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Subscriber is a “qualified institutional buyer” (as defined in Rule 144A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hanging="644"/>
        <w:spacing w:after="0" w:line="239" w:lineRule="exact"/>
        <w:tabs>
          <w:tab w:leader="none" w:pos="976"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Subscriber is subscribing for the Securities as a fiduciary or agent for one or more investor accounts, and each owner of such account is a QIB.</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OR ***</w:t>
      </w:r>
    </w:p>
    <w:p>
      <w:pPr>
        <w:spacing w:after="0" w:line="225" w:lineRule="exact"/>
        <w:rPr>
          <w:sz w:val="20"/>
          <w:szCs w:val="20"/>
          <w:color w:val="auto"/>
        </w:rPr>
      </w:pPr>
    </w:p>
    <w:p>
      <w:pPr>
        <w:ind w:right="7620" w:firstLine="8"/>
        <w:spacing w:after="0" w:line="484"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 (Please check the applicable box) SUBSCRIBER:</w:t>
      </w:r>
    </w:p>
    <w:p>
      <w:pPr>
        <w:spacing w:after="0" w:line="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1"/>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not</w:t>
      </w:r>
    </w:p>
    <w:p>
      <w:pPr>
        <w:spacing w:after="0" w:line="20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an “accredited investor” (within the meaning of Rule 501(a) under the Securities Act), and have marked and initialed the appropriate box on the following page indicating the provision under which it qualifies as an “accredited investor.”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AND ***</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STATUS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check the applicable box) SUBSCRIBER:</w:t>
      </w:r>
    </w:p>
    <w:p>
      <w:pPr>
        <w:spacing w:after="0" w:line="225" w:lineRule="exact"/>
        <w:rPr>
          <w:sz w:val="20"/>
          <w:szCs w:val="20"/>
          <w:color w:val="auto"/>
        </w:rPr>
      </w:pPr>
    </w:p>
    <w:p>
      <w:pPr>
        <w:ind w:left="980" w:hanging="324"/>
        <w:spacing w:after="0"/>
        <w:tabs>
          <w:tab w:leader="none" w:pos="98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not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“affiliate” (as defined in Rule 144 under the Securities Act) of the Company or acting on behalf of an affiliate of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61" w:lineRule="exact"/>
        <w:rPr>
          <w:rFonts w:ascii="MS PGothic" w:cs="MS PGothic" w:eastAsia="MS PGothic" w:hAnsi="MS PGothic"/>
          <w:sz w:val="18"/>
          <w:szCs w:val="18"/>
          <w:color w:val="auto"/>
        </w:rPr>
      </w:pPr>
    </w:p>
    <w:p>
      <w:pPr>
        <w:ind w:left="644" w:hanging="644"/>
        <w:spacing w:after="0"/>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broker or dealer registered pursuant to section 15 of the Exchange Act;</w:t>
      </w:r>
    </w:p>
    <w:p>
      <w:pPr>
        <w:spacing w:after="0" w:line="22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adviser registered pursuant to section 203 of the Investment Advisers Act of 1940 or registered pursuant to the laws of a state;</w:t>
      </w:r>
    </w:p>
    <w:p>
      <w:pPr>
        <w:spacing w:after="0" w:line="161"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adviser relying on the exemption from registering with the Commission under section 203(l) or (m) of the Investment Advisers Act of 1940;</w:t>
      </w:r>
    </w:p>
    <w:p>
      <w:pPr>
        <w:spacing w:after="0" w:line="161" w:lineRule="exact"/>
        <w:rPr>
          <w:rFonts w:ascii="MS PGothic" w:cs="MS PGothic" w:eastAsia="MS PGothic" w:hAnsi="MS PGothic"/>
          <w:sz w:val="18"/>
          <w:szCs w:val="18"/>
          <w:color w:val="auto"/>
        </w:rPr>
      </w:pPr>
    </w:p>
    <w:p>
      <w:pPr>
        <w:ind w:left="644" w:hanging="644"/>
        <w:spacing w:after="0"/>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insurance company as defined in section 2(a)(13) of the Securities Act;</w:t>
      </w:r>
    </w:p>
    <w:p>
      <w:pPr>
        <w:spacing w:after="0" w:line="22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company registered under the Investment Company Act or a business development company as defined in section 2(a) (48) of the Investment Company Act;</w:t>
      </w:r>
    </w:p>
    <w:p>
      <w:pPr>
        <w:spacing w:after="0" w:line="161"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Small Business Investment Company licensed by the U.S. Small Business Administration under section 301(c) or (d) of the Small Business Investment Act of 1958;</w:t>
      </w:r>
    </w:p>
    <w:p>
      <w:pPr>
        <w:spacing w:after="0" w:line="161" w:lineRule="exact"/>
        <w:rPr>
          <w:rFonts w:ascii="MS PGothic" w:cs="MS PGothic" w:eastAsia="MS PGothic" w:hAnsi="MS PGothic"/>
          <w:sz w:val="18"/>
          <w:szCs w:val="18"/>
          <w:color w:val="auto"/>
        </w:rPr>
      </w:pPr>
    </w:p>
    <w:p>
      <w:pPr>
        <w:ind w:left="644" w:hanging="644"/>
        <w:spacing w:after="0"/>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Rural Business Investment Company as defined in section 384A of the Consolidated Farm and Rural Development Act;</w:t>
      </w:r>
    </w:p>
    <w:p>
      <w:pPr>
        <w:spacing w:after="0" w:line="22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jc w:val="both"/>
        <w:ind w:left="644" w:hanging="644"/>
        <w:spacing w:after="0" w:line="261"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if (i) the investment decision is made by a plan fiduciary, as defined in section 3(21) of ERISA, which is either a bank, a savings and loan association, an insurance company, or a registered investment adviser, (ii) the employee benefit plan has total assets in excess of $5,000,000 or, (iii) the plan is a self-directed plan, with investment decisions made solely by persons that are “accredited investors”;</w:t>
      </w:r>
    </w:p>
    <w:p>
      <w:pPr>
        <w:spacing w:after="0" w:line="179" w:lineRule="exact"/>
        <w:rPr>
          <w:rFonts w:ascii="MS PGothic" w:cs="MS PGothic" w:eastAsia="MS PGothic" w:hAnsi="MS PGothic"/>
          <w:sz w:val="18"/>
          <w:szCs w:val="18"/>
          <w:color w:val="auto"/>
        </w:rPr>
      </w:pPr>
    </w:p>
    <w:p>
      <w:pPr>
        <w:ind w:left="644" w:hanging="644"/>
        <w:spacing w:after="0"/>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private business development company as defined in section 202(a)(22) of the Investment Advisers Act of 1940;</w:t>
      </w:r>
    </w:p>
    <w:p>
      <w:pPr>
        <w:spacing w:after="0" w:line="225" w:lineRule="exact"/>
        <w:rPr>
          <w:rFonts w:ascii="MS PGothic" w:cs="MS PGothic" w:eastAsia="MS PGothic" w:hAnsi="MS PGothic"/>
          <w:sz w:val="18"/>
          <w:szCs w:val="18"/>
          <w:color w:val="auto"/>
        </w:rPr>
      </w:pPr>
    </w:p>
    <w:p>
      <w:pPr>
        <w:jc w:val="both"/>
        <w:ind w:left="644" w:hanging="644"/>
        <w:spacing w:after="0" w:line="266"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p>
      <w:pPr>
        <w:spacing w:after="0" w:line="388"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Sch.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8" w:name="page39"/>
    <w:bookmarkEnd w:id="38"/>
    <w:p>
      <w:pPr>
        <w:ind w:left="644" w:right="20" w:hanging="644"/>
        <w:spacing w:after="0" w:line="282"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61" w:lineRule="exact"/>
        <w:rPr>
          <w:rFonts w:ascii="MS PGothic" w:cs="MS PGothic" w:eastAsia="MS PGothic" w:hAnsi="MS PGothic"/>
          <w:sz w:val="18"/>
          <w:szCs w:val="18"/>
          <w:color w:val="auto"/>
        </w:rPr>
      </w:pPr>
    </w:p>
    <w:p>
      <w:pPr>
        <w:jc w:val="both"/>
        <w:ind w:left="644" w:hanging="644"/>
        <w:spacing w:after="0" w:line="255"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or spousal equivalent,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188" w:lineRule="exact"/>
        <w:rPr>
          <w:rFonts w:ascii="MS PGothic" w:cs="MS PGothic" w:eastAsia="MS PGothic" w:hAnsi="MS PGothic"/>
          <w:sz w:val="18"/>
          <w:szCs w:val="18"/>
          <w:color w:val="auto"/>
        </w:rPr>
      </w:pPr>
    </w:p>
    <w:p>
      <w:pPr>
        <w:jc w:val="both"/>
        <w:ind w:left="644" w:hanging="644"/>
        <w:spacing w:after="0" w:line="266"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7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total assets in excess of $5,000,000, not formed for the specific purpose of acquiring the securities offered, whose purchase is directed by a sophisticated person as described in section 230.506(b)(2)(ii) of Regulation D under the Securities Act;</w:t>
      </w:r>
    </w:p>
    <w:p>
      <w:pPr>
        <w:spacing w:after="0" w:line="161" w:lineRule="exact"/>
        <w:rPr>
          <w:rFonts w:ascii="MS PGothic" w:cs="MS PGothic" w:eastAsia="MS PGothic" w:hAnsi="MS PGothic"/>
          <w:sz w:val="18"/>
          <w:szCs w:val="18"/>
          <w:color w:val="auto"/>
        </w:rPr>
      </w:pPr>
    </w:p>
    <w:p>
      <w:pPr>
        <w:ind w:left="644" w:hanging="644"/>
        <w:spacing w:after="0"/>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22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other than an entity described in the categories of “accredited investors” above, not formed for the specific purpose of acquiring the securities offered, owning investments in excess of $5,000,000;</w:t>
      </w:r>
    </w:p>
    <w:p>
      <w:pPr>
        <w:spacing w:after="0" w:line="161"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holding in good standing one or more professional certifications or designations or credentials from an accredited educational institution that the Commission has designated as qualifying an individual for accredited investor status;</w:t>
      </w:r>
    </w:p>
    <w:p>
      <w:pPr>
        <w:spacing w:after="0" w:line="161" w:lineRule="exact"/>
        <w:rPr>
          <w:rFonts w:ascii="MS PGothic" w:cs="MS PGothic" w:eastAsia="MS PGothic" w:hAnsi="MS PGothic"/>
          <w:sz w:val="18"/>
          <w:szCs w:val="18"/>
          <w:color w:val="auto"/>
        </w:rPr>
      </w:pPr>
    </w:p>
    <w:p>
      <w:pPr>
        <w:jc w:val="both"/>
        <w:ind w:left="644" w:hanging="644"/>
        <w:spacing w:after="0" w:line="266"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p>
      <w:pPr>
        <w:spacing w:after="0" w:line="175" w:lineRule="exact"/>
        <w:rPr>
          <w:rFonts w:ascii="MS PGothic" w:cs="MS PGothic" w:eastAsia="MS PGothic" w:hAnsi="MS PGothic"/>
          <w:sz w:val="18"/>
          <w:szCs w:val="18"/>
          <w:color w:val="auto"/>
        </w:rPr>
      </w:pPr>
    </w:p>
    <w:p>
      <w:pPr>
        <w:jc w:val="both"/>
        <w:ind w:left="644" w:hanging="644"/>
        <w:spacing w:after="0" w:line="261"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or</w:t>
      </w:r>
    </w:p>
    <w:p>
      <w:pPr>
        <w:spacing w:after="0" w:line="179"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client,” as defined under the Investment Advisers Act, of a family office meeting the requirements in the previous paragraph and whose prospective investment in the issuer is directed by such family office pursuant to the previous paragraph.</w:t>
      </w:r>
    </w:p>
    <w:p>
      <w:pPr>
        <w:spacing w:after="0" w:line="374"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Sch.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LOCK-UP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AMENDED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April 14, 2022, amends and restates the Lock-Up Agreement entered into as of November 15, 2021, is by and between the undersigned stockholder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Archimedes Tech SPAC Partners Co.,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Parent, ATSPC Merger Sub Inc., a Delaware corporation and wholly-owned subsidiary of the Parent and Soundhound,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Merger Agreement dated as of November 15, 2021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Capitalized terms used, but not otherwise defined herein, shall have the meanings ascribed to such terms in the Merger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Pursuant to the Merger Agreement, upon the consummation of the transactions contemplated thereby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Parent will become the 100% stockholder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Holder is the record and/or beneficial owner of certain shares of Company Capital Stock, which will be exchanged for shares of Parent Common Stock pursuant to the Merger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As a condition of, and as a material inducement for the Parent to enter into and consummate the transactions contemplated by the Merger Agreement, the Holder has agreed to execute and deliver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 below, during the Lock-Up Period, the Holder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the Lock-Up Shares or otherwise, publicly disclose the intention to make any offer, sale, pledge or disposition, or to enter into any transaction, swap, hedge or other arrangement, or engage in any Short Sales (as defined below) with respect to the Lock-Up Shares (any of the foregoing, a “</w:t>
      </w:r>
      <w:r>
        <w:rPr>
          <w:rFonts w:ascii="Times New Roman" w:cs="Times New Roman" w:eastAsia="Times New Roman" w:hAnsi="Times New Roman"/>
          <w:sz w:val="18"/>
          <w:szCs w:val="18"/>
          <w:u w:val="single" w:color="auto"/>
          <w:color w:val="auto"/>
        </w:rPr>
        <w:t>Prohibited Transfer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during the Lock-Up Period, the Parent will (i) place a stop order on all the Lock-Up Shares, including those which may be covered by a registration statement, and (ii) notify the Parent’s transfer agent in writing of the stop order and the restrictions on the Lock-Up Shares under this Agreement and direct the Parent’s transfer agent not to process any attempts by the Holder to resell or transfer any Lock-Up Shares, except in compliance with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include all “short sales” as defined in Rule 200 promulgated under Regulation SHO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all types of direct and indirect stock pledges, forward sale contracts, options, puts, calls, swaps and similar arrangements (including on a total return basis), and sales and other transactions through non-US broker dealers or foreign regulated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both"/>
        <w:ind w:firstLine="1304"/>
        <w:spacing w:after="0" w:line="266" w:lineRule="auto"/>
        <w:tabs>
          <w:tab w:leader="none" w:pos="15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means the date from the Closing until the date that is twelve (12) months after the date of the Closing, or if sooner, the date after the Closing on which Parent consummates a liquidation, merger, share exchange or other similar transaction with an unaffiliated third party that results in all of Parent’s stockholders having the right to exchange their equity holdings in Parent for cash, securities or other property.</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The Holder hereby represents and warrants that as of the date of this Agreement it does not beneficially own, directly or through its nominees (as determined in accordance with Section 13(d) of the Exchange Act, and the rules and regulations promulgated thereunder), any shares of Parent Common Stock, or any economic interest in or derivative of such shares, other than those shares of Parent Common Stock issued pursuant to the Merger Agreement (“</w:t>
      </w:r>
      <w:r>
        <w:rPr>
          <w:rFonts w:ascii="Times New Roman" w:cs="Times New Roman" w:eastAsia="Times New Roman" w:hAnsi="Times New Roman"/>
          <w:sz w:val="18"/>
          <w:szCs w:val="18"/>
          <w:u w:val="single" w:color="auto"/>
          <w:color w:val="auto"/>
        </w:rPr>
        <w:t>Merger Shares</w:t>
      </w:r>
      <w:r>
        <w:rPr>
          <w:rFonts w:ascii="Times New Roman" w:cs="Times New Roman" w:eastAsia="Times New Roman" w:hAnsi="Times New Roman"/>
          <w:sz w:val="18"/>
          <w:szCs w:val="18"/>
          <w:color w:val="auto"/>
        </w:rPr>
        <w:t>”) or shares that it may acquire through the PIPE Financing. For purposes of this Agreement, the Merger Shares beneficially owned by the Holder, together with any securities paid as dividends or distributions with respect to such securities or into which such securities are exchanged or converted, are collectively referred to as the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(for the avoidance of doubt, Lock-Up Shares shall not include shares of Parent Common Stock acquired by such Holder in open market transactions or PIPE Shares).</w:t>
      </w:r>
    </w:p>
    <w:p>
      <w:pPr>
        <w:spacing w:after="0" w:line="188" w:lineRule="exact"/>
        <w:rPr>
          <w:rFonts w:ascii="Times New Roman" w:cs="Times New Roman" w:eastAsia="Times New Roman" w:hAnsi="Times New Roman"/>
          <w:sz w:val="18"/>
          <w:szCs w:val="18"/>
          <w:color w:val="auto"/>
        </w:rPr>
      </w:pPr>
    </w:p>
    <w:p>
      <w:pPr>
        <w:jc w:val="both"/>
        <w:ind w:firstLine="656"/>
        <w:spacing w:after="0" w:line="251" w:lineRule="auto"/>
        <w:tabs>
          <w:tab w:leader="none" w:pos="8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Notwithstanding the foregoing, and subject to the conditions below, a Prohibited Transfer will not include, and the undersigned may transfer Lock-Up Shares in connection with (a) transfers or distributions to the Holder’s direct or indirect affiliates (within the meaning of Rule 405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or to the estates of any of the foregoing; (b) transfers by bona fide gift to a member of the Holder’s immediate family (for purposes of this Agreement, “immediate family” shall mean with respect to any natural person, any of the following: such person’s spouse, the siblings of such person and his or her spouse, and the direct descendants and ascendants (including adopted and step children and parents) of such person and his or her spouses and siblings) or to a trust, the beneficiary of which is the Holder or a member of the Holder’s immediate family for estate planning purposes; (c) by virtue of the laws of descent and distribution upon death of the Holder; (d) pursuant to a qualified domestic relations order, (e) transfers to the Parent’s officers, directors or their affiliates, (f) transfers as a dividend or distribution to limited partners, shareholders, members of, or owners of similar equity interests in the Holder, (g) pledges of Lock-Up Shares as security or collateral in connection with a borrowing or the incurrence of any indebtedness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borrowing or incurrence of indebtedness is secured by either a portfolio of assets or equity interests issued by multiple issuers, (h) transfers pursuant to a bona fide third-party tender offer, merger, stock sale, recapitalization, consolidation or other transaction involving a change of control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such tender offer, merger, recapitalization, consolidation or other such transaction is not completed, the Lock-Up Shares subject to this Agreement shall remain subject to this Agreement, (i) the establishment of a trading plan pursuant to Rule 10b5-1 promulgated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plan does not provide for the transfer of Lock-Up Shares during the Lock-Up Period, (k) transfers to satisfy tax withholding obligations in connection with the exercise of options to purchase shares of Parent Common Stock or the vesting of stock-based awards; and (k) transfers in payment on a “net exercise” or “cashless” basis of the exercise or purchase price with respect to the exercise of options to purchase shares of Parent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any transfer pursuant to the foregoing (a) through (f) clauses, it shall be a condition to any such transfer that (i) the transferee/donee agrees to be bound by the terms of this Agreement (including the restrictions set forth in Section 1) to the same extent as if the transferee/donee were a party hereto; and (ii) each party (donor, donee, transferor or transferee) shall not be required by law (including the disclosure requirements of the Securities Act and the Exchange Act) to make, and shall agree to not voluntarily make, any filing or public announcement of the transfer or disposition prior to the expiration of the Lock-Up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56"/>
        <w:spacing w:after="0" w:line="255"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of the parties hereto, by their respective execution and delivery of this Agreement, hereby represents and warrants to the other that (a) such party has the full right, capacity and authority to enter into, deliver and perform its respective obligations under this Agreement, (b) this Agreement has been duly executed and delivered by such party and is a binding and enforceable obligation of such party and,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 The Holder has independently evaluated the merits of his/her/its decision to enter into and deliver this Agreement, and such Holder confirms that he/she/it has not relied on the advice of Company, Company’s legal counsel, or any other person.</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Fees/Payment.</w:t>
      </w:r>
      <w:r>
        <w:rPr>
          <w:rFonts w:ascii="Times New Roman" w:cs="Times New Roman" w:eastAsia="Times New Roman" w:hAnsi="Times New Roman"/>
          <w:sz w:val="18"/>
          <w:szCs w:val="18"/>
          <w:color w:val="auto"/>
        </w:rPr>
        <w:t xml:space="preserve"> Other than the consideration specifically referenced herein to be issued in connection with the Merger Agreement, the parties hereto agree that no fee, payment or additional consideration in any form has been or will be paid to the Holder in connection with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 after the Closing,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SoundHound,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Keyvan Mohajer, Chief Executive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keyvan@soundhound.com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Douglas S. Ellenoff, Esq.; Matthew A. Gray,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(212) 370-7889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ellenoff@egsllp.com; mgray@egsllp.com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if to Parent prior to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Claymont, DE 19703-2424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Long Long, Chief Financial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long@spacpartners.com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Mitchell S. Nussbaum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212.504.3013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mnussbaum@loeb.com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Holder, to the address set forth on the Holder’s signature page hereto.</w:t>
      </w:r>
    </w:p>
    <w:p>
      <w:pPr>
        <w:spacing w:after="0" w:line="225" w:lineRule="exact"/>
        <w:rPr>
          <w:sz w:val="20"/>
          <w:szCs w:val="20"/>
          <w:color w:val="auto"/>
        </w:rPr>
      </w:pPr>
    </w:p>
    <w:p>
      <w:pPr>
        <w:jc w:val="both"/>
        <w:ind w:firstLine="656"/>
        <w:spacing w:after="0" w:line="261" w:lineRule="auto"/>
        <w:tabs>
          <w:tab w:leader="none" w:pos="8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Merger Agreement</w:t>
      </w:r>
      <w:r>
        <w:rPr>
          <w:rFonts w:ascii="Times New Roman" w:cs="Times New Roman" w:eastAsia="Times New Roman" w:hAnsi="Times New Roman"/>
          <w:sz w:val="18"/>
          <w:szCs w:val="18"/>
          <w:color w:val="auto"/>
        </w:rPr>
        <w:t>. This Agreement shall be binding upon the Holder upon the Holder's execution and delivery of this Agreement, but this Agreement shall only become effective upon the Closing. Notwithstanding anything to the contrary contained herein, in the event that the Merger Agreement is terminated in accordance with its terms prior to the Closing, this Agreement and all rights and obligations of the parties hereunder shall automatically terminate and be of no further force or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8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Enumeration and Headings; Interpretation.</w:t>
      </w:r>
      <w:r>
        <w:rPr>
          <w:rFonts w:ascii="Times New Roman" w:cs="Times New Roman" w:eastAsia="Times New Roman" w:hAnsi="Times New Roman"/>
          <w:sz w:val="18"/>
          <w:szCs w:val="18"/>
          <w:color w:val="auto"/>
        </w:rPr>
        <w:t xml:space="preserve"> The enumeration and headings contained in this Agreement are for convenience of reference only and shall not control or affect the meaning or construction of any of the provisions of this Agreement. The titles and subtitles used in this Agreement are for convenience only and are not to be considered in construing or interpreting this Agreement. In this Agreement, unless the context otherwise requires: (i) any pronoun used in this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and (iii) the words “herein,” “hereto,” and “hereby” and other words of similar import shall be deemed in each case to refer to this Agreement as a whole and not to any particular section or other subdivision of this Agreement.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facsimile (including by email in pdf) and in any number of counterparts, each of which when so executed and delivered shall be deemed an original, but all of which shall together constitute one and the same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and the terms, covenants, provisions and conditions hereof shall be binding upon, and shall inure to the benefit of, the respective heirs, successors and assigns of the parties hereto. The Holder hereby acknowledges and agrees that this Agreement is entered into for the benefit of and is enforceable by Parent and its successors and assigns.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Parties</w:t>
      </w:r>
      <w:r>
        <w:rPr>
          <w:rFonts w:ascii="Times New Roman" w:cs="Times New Roman" w:eastAsia="Times New Roman" w:hAnsi="Times New Roman"/>
          <w:sz w:val="18"/>
          <w:szCs w:val="18"/>
          <w:color w:val="auto"/>
        </w:rPr>
        <w:t>. Nothing contained in this Agreement or in any instrument or document executed by any party in connection with the transactions contemplated hereby shall create any rights in, or be deemed to have been executed for the benefit of, any person or entity that is not a party hereto or thereto or a successor or permitted assign of such a party; provided, that the Company is an express third party beneficiary of this Agreement and shall have the rights to enforce this agreement against the parties hereto prior to the Closing.</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56"/>
        <w:spacing w:after="0" w:line="261" w:lineRule="auto"/>
        <w:tabs>
          <w:tab w:leader="none" w:pos="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Waivers.</w:t>
      </w:r>
      <w:r>
        <w:rPr>
          <w:rFonts w:ascii="Times New Roman" w:cs="Times New Roman" w:eastAsia="Times New Roman" w:hAnsi="Times New Roman"/>
          <w:sz w:val="18"/>
          <w:szCs w:val="18"/>
          <w:color w:val="auto"/>
        </w:rPr>
        <w:t xml:space="preserve"> This Agreement may be amended or modified, or any provision hereof waived, by written agreement executed by each of the parties hereto (including prior to the Closing, the Company). No failure or delay by a party in exercising any right hereunder shall operate as a waiver thereof. No waivers of or exceptions to any term, condition, or provision of this Agreement, in any one or more instances, shall be deemed to be or construed as a further or continuing waiver of any such term, condition, or provision.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xml:space="preserve"> 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Section 11.15, 11.16 and 11.17 of the Merger Agreement is incorporated by reference herein to apply with full force to any disputes arising under this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Section 11.7 of the Merger Agreement is incorporated by reference herein to apply with full force to any disputes arising under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Controlling Agreement</w:t>
      </w:r>
      <w:r>
        <w:rPr>
          <w:rFonts w:ascii="Times New Roman" w:cs="Times New Roman" w:eastAsia="Times New Roman" w:hAnsi="Times New Roman"/>
          <w:sz w:val="18"/>
          <w:szCs w:val="18"/>
          <w:color w:val="auto"/>
        </w:rPr>
        <w:t>. This Agreement constitutes the full and entire understanding and agreement among the parties with respect to the subject matter hereof, and any other written or oral agreement relating to the subject matter hereof existing between the parties is expressly canceled; provided, that, for the avoidance of doubt, the foregoing shall not affect the rights and obligations of the parties under the Merger Agreement or any Additional Agreement. To the extent the terms of this Agreement (as amended, supplemented, restated or otherwise modified from time to time) directly conflicts with a provisions in the Merger Agreement, the terms of this Agreement shall control.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Amended Lock-Up Agreement to be duly executed by their respective authorized signatories as of the date first indicated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Long Long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Amended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Amended Lock-Up Agreement to be duly executed by their respective authorized signatories as of the date first indicated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of Holder: Keyvan Mohajer</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Address for Notice: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Facsimile No.:</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Telephone No.:</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Email: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Amended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04"/>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lowerRoman"/>
      <w:start w:val="1"/>
    </w:lvl>
  </w:abstractNum>
  <w:abstractNum w:abstractNumId="7">
    <w:nsid w:val="721DA317"/>
    <w:multiLevelType w:val="hybridMultilevel"/>
    <w:lvl w:ilvl="0">
      <w:lvlJc w:val="left"/>
      <w:lvlText w:val="(%1)"/>
      <w:numFmt w:val="lowerRoman"/>
      <w:start w:val="2"/>
    </w:lvl>
  </w:abstractNum>
  <w:abstractNum w:abstractNumId="8">
    <w:nsid w:val="2443A858"/>
    <w:multiLevelType w:val="hybridMultilevel"/>
    <w:lvl w:ilvl="0">
      <w:lvlJc w:val="left"/>
      <w:lvlText w:val="(%1)"/>
      <w:numFmt w:val="lowerRoman"/>
      <w:start w:val="1"/>
    </w:lvl>
  </w:abstractNum>
  <w:abstractNum w:abstractNumId="9">
    <w:nsid w:val="2D1D5AE9"/>
    <w:multiLevelType w:val="hybridMultilevel"/>
    <w:lvl w:ilvl="0">
      <w:lvlJc w:val="left"/>
      <w:lvlText w:val="%1"/>
      <w:numFmt w:val="decimal"/>
      <w:start w:val="1"/>
    </w:lvl>
    <w:lvl w:ilvl="1">
      <w:lvlJc w:val="left"/>
      <w:lvlText w:val="(%2)"/>
      <w:numFmt w:val="lowerRoman"/>
      <w:start w:val="1"/>
    </w:lvl>
  </w:abstractNum>
  <w:abstractNum w:abstractNumId="10">
    <w:nsid w:val="6763845E"/>
    <w:multiLevelType w:val="hybridMultilevel"/>
    <w:lvl w:ilvl="0">
      <w:lvlJc w:val="left"/>
      <w:lvlText w:val="%1."/>
      <w:numFmt w:val="decimal"/>
      <w:start w:val="4"/>
    </w:lvl>
    <w:lvl w:ilvl="1">
      <w:lvlJc w:val="left"/>
      <w:lvlText w:val="%2"/>
      <w:numFmt w:val="lowerRoman"/>
      <w:start w:val="1"/>
    </w:lvl>
  </w:abstractNum>
  <w:abstractNum w:abstractNumId="11">
    <w:nsid w:val="75A2A8D4"/>
    <w:multiLevelType w:val="hybridMultilevel"/>
    <w:lvl w:ilvl="0">
      <w:lvlJc w:val="left"/>
      <w:lvlText w:val="%1"/>
      <w:numFmt w:val="lowerRoman"/>
      <w:start w:val="1"/>
    </w:lvl>
    <w:lvl w:ilvl="1">
      <w:lvlJc w:val="left"/>
      <w:lvlText w:val="%2."/>
      <w:numFmt w:val="decimal"/>
      <w:start w:val="5"/>
    </w:lvl>
  </w:abstractNum>
  <w:abstractNum w:abstractNumId="12">
    <w:nsid w:val="8EDBDAB"/>
    <w:multiLevelType w:val="hybridMultilevel"/>
    <w:lvl w:ilvl="0">
      <w:lvlJc w:val="left"/>
      <w:lvlText w:val="(%1)"/>
      <w:numFmt w:val="lowerRoman"/>
      <w:start w:val="5"/>
    </w:lvl>
    <w:lvl w:ilvl="1">
      <w:lvlJc w:val="left"/>
      <w:lvlText w:val="%2"/>
      <w:numFmt w:val="decimal"/>
      <w:start w:val="1"/>
    </w:lvl>
  </w:abstractNum>
  <w:abstractNum w:abstractNumId="13">
    <w:nsid w:val="79838CB2"/>
    <w:multiLevelType w:val="hybridMultilevel"/>
    <w:lvl w:ilvl="0">
      <w:lvlJc w:val="left"/>
      <w:lvlText w:val="%1."/>
      <w:numFmt w:val="decimal"/>
      <w:start w:val="6"/>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60"/>
    </w:lvl>
  </w:abstractNum>
  <w:abstractNum w:abstractNumId="16">
    <w:nsid w:val="189A769B"/>
    <w:multiLevelType w:val="hybridMultilevel"/>
    <w:lvl w:ilvl="0">
      <w:lvlJc w:val="left"/>
      <w:lvlText w:val="(%1)"/>
      <w:numFmt w:val="lowerRoman"/>
      <w:start w:val="1"/>
    </w:lvl>
  </w:abstractNum>
  <w:abstractNum w:abstractNumId="17">
    <w:nsid w:val="54E49EB4"/>
    <w:multiLevelType w:val="hybridMultilevel"/>
    <w:lvl w:ilvl="0">
      <w:lvlJc w:val="left"/>
      <w:lvlText w:val="%1."/>
      <w:numFmt w:val="decimal"/>
      <w:start w:val="7"/>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1)"/>
      <w:numFmt w:val="lowerRoman"/>
      <w:start w:val="2"/>
    </w:lvl>
  </w:abstractNum>
  <w:abstractNum w:abstractNumId="20">
    <w:nsid w:val="836C40E"/>
    <w:multiLevelType w:val="hybridMultilevel"/>
    <w:lvl w:ilvl="0">
      <w:lvlJc w:val="left"/>
      <w:lvlText w:val="(%1)"/>
      <w:numFmt w:val="lowerRoman"/>
      <w:start w:val="3"/>
    </w:lvl>
  </w:abstractNum>
  <w:abstractNum w:abstractNumId="21">
    <w:nsid w:val="2901D82"/>
    <w:multiLevelType w:val="hybridMultilevel"/>
    <w:lvl w:ilvl="0">
      <w:lvlJc w:val="left"/>
      <w:lvlText w:val="%1."/>
      <w:numFmt w:val="decimal"/>
      <w:start w:val="8"/>
    </w:lvl>
  </w:abstractNum>
  <w:abstractNum w:abstractNumId="22">
    <w:nsid w:val="3A95F874"/>
    <w:multiLevelType w:val="hybridMultilevel"/>
    <w:lvl w:ilvl="0">
      <w:lvlJc w:val="left"/>
      <w:lvlText w:val="%1."/>
      <w:numFmt w:val="decimal"/>
      <w:start w:val="9"/>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upperLetter"/>
      <w:start w:val="1"/>
    </w:lvl>
    <w:lvl w:ilvl="1">
      <w:lvlJc w:val="left"/>
      <w:lvlText w:val="%2."/>
      <w:numFmt w:val="decimal"/>
      <w:start w:val="1"/>
    </w:lvl>
  </w:abstractNum>
  <w:abstractNum w:abstractNumId="25">
    <w:nsid w:val="7C3DBD3D"/>
    <w:multiLevelType w:val="hybridMultilevel"/>
    <w:lvl w:ilvl="0">
      <w:lvlJc w:val="left"/>
      <w:lvlText w:val="%1."/>
      <w:numFmt w:val="upperLetter"/>
      <w:start w:val="2"/>
    </w:lvl>
    <w:lvl w:ilvl="1">
      <w:lvlJc w:val="left"/>
      <w:lvlText w:val="☐"/>
      <w:numFmt w:val="bullet"/>
      <w:start w:val="1"/>
    </w:lvl>
  </w:abstractNum>
  <w:abstractNum w:abstractNumId="26">
    <w:nsid w:val="737B8DDC"/>
    <w:multiLevelType w:val="hybridMultilevel"/>
    <w:lvl w:ilvl="0">
      <w:lvlJc w:val="left"/>
      <w:lvlText w:val="%1."/>
      <w:numFmt w:val="upperLetter"/>
      <w:start w:val="3"/>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lvl w:ilvl="1">
      <w:lvlJc w:val="left"/>
      <w:lvlText w:val="(%2)"/>
      <w:numFmt w:val="lowerLetter"/>
      <w:start w:val="1"/>
    </w:lvl>
  </w:abstractNum>
  <w:abstractNum w:abstractNumId="31">
    <w:nsid w:val="614FD4A1"/>
    <w:multiLevelType w:val="hybridMultilevel"/>
    <w:lvl w:ilvl="0">
      <w:lvlJc w:val="left"/>
      <w:lvlText w:val="%1"/>
      <w:numFmt w:val="decimal"/>
      <w:start w:val="1"/>
    </w:lvl>
    <w:lvl w:ilvl="1">
      <w:lvlJc w:val="left"/>
      <w:lvlText w:val="(%2)"/>
      <w:numFmt w:val="lowerLetter"/>
      <w:start w:val="4"/>
    </w:lvl>
  </w:abstractNum>
  <w:abstractNum w:abstractNumId="32">
    <w:nsid w:val="419AC241"/>
    <w:multiLevelType w:val="hybridMultilevel"/>
    <w:lvl w:ilvl="0">
      <w:lvlJc w:val="left"/>
      <w:lvlText w:val="%1."/>
      <w:numFmt w:val="decimal"/>
      <w:start w:val="2"/>
    </w:lvl>
    <w:lvl w:ilvl="1">
      <w:lvlJc w:val="left"/>
      <w:lvlText w:val="%2"/>
      <w:numFmt w:val="lowerLetter"/>
      <w:start w:val="1"/>
    </w:lvl>
  </w:abstractNum>
  <w:abstractNum w:abstractNumId="33">
    <w:nsid w:val="5577F8E1"/>
    <w:multiLevelType w:val="hybridMultilevel"/>
    <w:lvl w:ilvl="0">
      <w:lvlJc w:val="left"/>
      <w:lvlText w:val="%1."/>
      <w:numFmt w:val="decimal"/>
      <w:start w:val="4"/>
    </w:lvl>
  </w:abstractNum>
  <w:abstractNum w:abstractNumId="34">
    <w:nsid w:val="440BADFC"/>
    <w:multiLevelType w:val="hybridMultilevel"/>
    <w:lvl w:ilvl="0">
      <w:lvlJc w:val="left"/>
      <w:lvlText w:val="%1."/>
      <w:numFmt w:val="decimal"/>
      <w:start w:val="7"/>
    </w:lvl>
  </w:abstractNum>
  <w:abstractNum w:abstractNumId="35">
    <w:nsid w:val="507236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2022-04-14T15:33:47Z</dcterms:created>
  <dcterms:modified xsi:type="dcterms:W3CDTF">2022-04-14T15:33:47Z</dcterms:modified>
</cp:coreProperties>
</file>