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21,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Archimedes Tech SPAC Partners Co.</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44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001-40193</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86-1286799</w:t>
            </w:r>
          </w:p>
        </w:tc>
      </w:tr>
      <w:tr>
        <w:trPr>
          <w:trHeight w:val="215"/>
        </w:trPr>
        <w:tc>
          <w:tcPr>
            <w:tcW w:w="29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(I.R.S. Employer</w:t>
            </w:r>
          </w:p>
        </w:tc>
      </w:tr>
      <w:tr>
        <w:trPr>
          <w:trHeight w:val="230"/>
        </w:trPr>
        <w:tc>
          <w:tcPr>
            <w:tcW w:w="2940" w:type="dxa"/>
            <w:vAlign w:val="bottom"/>
          </w:tcPr>
          <w:p>
            <w:pPr>
              <w:jc w:val="center"/>
              <w:ind w:left="550"/>
              <w:spacing w:after="0"/>
              <w:rPr>
                <w:sz w:val="20"/>
                <w:szCs w:val="20"/>
                <w:color w:val="auto"/>
              </w:rPr>
            </w:pPr>
            <w:r>
              <w:rPr>
                <w:rFonts w:ascii="Arial" w:cs="Arial" w:eastAsia="Arial" w:hAnsi="Arial"/>
                <w:sz w:val="18"/>
                <w:szCs w:val="18"/>
                <w:color w:val="auto"/>
                <w:w w:val="96"/>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2093 Philadelphia Pike #1968</w:t>
            </w:r>
          </w:p>
        </w:tc>
        <w:tc>
          <w:tcPr>
            <w:tcW w:w="28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Claymont, DE 19703</w:t>
            </w:r>
          </w:p>
        </w:tc>
        <w:tc>
          <w:tcPr>
            <w:tcW w:w="28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gridSpan w:val="4"/>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560-4753</w:t>
            </w:r>
          </w:p>
        </w:tc>
        <w:tc>
          <w:tcPr>
            <w:tcW w:w="280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980" w:type="dxa"/>
            <w:vAlign w:val="bottom"/>
            <w:gridSpan w:val="2"/>
          </w:tcPr>
          <w:p>
            <w:pPr>
              <w:ind w:left="2260"/>
              <w:spacing w:after="0"/>
              <w:rPr>
                <w:sz w:val="20"/>
                <w:szCs w:val="20"/>
                <w:color w:val="auto"/>
              </w:rPr>
            </w:pPr>
            <w:r>
              <w:rPr>
                <w:rFonts w:ascii="Arial" w:cs="Arial" w:eastAsia="Arial" w:hAnsi="Arial"/>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16"/>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each consisting of one subunit and one-quarter of one warrant</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ATSPU</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5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Subunits included as part of the units, each consisting of one share of common</w:t>
            </w:r>
          </w:p>
        </w:tc>
        <w:tc>
          <w:tcPr>
            <w:tcW w:w="268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ATSPT</w:t>
            </w:r>
          </w:p>
        </w:tc>
        <w:tc>
          <w:tcPr>
            <w:tcW w:w="2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$0.0001 par value, and one-quarter of one warrant</w:t>
            </w: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$0.0001 per share</w:t>
            </w:r>
          </w:p>
        </w:tc>
        <w:tc>
          <w:tcPr>
            <w:tcW w:w="2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ATSP</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warrants</w:t>
            </w:r>
          </w:p>
        </w:tc>
        <w:tc>
          <w:tcPr>
            <w:tcW w:w="2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ATSPW</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Related Audit Report or Completed Interim Report.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management of Archimedes Tech SPAC Partners Co. (the “Company”) has re-evaluated the Company’s application of ASC 480-10-S99-3A to its accounting classification of the shares of common stock the Company issued as part of the units sold in the Company’s initial public offering (the “IPO”) on March 15, 2021 and the subsequent exercise of the underwriters’ over-allotment option on March 19, 2021 (the “Public Shares”). Historically, a portion of the Public Shares was classified as permanent equity to maintain shareholders’ equity greater than $5 million on the basis that the Company will not redeem its Public Shares in an amount that would cause its net tangible assets to be less than $5,000,001, as described in the Company’s amended and restated certificate of incorporation (the “Charter”). Pursuant to such re-evaluation, the Company’s management has determined that the Public Shares include certain provisions that require classification of all of the Public Shares as temporary equity regardless of the net tangible assets redemption limitation contained in the Charter.</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Therefore, on December 21, 2021, the Company’s management and the audit committee of the Company’s board of directors (the “Audit Committee”) concluded that the Company’s previously issued (i) audited balance sheet as of March 15, 2021 included in the Company’s Current Report on Form 8-K, filed with the Securities and Exchange Commission (the “SEC”) on March 19, 2021 and (ii) unaudited interim financial statements included in the Company’s Quarterly Report on Form 10-Q for the quarterly period ended March 31, 2021, filed with the SEC on July 27, 2021 (collectively, the “Affected Periods”), should be restated to report all Public Shares as temporary equity and should no longer be relied upon. As such, the Company intends to restate its financial statements for the Affected Periods in an amendment to the Company’s Quarterly Report on Form 10-Q for the quarterly period ended September 30, 2021 (“Q3 Form 10-Q/A”), to be filed with the SEC.</w:t>
      </w:r>
    </w:p>
    <w:p>
      <w:pPr>
        <w:spacing w:after="0" w:line="19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does not expect any of the above changes will have any impact on its cash position and cash held in the trust account established in connection with the IPO (the “Trust Account”).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has concluded that, in light of the classification error described above, a material weakness exists in the Company’s internal control over financial reporting and that the Company’s disclosure controls and procedures were not effective at the reasonable assurance level as of March 31, 2021; June 30, 2021 and September 30, 2021. The Company’s remediation plan with respect to such material weakness will be described in more detail in the Q3 Form 10-Q/A.</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UHY LLP, the Company’s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Current Report on Form 8-K includes “forward-looking statements” within the meaning of the federal securities laws. Certain of these forward-looking statements can be identified by the use of words such as “believes,” “expects,” “intends,” “plans,” “estimates,” “assumes,” “may,” “should,” “will,” “seeks,” or other similar expressions. Such statements may include, but are not limited to, statements regarding the impact of the Company’s restatement of certain historical financial statements, the Company’s cash position and cash held in the Trust Account and any proposed remediation measures with respect to identified material weaknesses. These statements are based on current expectations on the date of this Current Report on Form 8-K and involve a number of risks and uncertainties that may cause actual results to differ significantly. These risks and uncertainties include, but are not limited to, further changes in or developments regarding accounting treatment, among others. The Company does not assume any obligation to update or revise any such forward-looking statements, whether as the result of new developments or otherwise. Readers are cautioned not to put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28,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Long Long</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2021-12-28T15:07:12Z</dcterms:created>
  <dcterms:modified xsi:type="dcterms:W3CDTF">2021-12-28T15:07:12Z</dcterms:modified>
</cp:coreProperties>
</file>