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SROKA DIANA</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SOUNDHOUND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SOUN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SOUNDHOUND AI,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03/24/2025</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5400 BETSY ROSS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2"/>
              </w:rPr>
              <w:t>CA</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5"/>
                <w:szCs w:val="15"/>
                <w:color w:val="auto"/>
              </w:rPr>
            </w:pPr>
          </w:p>
        </w:tc>
        <w:tc>
          <w:tcPr>
            <w:tcW w:w="17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 w:type="dxa"/>
            <w:vAlign w:val="bottom"/>
          </w:tcPr>
          <w:p>
            <w:pPr>
              <w:spacing w:after="0"/>
              <w:rPr>
                <w:sz w:val="11"/>
                <w:szCs w:val="11"/>
                <w:color w:val="auto"/>
              </w:rPr>
            </w:pPr>
          </w:p>
        </w:tc>
        <w:tc>
          <w:tcPr>
            <w:tcW w:w="190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03/24/2025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0000FF"/>
              </w:rPr>
              <w:t>3,402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138,850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transaction was effected pursuant to a Rule 10b5-1 trading plan adopted by the reporting person in August 2024.</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03/24/2025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SROKA DIANA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SROKA DIANA - CIK # 0001920484</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4"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2025-03-24T17:44:49Z</dcterms:created>
  <dcterms:modified xsi:type="dcterms:W3CDTF">2025-03-24T17:44:49Z</dcterms:modified>
</cp:coreProperties>
</file>