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212529"/>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12529"/>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WASHINGTON, D.C. 20549</w:t>
      </w:r>
    </w:p>
    <w:p>
      <w:pPr>
        <w:spacing w:after="0" w:line="1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12529"/>
        </w:rPr>
        <w:t>FORM 8-K</w:t>
      </w:r>
    </w:p>
    <w:p>
      <w:pPr>
        <w:spacing w:after="0" w:line="2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2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212529"/>
        </w:rPr>
        <w:t>CURRENT REPORT</w:t>
      </w:r>
    </w:p>
    <w:p>
      <w:pPr>
        <w:spacing w:after="0" w:line="11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212529"/>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 xml:space="preserve">Date of Report (Date of earliest event reported): </w:t>
      </w:r>
      <w:r>
        <w:rPr>
          <w:rFonts w:ascii="Times New Roman" w:cs="Times New Roman" w:eastAsia="Times New Roman" w:hAnsi="Times New Roman"/>
          <w:sz w:val="18"/>
          <w:szCs w:val="18"/>
          <w:b w:val="1"/>
          <w:bCs w:val="1"/>
          <w:color w:val="212529"/>
        </w:rPr>
        <w:t>February 27, 2025</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12529"/>
        </w:rPr>
        <w:t>SOUNDHOUND AI,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(Exact name of registrant as specified in its charter)</w:t>
      </w:r>
    </w:p>
    <w:p>
      <w:pPr>
        <w:spacing w:after="0" w:line="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6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001-40193</w:t>
            </w:r>
          </w:p>
        </w:tc>
        <w:tc>
          <w:tcPr>
            <w:tcW w:w="10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85-1286799</w:t>
            </w:r>
          </w:p>
        </w:tc>
        <w:tc>
          <w:tcPr>
            <w:tcW w:w="0" w:type="dxa"/>
            <w:vAlign w:val="bottom"/>
          </w:tcPr>
          <w:p>
            <w:pPr>
              <w:spacing w:after="0"/>
              <w:rPr>
                <w:sz w:val="1"/>
                <w:szCs w:val="1"/>
                <w:color w:val="auto"/>
              </w:rPr>
            </w:pPr>
          </w:p>
        </w:tc>
      </w:tr>
      <w:tr>
        <w:trPr>
          <w:trHeight w:val="178"/>
        </w:trPr>
        <w:tc>
          <w:tcPr>
            <w:tcW w:w="370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(State or other jurisdiction</w:t>
            </w: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gridSpan w:val="3"/>
          </w:tcPr>
          <w:p>
            <w:pPr>
              <w:jc w:val="center"/>
              <w:ind w:right="800"/>
              <w:spacing w:after="0" w:line="177" w:lineRule="exact"/>
              <w:rPr>
                <w:sz w:val="20"/>
                <w:szCs w:val="20"/>
                <w:color w:val="auto"/>
              </w:rPr>
            </w:pPr>
            <w:r>
              <w:rPr>
                <w:rFonts w:ascii="Times New Roman" w:cs="Times New Roman" w:eastAsia="Times New Roman" w:hAnsi="Times New Roman"/>
                <w:sz w:val="18"/>
                <w:szCs w:val="18"/>
                <w:color w:val="auto"/>
              </w:rPr>
              <w:t>(Commission File</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46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6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8"/>
              </w:rPr>
              <w:t>Number)</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05"/>
        </w:trPr>
        <w:tc>
          <w:tcPr>
            <w:tcW w:w="46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95054</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Santa Clara, CA</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6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Registrant’s telephone number, including area code: (408) 441-3200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(Former name or former address, if changed since last report)</w:t>
      </w:r>
    </w:p>
    <w:p>
      <w:pPr>
        <w:spacing w:after="0" w:line="2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9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SOUN</w:t>
            </w:r>
          </w:p>
        </w:tc>
        <w:tc>
          <w:tcPr>
            <w:tcW w:w="100" w:type="dxa"/>
            <w:vAlign w:val="bottom"/>
            <w:tcBorders>
              <w:top w:val="single" w:sz="8" w:color="CCEEFF"/>
            </w:tcBorders>
            <w:shd w:val="clear" w:color="auto" w:fill="CCEEFF"/>
          </w:tcPr>
          <w:p>
            <w:pPr>
              <w:spacing w:after="0"/>
              <w:rPr>
                <w:sz w:val="19"/>
                <w:szCs w:val="19"/>
                <w:color w:val="auto"/>
              </w:rPr>
            </w:pPr>
          </w:p>
        </w:tc>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84"/>
        </w:trPr>
        <w:tc>
          <w:tcPr>
            <w:tcW w:w="46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 A Common</w:t>
            </w:r>
          </w:p>
        </w:tc>
        <w:tc>
          <w:tcPr>
            <w:tcW w:w="21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SOUNW</w:t>
            </w:r>
          </w:p>
        </w:tc>
        <w:tc>
          <w:tcPr>
            <w:tcW w:w="45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80"/>
        </w:trPr>
        <w:tc>
          <w:tcPr>
            <w:tcW w:w="46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Stock at an exercise price of $11.50 per share, subject to</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tcPr>
          <w:p>
            <w:pPr>
              <w:spacing w:after="0"/>
              <w:rPr>
                <w:sz w:val="15"/>
                <w:szCs w:val="15"/>
                <w:color w:val="auto"/>
              </w:rPr>
            </w:pPr>
          </w:p>
        </w:tc>
      </w:tr>
      <w:tr>
        <w:trPr>
          <w:trHeight w:val="234"/>
        </w:trPr>
        <w:tc>
          <w:tcPr>
            <w:tcW w:w="4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adjustment</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2529"/>
        </w:rPr>
        <w:t xml:space="preserve">Emerging growth company </w:t>
      </w:r>
      <w:r>
        <w:rPr>
          <w:rFonts w:ascii="MS PGothic" w:cs="MS PGothic" w:eastAsia="MS PGothic" w:hAnsi="MS PGothic"/>
          <w:sz w:val="18"/>
          <w:szCs w:val="18"/>
          <w:color w:val="212529"/>
        </w:rPr>
        <w:t>☐</w:t>
      </w:r>
    </w:p>
    <w:p>
      <w:pPr>
        <w:spacing w:after="0" w:line="15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212529"/>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12529"/>
        </w:rPr>
        <w:t xml:space="preserve">On </w:t>
      </w:r>
      <w:r>
        <w:rPr>
          <w:rFonts w:ascii="Times New Roman" w:cs="Times New Roman" w:eastAsia="Times New Roman" w:hAnsi="Times New Roman"/>
          <w:sz w:val="18"/>
          <w:szCs w:val="18"/>
          <w:color w:val="000000"/>
        </w:rPr>
        <w:t>February 27, 2025</w:t>
      </w:r>
      <w:r>
        <w:rPr>
          <w:rFonts w:ascii="Times New Roman" w:cs="Times New Roman" w:eastAsia="Times New Roman" w:hAnsi="Times New Roman"/>
          <w:sz w:val="18"/>
          <w:szCs w:val="18"/>
          <w:color w:val="212529"/>
        </w:rPr>
        <w:t xml:space="preserve">, SoundHound AI, Inc. (the “Company”) issued a press release announcing financial results and operational highlights for the fourth quarter and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12529"/>
        </w:rPr>
        <w:t xml:space="preserve">. A copy of the press release is furnished as Exhibit 99.1 to this current report on Form 8-K. The Company is also furnishing as Exhibit 99.2 to this current report on Form 8-K the consolidated balance sheets of the Company 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12529"/>
        </w:rPr>
        <w:t xml:space="preserve">, and the related consolidated statements of operations and comprehensive loss and consolidated statements of cash flows for the period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12529"/>
        </w:rPr>
        <w:t>.</w:t>
      </w:r>
    </w:p>
    <w:p>
      <w:pPr>
        <w:spacing w:after="0" w:line="13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0"/>
                <w:szCs w:val="20"/>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17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440" w:type="dxa"/>
            <w:vAlign w:val="bottom"/>
            <w:tcBorders>
              <w:top w:val="single" w:sz="8" w:color="auto"/>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Press Release, dated February 27, 2025</w:t>
            </w:r>
          </w:p>
        </w:tc>
      </w:tr>
      <w:tr>
        <w:trPr>
          <w:trHeight w:val="21"/>
        </w:trPr>
        <w:tc>
          <w:tcPr>
            <w:tcW w:w="1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for the period ended December 31, 2024</w:t>
            </w:r>
          </w:p>
        </w:tc>
      </w:tr>
      <w:tr>
        <w:trPr>
          <w:trHeight w:val="21"/>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22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905"/>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2</w:t>
            </w:r>
          </w:p>
        </w:tc>
        <w:tc>
          <w:tcPr>
            <w:tcW w:w="50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212529"/>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Current Report on Form 8-K to be signed on its behalf by the undersigned 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c>
          <w:tcPr>
            <w:tcW w:w="802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SoundHound AI, Inc.</w:t>
            </w:r>
          </w:p>
        </w:tc>
      </w:tr>
      <w:tr>
        <w:trPr>
          <w:trHeight w:val="446"/>
        </w:trPr>
        <w:tc>
          <w:tcPr>
            <w:tcW w:w="3200" w:type="dxa"/>
            <w:vAlign w:val="bottom"/>
          </w:tcPr>
          <w:p>
            <w:pPr>
              <w:spacing w:after="0"/>
              <w:rPr>
                <w:sz w:val="24"/>
                <w:szCs w:val="24"/>
                <w:color w:val="auto"/>
              </w:rPr>
            </w:pPr>
          </w:p>
        </w:tc>
        <w:tc>
          <w:tcPr>
            <w:tcW w:w="802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By:  /s/ Keyvan Mohajer</w:t>
            </w:r>
          </w:p>
        </w:tc>
      </w:tr>
      <w:tr>
        <w:trPr>
          <w:trHeight w:val="218"/>
        </w:trPr>
        <w:tc>
          <w:tcPr>
            <w:tcW w:w="3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Keyvan Mohajer</w:t>
            </w:r>
          </w:p>
        </w:tc>
      </w:tr>
      <w:tr>
        <w:trPr>
          <w:trHeight w:val="234"/>
        </w:trPr>
        <w:tc>
          <w:tcPr>
            <w:tcW w:w="32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04"/>
        </w:trPr>
        <w:tc>
          <w:tcPr>
            <w:tcW w:w="3200" w:type="dxa"/>
            <w:vAlign w:val="bottom"/>
          </w:tcPr>
          <w:p>
            <w:pPr>
              <w:spacing w:after="0"/>
              <w:rPr>
                <w:sz w:val="24"/>
                <w:szCs w:val="24"/>
                <w:color w:val="auto"/>
              </w:rPr>
            </w:pPr>
          </w:p>
        </w:tc>
        <w:tc>
          <w:tcPr>
            <w:tcW w:w="29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3</w:t>
            </w:r>
          </w:p>
        </w:tc>
        <w:tc>
          <w:tcPr>
            <w:tcW w:w="5080" w:type="dxa"/>
            <w:vAlign w:val="bottom"/>
          </w:tcPr>
          <w:p>
            <w:pPr>
              <w:spacing w:after="0"/>
              <w:rPr>
                <w:sz w:val="24"/>
                <w:szCs w:val="24"/>
                <w:color w:val="auto"/>
              </w:rPr>
            </w:pPr>
          </w:p>
        </w:tc>
      </w:tr>
    </w:tbl>
    <w:p>
      <w:pPr>
        <w:sectPr>
          <w:pgSz w:w="11900" w:h="16838" w:orient="portrait"/>
          <w:cols w:equalWidth="0" w:num="1">
            <w:col w:w="11240"/>
          </w:cols>
          <w:pgMar w:left="320" w:top="110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1"/>
          <w:szCs w:val="21"/>
          <w:b w:val="1"/>
          <w:bCs w:val="1"/>
          <w:color w:val="auto"/>
        </w:rPr>
        <w:t>SoundHound AI Reports Record Fourth Quarter Revenue, Up 101%, Exceeding $34.5 Million; Raises Full Year Outlook</w:t>
      </w:r>
    </w:p>
    <w:p>
      <w:pPr>
        <w:spacing w:after="0" w:line="43" w:lineRule="exact"/>
        <w:rPr>
          <w:sz w:val="20"/>
          <w:szCs w:val="20"/>
          <w:color w:val="auto"/>
        </w:rPr>
      </w:pPr>
    </w:p>
    <w:p>
      <w:pPr>
        <w:ind w:left="660" w:right="20" w:hanging="328"/>
        <w:spacing w:after="0" w:line="244" w:lineRule="auto"/>
        <w:tabs>
          <w:tab w:leader="none" w:pos="655" w:val="left"/>
        </w:tabs>
        <w:numPr>
          <w:ilvl w:val="0"/>
          <w:numId w:val="2"/>
        </w:numPr>
        <w:rPr>
          <w:rFonts w:ascii="Times New Roman" w:cs="Times New Roman" w:eastAsia="Times New Roman" w:hAnsi="Times New Roman"/>
          <w:sz w:val="22"/>
          <w:szCs w:val="22"/>
          <w:color w:val="1D2228"/>
        </w:rPr>
      </w:pPr>
      <w:r>
        <w:rPr>
          <w:rFonts w:ascii="Times New Roman" w:cs="Times New Roman" w:eastAsia="Times New Roman" w:hAnsi="Times New Roman"/>
          <w:sz w:val="22"/>
          <w:szCs w:val="22"/>
          <w:i w:val="1"/>
          <w:iCs w:val="1"/>
          <w:color w:val="1D2228"/>
        </w:rPr>
        <w:t>Strong year-end performance propels the company to the top end of revenue guidance range with strong momentum in voice-enabled Agentic AI</w:t>
      </w:r>
    </w:p>
    <w:p>
      <w:pPr>
        <w:ind w:left="660" w:hanging="328"/>
        <w:spacing w:after="0"/>
        <w:tabs>
          <w:tab w:leader="none" w:pos="660" w:val="left"/>
        </w:tabs>
        <w:numPr>
          <w:ilvl w:val="0"/>
          <w:numId w:val="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Company closes the year with nearly $200 million in cash and no debt</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highlight w:val="white"/>
        </w:rPr>
        <w:t>SANTA CLARA, Calif.--</w:t>
      </w:r>
      <w:r>
        <w:rPr>
          <w:rFonts w:ascii="Times New Roman" w:cs="Times New Roman" w:eastAsia="Times New Roman" w:hAnsi="Times New Roman"/>
          <w:sz w:val="22"/>
          <w:szCs w:val="22"/>
          <w:color w:val="444444"/>
          <w:highlight w:val="white"/>
        </w:rPr>
        <w:t>(</w:t>
      </w:r>
      <w:r>
        <w:rPr>
          <w:rFonts w:ascii="Times New Roman" w:cs="Times New Roman" w:eastAsia="Times New Roman" w:hAnsi="Times New Roman"/>
          <w:sz w:val="22"/>
          <w:szCs w:val="22"/>
          <w:u w:val="single" w:color="auto"/>
          <w:color w:val="auto"/>
        </w:rPr>
        <w:t>BUSINESS WIRE</w:t>
      </w:r>
      <w:r>
        <w:rPr>
          <w:rFonts w:ascii="Times New Roman" w:cs="Times New Roman" w:eastAsia="Times New Roman" w:hAnsi="Times New Roman"/>
          <w:sz w:val="22"/>
          <w:szCs w:val="22"/>
          <w:color w:val="444444"/>
          <w:highlight w:val="white"/>
        </w:rPr>
        <w:t>)</w:t>
      </w:r>
      <w:r>
        <w:rPr>
          <w:rFonts w:ascii="Times New Roman" w:cs="Times New Roman" w:eastAsia="Times New Roman" w:hAnsi="Times New Roman"/>
          <w:sz w:val="22"/>
          <w:szCs w:val="22"/>
          <w:color w:val="auto"/>
          <w:highlight w:val="white"/>
        </w:rPr>
        <w:t xml:space="preserve">--SoundHound AI, Inc. (Nasdaq: SOUN), a global leader in voice artificial intelligence, today reported its financial results for the </w:t>
      </w:r>
      <w:r>
        <w:rPr>
          <w:rFonts w:ascii="Times New Roman" w:cs="Times New Roman" w:eastAsia="Times New Roman" w:hAnsi="Times New Roman"/>
          <w:sz w:val="22"/>
          <w:szCs w:val="22"/>
          <w:color w:val="auto"/>
        </w:rPr>
        <w:t>fourth</w:t>
      </w:r>
      <w:r>
        <w:rPr>
          <w:rFonts w:ascii="Times New Roman" w:cs="Times New Roman" w:eastAsia="Times New Roman" w:hAnsi="Times New Roman"/>
          <w:sz w:val="22"/>
          <w:szCs w:val="22"/>
          <w:color w:val="auto"/>
          <w:highlight w:val="white"/>
        </w:rPr>
        <w:t xml:space="preserve"> quarter and full year 2024.</w:t>
      </w:r>
    </w:p>
    <w:p>
      <w:pPr>
        <w:spacing w:after="0" w:line="2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“We had a breakthrough year, expanding our leadership position in voice and conversational AI through major customer wins, expanded partnerships, groundbreaking generative AI innovation, and strategic acquisitions,” </w:t>
      </w:r>
      <w:r>
        <w:rPr>
          <w:rFonts w:ascii="Times New Roman" w:cs="Times New Roman" w:eastAsia="Times New Roman" w:hAnsi="Times New Roman"/>
          <w:sz w:val="22"/>
          <w:szCs w:val="22"/>
          <w:color w:val="auto"/>
        </w:rPr>
        <w:t>said Keyvan Mohajer, CEO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Co-Founder of SoundHound AI. “</w:t>
      </w:r>
      <w:r>
        <w:rPr>
          <w:rFonts w:ascii="Times New Roman" w:cs="Times New Roman" w:eastAsia="Times New Roman" w:hAnsi="Times New Roman"/>
          <w:sz w:val="22"/>
          <w:szCs w:val="22"/>
          <w:i w:val="1"/>
          <w:iCs w:val="1"/>
          <w:color w:val="auto"/>
        </w:rPr>
        <w:t>As we move into the era of Agentic AI, we are uniquely positioned to capitalize on this 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category. Together with our existing broad portfolio of voice-enabled AI solutions we can deliver even greater commercial impact.”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D2228"/>
          <w:highlight w:val="white"/>
        </w:rPr>
        <w:t>Fourth Quarter and Full Year Financial Highlights</w:t>
      </w:r>
    </w:p>
    <w:p>
      <w:pPr>
        <w:spacing w:after="0" w:line="15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D2228"/>
        </w:rPr>
        <w:t xml:space="preserve">Fourth quarter </w:t>
      </w:r>
      <w:r>
        <w:rPr>
          <w:rFonts w:ascii="Times New Roman" w:cs="Times New Roman" w:eastAsia="Times New Roman" w:hAnsi="Times New Roman"/>
          <w:sz w:val="22"/>
          <w:szCs w:val="22"/>
          <w:color w:val="000000"/>
        </w:rPr>
        <w:t>revenue was $34.5 million, an increase of 101% year-over-year</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quarter GAAP gross margin was 39.9%; non-GAAP gross margin was 52.1%</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quarter adjusted EBITDA was $(16.8) million</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year revenue was $84.7 million, an increase of 85% year-over-year</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year GAAP gross margin was 48.9%; non-GAAP gross margin was 58.5%</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year adjusted EBITDA was $(61.9) million</w:t>
      </w:r>
    </w:p>
    <w:p>
      <w:pPr>
        <w:spacing w:after="0" w:line="1" w:lineRule="exact"/>
        <w:rPr>
          <w:rFonts w:ascii="Times New Roman" w:cs="Times New Roman" w:eastAsia="Times New Roman" w:hAnsi="Times New Roman"/>
          <w:sz w:val="22"/>
          <w:szCs w:val="22"/>
          <w:color w:val="auto"/>
        </w:rPr>
      </w:pPr>
    </w:p>
    <w:p>
      <w:pPr>
        <w:jc w:val="both"/>
        <w:ind w:left="660" w:hanging="328"/>
        <w:spacing w:after="0" w:line="241" w:lineRule="auto"/>
        <w:tabs>
          <w:tab w:leader="none" w:pos="655" w:val="left"/>
        </w:tabs>
        <w:numPr>
          <w:ilvl w:val="0"/>
          <w:numId w:val="3"/>
        </w:numPr>
        <w:rPr>
          <w:rFonts w:ascii="Arial" w:cs="Arial" w:eastAsia="Arial" w:hAnsi="Arial"/>
          <w:sz w:val="21"/>
          <w:szCs w:val="21"/>
          <w:color w:val="auto"/>
        </w:rPr>
      </w:pPr>
      <w:r>
        <w:rPr>
          <w:rFonts w:ascii="Times New Roman" w:cs="Times New Roman" w:eastAsia="Times New Roman" w:hAnsi="Times New Roman"/>
          <w:sz w:val="21"/>
          <w:szCs w:val="21"/>
          <w:color w:val="1D2228"/>
        </w:rPr>
        <w:t xml:space="preserve">SoundHound’s year-end stock price increase resulted in an increase in its fair value of contingent liabilities, significantly impacting both fourth quarter and full year GAAP net loss and EPS. The fluctuation is non-operating and non-cash in nature and is calculated based on mark to market fair value accounting standards. The corresponding non-GAAP values are not impacted. Accordingly, fourth quarter GAAP EPS was </w:t>
      </w:r>
      <w:r>
        <w:rPr>
          <w:rFonts w:ascii="Times New Roman" w:cs="Times New Roman" w:eastAsia="Times New Roman" w:hAnsi="Times New Roman"/>
          <w:sz w:val="21"/>
          <w:szCs w:val="21"/>
          <w:color w:val="000000"/>
        </w:rPr>
        <w:t>$(0.69)</w:t>
      </w:r>
      <w:r>
        <w:rPr>
          <w:rFonts w:ascii="Times New Roman" w:cs="Times New Roman" w:eastAsia="Times New Roman" w:hAnsi="Times New Roman"/>
          <w:sz w:val="21"/>
          <w:szCs w:val="21"/>
          <w:color w:val="1D2228"/>
        </w:rPr>
        <w:t xml:space="preserve"> and fourth quarter non-GAAP EPS was </w:t>
      </w:r>
      <w:r>
        <w:rPr>
          <w:rFonts w:ascii="Times New Roman" w:cs="Times New Roman" w:eastAsia="Times New Roman" w:hAnsi="Times New Roman"/>
          <w:sz w:val="21"/>
          <w:szCs w:val="21"/>
          <w:color w:val="000000"/>
        </w:rPr>
        <w:t>$(0.05).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-1590675</wp:posOffset>
            </wp:positionV>
            <wp:extent cx="94297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2975" cy="145415"/>
                    </a:xfrm>
                    <a:prstGeom prst="rect">
                      <a:avLst/>
                    </a:prstGeom>
                    <a:noFill/>
                  </pic:spPr>
                </pic:pic>
              </a:graphicData>
            </a:graphic>
          </wp:anchor>
        </w:drawing>
      </w:r>
    </w:p>
    <w:p>
      <w:pPr>
        <w:jc w:val="both"/>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“We exited 2024 in a position of strength, and with accelerating momentum," </w:t>
      </w:r>
      <w:r>
        <w:rPr>
          <w:rFonts w:ascii="Times New Roman" w:cs="Times New Roman" w:eastAsia="Times New Roman" w:hAnsi="Times New Roman"/>
          <w:sz w:val="22"/>
          <w:szCs w:val="22"/>
          <w:color w:val="auto"/>
        </w:rPr>
        <w:t>said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Nitesh Sharan, CFO of SoundHound AI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"Our foundation runs deep, with a rapidly growing and diversified customer base and a highly capable team executing with tenacity to capture the tremendous opportunities in front of us.”</w:t>
      </w:r>
    </w:p>
    <w:p>
      <w:pPr>
        <w:sectPr>
          <w:pgSz w:w="11900" w:h="16838" w:orient="portrait"/>
          <w:cols w:equalWidth="0" w:num="1">
            <w:col w:w="11240"/>
          </w:cols>
          <w:pgMar w:left="320" w:top="10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Business Highlights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Customer Momentum</w:t>
      </w:r>
    </w:p>
    <w:p>
      <w:pPr>
        <w:spacing w:after="0" w:line="71" w:lineRule="exact"/>
        <w:rPr>
          <w:sz w:val="20"/>
          <w:szCs w:val="20"/>
          <w:color w:val="auto"/>
        </w:rPr>
      </w:pPr>
    </w:p>
    <w:p>
      <w:pPr>
        <w:jc w:val="both"/>
        <w:ind w:left="660" w:hanging="328"/>
        <w:spacing w:after="0" w:line="247" w:lineRule="auto"/>
        <w:tabs>
          <w:tab w:leader="none" w:pos="648" w:val="left"/>
        </w:tabs>
        <w:numPr>
          <w:ilvl w:val="0"/>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b w:val="1"/>
          <w:bCs w:val="1"/>
          <w:color w:val="auto"/>
        </w:rPr>
        <w:t>Restaurants</w:t>
      </w:r>
      <w:r>
        <w:rPr>
          <w:rFonts w:ascii="Times New Roman" w:cs="Times New Roman" w:eastAsia="Times New Roman" w:hAnsi="Times New Roman"/>
          <w:sz w:val="22"/>
          <w:szCs w:val="22"/>
          <w:color w:val="auto"/>
        </w:rPr>
        <w:t xml:space="preserve">: Working with over 30% of the top 20 quick-service restaurant (QSR) brands, and continuing to expand across </w:t>
      </w:r>
      <w:r>
        <w:rPr>
          <w:rFonts w:ascii="Times New Roman" w:cs="Times New Roman" w:eastAsia="Times New Roman" w:hAnsi="Times New Roman"/>
          <w:sz w:val="22"/>
          <w:szCs w:val="22"/>
          <w:color w:val="1D2228"/>
        </w:rPr>
        <w:t>renowned restaurant brands including Burger King UK,</w:t>
      </w:r>
      <w:r>
        <w:rPr>
          <w:rFonts w:ascii="Times New Roman" w:cs="Times New Roman" w:eastAsia="Times New Roman" w:hAnsi="Times New Roman"/>
          <w:sz w:val="22"/>
          <w:szCs w:val="22"/>
          <w:color w:val="auto"/>
        </w:rPr>
        <w:t xml:space="preserve"> Church’s Texas Chicken, Peet’s Co</w:t>
      </w:r>
      <w:r>
        <w:rPr>
          <w:rFonts w:ascii="Times New Roman" w:cs="Times New Roman" w:eastAsia="Times New Roman" w:hAnsi="Times New Roman"/>
          <w:sz w:val="22"/>
          <w:szCs w:val="22"/>
          <w:color w:val="1D2228"/>
        </w:rPr>
        <w:t>ffee,</w:t>
      </w:r>
      <w:r>
        <w:rPr>
          <w:rFonts w:ascii="Times New Roman" w:cs="Times New Roman" w:eastAsia="Times New Roman" w:hAnsi="Times New Roman"/>
          <w:sz w:val="22"/>
          <w:szCs w:val="22"/>
          <w:color w:val="auto"/>
        </w:rPr>
        <w:t xml:space="preserve"> Torchy’s Tacos</w:t>
      </w:r>
      <w:r>
        <w:rPr>
          <w:rFonts w:ascii="Times New Roman" w:cs="Times New Roman" w:eastAsia="Times New Roman" w:hAnsi="Times New Roman"/>
          <w:sz w:val="22"/>
          <w:szCs w:val="22"/>
          <w:color w:val="1D2228"/>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D2228"/>
        </w:rPr>
        <w:t xml:space="preserve">and Whataburger, among </w:t>
      </w:r>
      <w:r>
        <w:rPr>
          <w:rFonts w:ascii="Times New Roman" w:cs="Times New Roman" w:eastAsia="Times New Roman" w:hAnsi="Times New Roman"/>
          <w:sz w:val="22"/>
          <w:szCs w:val="22"/>
          <w:color w:val="000000"/>
        </w:rPr>
        <w:t>others.</w:t>
      </w:r>
    </w:p>
    <w:p>
      <w:pPr>
        <w:spacing w:after="0" w:line="2" w:lineRule="exact"/>
        <w:rPr>
          <w:rFonts w:ascii="Times New Roman" w:cs="Times New Roman" w:eastAsia="Times New Roman" w:hAnsi="Times New Roman"/>
          <w:sz w:val="20"/>
          <w:szCs w:val="20"/>
          <w:i w:val="1"/>
          <w:iCs w:val="1"/>
          <w:color w:val="auto"/>
        </w:rPr>
      </w:pPr>
    </w:p>
    <w:p>
      <w:pPr>
        <w:ind w:left="660" w:hanging="328"/>
        <w:spacing w:after="0" w:line="230"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b w:val="1"/>
          <w:bCs w:val="1"/>
          <w:color w:val="auto"/>
        </w:rPr>
        <w:t>Healthcare</w:t>
      </w:r>
      <w:r>
        <w:rPr>
          <w:rFonts w:ascii="Times New Roman" w:cs="Times New Roman" w:eastAsia="Times New Roman" w:hAnsi="Times New Roman"/>
          <w:sz w:val="22"/>
          <w:szCs w:val="22"/>
          <w:color w:val="auto"/>
        </w:rPr>
        <w:t>: New partners including Duke Health, Wellstar Health System, and Englewood Health. Customers include Allina Health, Aveanna Healthcare, and MUSC Health, among others.</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34"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1D2228"/>
        </w:rPr>
        <w:t xml:space="preserve">In </w:t>
      </w:r>
      <w:r>
        <w:rPr>
          <w:rFonts w:ascii="Times New Roman" w:cs="Times New Roman" w:eastAsia="Times New Roman" w:hAnsi="Times New Roman"/>
          <w:sz w:val="22"/>
          <w:szCs w:val="22"/>
          <w:b w:val="1"/>
          <w:bCs w:val="1"/>
          <w:color w:val="1D2228"/>
        </w:rPr>
        <w:t>Automotive</w:t>
      </w:r>
      <w:r>
        <w:rPr>
          <w:rFonts w:ascii="Times New Roman" w:cs="Times New Roman" w:eastAsia="Times New Roman" w:hAnsi="Times New Roman"/>
          <w:sz w:val="22"/>
          <w:szCs w:val="22"/>
          <w:color w:val="1D2228"/>
        </w:rPr>
        <w:t xml:space="preserve">: </w:t>
      </w:r>
      <w:r>
        <w:rPr>
          <w:rFonts w:ascii="Times New Roman" w:cs="Times New Roman" w:eastAsia="Times New Roman" w:hAnsi="Times New Roman"/>
          <w:sz w:val="22"/>
          <w:szCs w:val="22"/>
          <w:color w:val="000000"/>
        </w:rPr>
        <w:t>Expanding adoption across leading EV manufacturers, with customers including Lucid Motors, and</w:t>
      </w:r>
      <w:r>
        <w:rPr>
          <w:rFonts w:ascii="Times New Roman" w:cs="Times New Roman" w:eastAsia="Times New Roman" w:hAnsi="Times New Roman"/>
          <w:sz w:val="22"/>
          <w:szCs w:val="22"/>
          <w:color w:val="1D2228"/>
        </w:rPr>
        <w:t xml:space="preserve"> </w:t>
      </w:r>
      <w:r>
        <w:rPr>
          <w:rFonts w:ascii="Times New Roman" w:cs="Times New Roman" w:eastAsia="Times New Roman" w:hAnsi="Times New Roman"/>
          <w:sz w:val="22"/>
          <w:szCs w:val="22"/>
          <w:color w:val="000000"/>
        </w:rPr>
        <w:t>Togg; launched in Lancia vehicles in Europe, adding to six other live Stellantis brands with SoundHound Chat AI Automotive.</w:t>
      </w:r>
    </w:p>
    <w:p>
      <w:pPr>
        <w:spacing w:after="0" w:line="2" w:lineRule="exact"/>
        <w:rPr>
          <w:rFonts w:ascii="Times New Roman" w:cs="Times New Roman" w:eastAsia="Times New Roman" w:hAnsi="Times New Roman"/>
          <w:sz w:val="20"/>
          <w:szCs w:val="20"/>
          <w:color w:val="auto"/>
        </w:rPr>
      </w:pPr>
    </w:p>
    <w:p>
      <w:pPr>
        <w:jc w:val="both"/>
        <w:ind w:left="660" w:hanging="328"/>
        <w:spacing w:after="0" w:line="239"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1D2228"/>
        </w:rPr>
        <w:t xml:space="preserve">In Retail: </w:t>
      </w:r>
      <w:r>
        <w:rPr>
          <w:rFonts w:ascii="Times New Roman" w:cs="Times New Roman" w:eastAsia="Times New Roman" w:hAnsi="Times New Roman"/>
          <w:sz w:val="22"/>
          <w:szCs w:val="22"/>
          <w:color w:val="1D2228"/>
        </w:rPr>
        <w:t>Expanding AI solutions for multi-location retail brands in clothing, fitness, vehicle maintenance, home</w:t>
      </w:r>
      <w:r>
        <w:rPr>
          <w:rFonts w:ascii="Times New Roman" w:cs="Times New Roman" w:eastAsia="Times New Roman" w:hAnsi="Times New Roman"/>
          <w:sz w:val="22"/>
          <w:szCs w:val="22"/>
          <w:b w:val="1"/>
          <w:bCs w:val="1"/>
          <w:color w:val="1D2228"/>
        </w:rPr>
        <w:t xml:space="preserve"> </w:t>
      </w:r>
      <w:r>
        <w:rPr>
          <w:rFonts w:ascii="Times New Roman" w:cs="Times New Roman" w:eastAsia="Times New Roman" w:hAnsi="Times New Roman"/>
          <w:sz w:val="22"/>
          <w:szCs w:val="22"/>
          <w:color w:val="1D2228"/>
        </w:rPr>
        <w:t xml:space="preserve">services, waste management, and more. Customers include Torrid, multiple Planet Fitness franchise groups, and </w:t>
      </w:r>
      <w:r>
        <w:rPr>
          <w:rFonts w:ascii="Times New Roman" w:cs="Times New Roman" w:eastAsia="Times New Roman" w:hAnsi="Times New Roman"/>
          <w:sz w:val="22"/>
          <w:szCs w:val="22"/>
          <w:color w:val="000000"/>
        </w:rPr>
        <w:t>My Gym</w:t>
      </w:r>
      <w:r>
        <w:rPr>
          <w:rFonts w:ascii="Times New Roman" w:cs="Times New Roman" w:eastAsia="Times New Roman" w:hAnsi="Times New Roman"/>
          <w:sz w:val="22"/>
          <w:szCs w:val="22"/>
          <w:color w:val="1D2228"/>
        </w:rPr>
        <w:t>, among others.</w:t>
      </w:r>
    </w:p>
    <w:p>
      <w:pPr>
        <w:ind w:left="660" w:hanging="328"/>
        <w:spacing w:after="0" w:line="230"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b w:val="1"/>
          <w:bCs w:val="1"/>
          <w:color w:val="auto"/>
        </w:rPr>
        <w:t>Energy</w:t>
      </w:r>
      <w:r>
        <w:rPr>
          <w:rFonts w:ascii="Times New Roman" w:cs="Times New Roman" w:eastAsia="Times New Roman" w:hAnsi="Times New Roman"/>
          <w:sz w:val="22"/>
          <w:szCs w:val="22"/>
          <w:color w:val="auto"/>
        </w:rPr>
        <w:t>: SoundHound continues to expand into new industries, adding one of the largest electric utilities in the United States to our wide-ranging portfolio of customers.</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39"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b w:val="1"/>
          <w:bCs w:val="1"/>
          <w:color w:val="auto"/>
        </w:rPr>
        <w:t>Government</w:t>
      </w:r>
      <w:r>
        <w:rPr>
          <w:rFonts w:ascii="Times New Roman" w:cs="Times New Roman" w:eastAsia="Times New Roman" w:hAnsi="Times New Roman"/>
          <w:sz w:val="22"/>
          <w:szCs w:val="22"/>
          <w:color w:val="auto"/>
        </w:rPr>
        <w:t>: SoundHound signed a contract with the City of Coral Springs and continues to roll out our conversational AI capabilities with federal government agencies such as a branch of the United States military together with General Dynamics Information Technology.</w:t>
      </w:r>
    </w:p>
    <w:p>
      <w:pPr>
        <w:ind w:left="660" w:hanging="328"/>
        <w:spacing w:after="0" w:line="230"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b w:val="1"/>
          <w:bCs w:val="1"/>
          <w:color w:val="auto"/>
        </w:rPr>
        <w:t>Telecom</w:t>
      </w:r>
      <w:r>
        <w:rPr>
          <w:rFonts w:ascii="Times New Roman" w:cs="Times New Roman" w:eastAsia="Times New Roman" w:hAnsi="Times New Roman"/>
          <w:sz w:val="22"/>
          <w:szCs w:val="22"/>
          <w:color w:val="auto"/>
        </w:rPr>
        <w:t>: Expanding in South America with Telefónica following recent multi-year renewal, and scaling with a major European broadcaster and telecommunications provider in five countries.</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39"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b w:val="1"/>
          <w:bCs w:val="1"/>
          <w:color w:val="auto"/>
        </w:rPr>
        <w:t>Financial Services:</w:t>
      </w:r>
      <w:r>
        <w:rPr>
          <w:rFonts w:ascii="Times New Roman" w:cs="Times New Roman" w:eastAsia="Times New Roman" w:hAnsi="Times New Roman"/>
          <w:sz w:val="22"/>
          <w:szCs w:val="22"/>
          <w:color w:val="auto"/>
        </w:rPr>
        <w:t xml:space="preserve"> Customers including BNP Paribas as well regional banks and credit unions such as American Heritage Credit Union, Nordic Bank, Sterling Bank, Truly Credit Union. SoundHound also works with 70% of the top 10 global financial institutions.</w:t>
      </w:r>
    </w:p>
    <w:p>
      <w:pPr>
        <w:ind w:left="660" w:right="20" w:hanging="328"/>
        <w:spacing w:after="0" w:line="230"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b w:val="1"/>
          <w:bCs w:val="1"/>
          <w:color w:val="auto"/>
        </w:rPr>
        <w:t>Insurance:</w:t>
      </w:r>
      <w:r>
        <w:rPr>
          <w:rFonts w:ascii="Times New Roman" w:cs="Times New Roman" w:eastAsia="Times New Roman" w:hAnsi="Times New Roman"/>
          <w:sz w:val="22"/>
          <w:szCs w:val="22"/>
          <w:color w:val="auto"/>
        </w:rPr>
        <w:t xml:space="preserve"> In partnership with EXL expanding our industry presence with customers such as Transamerica, and scaling with companies like Apivia Courtage – surpassing 100 thousand calls automated in 2024.</w:t>
      </w:r>
    </w:p>
    <w:p>
      <w:pPr>
        <w:spacing w:after="0" w:line="1" w:lineRule="exact"/>
        <w:rPr>
          <w:rFonts w:ascii="Times New Roman" w:cs="Times New Roman" w:eastAsia="Times New Roman" w:hAnsi="Times New Roman"/>
          <w:sz w:val="20"/>
          <w:szCs w:val="20"/>
          <w:color w:val="auto"/>
        </w:rPr>
      </w:pPr>
    </w:p>
    <w:p>
      <w:pPr>
        <w:ind w:left="660" w:hanging="328"/>
        <w:spacing w:after="0" w:line="248"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b w:val="1"/>
          <w:bCs w:val="1"/>
          <w:color w:val="auto"/>
        </w:rPr>
        <w:t>Travel and Hospitality</w:t>
      </w:r>
      <w:r>
        <w:rPr>
          <w:rFonts w:ascii="Times New Roman" w:cs="Times New Roman" w:eastAsia="Times New Roman" w:hAnsi="Times New Roman"/>
          <w:sz w:val="22"/>
          <w:szCs w:val="22"/>
          <w:color w:val="auto"/>
        </w:rPr>
        <w:t>: Enhancing customer experiences for companies like AeroMexico and Resorts World Las Vegas, which recently highlighted our presence at CES 2025 on their digital display on The Strip.</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Other Notable Highlights</w:t>
      </w:r>
    </w:p>
    <w:p>
      <w:pPr>
        <w:spacing w:after="0" w:line="89" w:lineRule="exact"/>
        <w:rPr>
          <w:sz w:val="20"/>
          <w:szCs w:val="20"/>
          <w:color w:val="auto"/>
        </w:rPr>
      </w:pPr>
    </w:p>
    <w:p>
      <w:pPr>
        <w:ind w:left="660" w:right="20" w:hanging="328"/>
        <w:spacing w:after="0" w:line="241" w:lineRule="auto"/>
        <w:tabs>
          <w:tab w:leader="none" w:pos="648" w:val="left"/>
        </w:tabs>
        <w:numPr>
          <w:ilvl w:val="0"/>
          <w:numId w:val="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2"/>
          <w:szCs w:val="22"/>
          <w:color w:val="auto"/>
        </w:rPr>
        <w:t>SoundHound is at the forefront of the Agentic AI revolution, leveraging its proven platform and strong market position to deliver next-generation agentic capabilities – an inevitable evolution in AI functionality for its customers.</w:t>
      </w:r>
    </w:p>
    <w:p>
      <w:pPr>
        <w:spacing w:after="0" w:line="1" w:lineRule="exact"/>
        <w:rPr>
          <w:rFonts w:ascii="Times New Roman" w:cs="Times New Roman" w:eastAsia="Times New Roman" w:hAnsi="Times New Roman"/>
          <w:sz w:val="20"/>
          <w:szCs w:val="20"/>
          <w:i w:val="1"/>
          <w:iCs w:val="1"/>
          <w:color w:val="auto"/>
        </w:rPr>
      </w:pPr>
    </w:p>
    <w:p>
      <w:pPr>
        <w:ind w:left="660" w:hanging="328"/>
        <w:spacing w:after="0" w:line="236"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Unveiled the first ever in-vehicle voice commerce platform that enables seamless voice-controlled food ordering on the go at CES 2025.</w:t>
      </w:r>
    </w:p>
    <w:p>
      <w:pPr>
        <w:spacing w:after="0" w:line="1" w:lineRule="exact"/>
        <w:rPr>
          <w:rFonts w:ascii="Times New Roman" w:cs="Times New Roman" w:eastAsia="Times New Roman" w:hAnsi="Times New Roman"/>
          <w:sz w:val="20"/>
          <w:szCs w:val="20"/>
          <w:color w:val="auto"/>
        </w:rPr>
      </w:pPr>
    </w:p>
    <w:p>
      <w:pPr>
        <w:ind w:left="660" w:hanging="328"/>
        <w:spacing w:after="0" w:line="236"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Partnered with Rekor to develop first-of-its-kind audio-visual AI, bringing hands-free voice control to emergency vehicle technology.</w:t>
      </w:r>
    </w:p>
    <w:p>
      <w:pPr>
        <w:spacing w:after="0" w:line="1" w:lineRule="exact"/>
        <w:rPr>
          <w:rFonts w:ascii="Times New Roman" w:cs="Times New Roman" w:eastAsia="Times New Roman" w:hAnsi="Times New Roman"/>
          <w:sz w:val="20"/>
          <w:szCs w:val="20"/>
          <w:color w:val="auto"/>
        </w:rPr>
      </w:pPr>
    </w:p>
    <w:p>
      <w:pPr>
        <w:ind w:left="660" w:hanging="328"/>
        <w:spacing w:after="0" w:line="236"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Leading phone ordering technology surpassed 100 million customer interactions and processed hundreds of millions of dollars in restaurant orders.</w:t>
      </w:r>
    </w:p>
    <w:p>
      <w:pPr>
        <w:spacing w:after="0" w:line="1" w:lineRule="exact"/>
        <w:rPr>
          <w:rFonts w:ascii="Times New Roman" w:cs="Times New Roman" w:eastAsia="Times New Roman" w:hAnsi="Times New Roman"/>
          <w:sz w:val="20"/>
          <w:szCs w:val="20"/>
          <w:color w:val="auto"/>
        </w:rPr>
      </w:pPr>
    </w:p>
    <w:p>
      <w:pPr>
        <w:ind w:left="660" w:hanging="328"/>
        <w:spacing w:after="0" w:line="237"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Conducted a research study about voice generative AI in vehicles, which found that 77% of regular drivers are likely to use voice generative AI capabilities in their vehicle if available.</w:t>
      </w:r>
    </w:p>
    <w:p>
      <w:pPr>
        <w:sectPr>
          <w:pgSz w:w="11900" w:h="16838" w:orient="portrait"/>
          <w:cols w:equalWidth="0" w:num="1">
            <w:col w:w="11240"/>
          </w:cols>
          <w:pgMar w:left="320" w:top="8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i w:val="1"/>
          <w:iCs w:val="1"/>
          <w:color w:val="auto"/>
        </w:rPr>
        <w:t>Events and Awards</w:t>
      </w:r>
    </w:p>
    <w:p>
      <w:pPr>
        <w:spacing w:after="0" w:line="89" w:lineRule="exact"/>
        <w:rPr>
          <w:sz w:val="20"/>
          <w:szCs w:val="20"/>
          <w:color w:val="auto"/>
        </w:rPr>
      </w:pPr>
    </w:p>
    <w:p>
      <w:pPr>
        <w:ind w:left="660" w:right="20" w:hanging="328"/>
        <w:spacing w:after="0" w:line="241"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Successful showcase at CES 2025, featuring collaborations with NVIDIA, Perplexity, Lucid Motors, LG and a broad range of the company's restaurant partners.</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SoundHound’s best-in-class technology earned multiple awards:</w:t>
      </w:r>
    </w:p>
    <w:p>
      <w:pPr>
        <w:spacing w:after="0" w:line="3" w:lineRule="exact"/>
        <w:rPr>
          <w:rFonts w:ascii="Times New Roman" w:cs="Times New Roman" w:eastAsia="Times New Roman" w:hAnsi="Times New Roman"/>
          <w:sz w:val="22"/>
          <w:szCs w:val="22"/>
          <w:color w:val="auto"/>
        </w:rPr>
      </w:pPr>
    </w:p>
    <w:p>
      <w:pPr>
        <w:ind w:left="1300" w:right="20" w:hanging="320"/>
        <w:spacing w:after="0" w:line="230" w:lineRule="auto"/>
        <w:tabs>
          <w:tab w:leader="none" w:pos="130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Frost Radar™ Leader in Enterprise Conversational AI in Healthcare 2024, XCelent Advanced Technology 2024 Award,</w:t>
      </w:r>
    </w:p>
    <w:p>
      <w:pPr>
        <w:spacing w:after="0" w:line="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Best Use of AI in the Automation &amp; Self-Service Awards 2024,</w:t>
      </w:r>
    </w:p>
    <w:p>
      <w:pPr>
        <w:spacing w:after="0" w:line="3" w:lineRule="exact"/>
        <w:rPr>
          <w:rFonts w:ascii="Times New Roman" w:cs="Times New Roman" w:eastAsia="Times New Roman" w:hAnsi="Times New Roman"/>
          <w:sz w:val="22"/>
          <w:szCs w:val="22"/>
          <w:color w:val="auto"/>
        </w:rPr>
      </w:pPr>
    </w:p>
    <w:p>
      <w:pPr>
        <w:ind w:left="1300" w:hanging="320"/>
        <w:spacing w:after="0" w:line="230" w:lineRule="auto"/>
        <w:tabs>
          <w:tab w:leader="none" w:pos="130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“Overall Connected Solution of the Year” at the AutoTech Breakthrough Awards</w:t>
      </w:r>
    </w:p>
    <w:p>
      <w:pPr>
        <w:ind w:left="1300" w:hanging="320"/>
        <w:spacing w:after="0"/>
        <w:tabs>
          <w:tab w:leader="none" w:pos="130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Shortlisted for Reuters 2024 Automotive D.R.I.V.E Honours for Innovation,</w:t>
      </w:r>
    </w:p>
    <w:p>
      <w:pPr>
        <w:spacing w:after="0" w:line="3" w:lineRule="exact"/>
        <w:rPr>
          <w:rFonts w:ascii="Times New Roman" w:cs="Times New Roman" w:eastAsia="Times New Roman" w:hAnsi="Times New Roman"/>
          <w:sz w:val="22"/>
          <w:szCs w:val="22"/>
          <w:color w:val="auto"/>
        </w:rPr>
      </w:pPr>
    </w:p>
    <w:p>
      <w:pPr>
        <w:ind w:left="1300" w:hanging="320"/>
        <w:spacing w:after="0" w:line="230" w:lineRule="auto"/>
        <w:tabs>
          <w:tab w:leader="none" w:pos="130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Finalist for the 2025 Automotive News PACE Awards.</w:t>
      </w:r>
    </w:p>
    <w:p>
      <w:pPr>
        <w:ind w:left="660" w:right="20" w:hanging="328"/>
        <w:spacing w:after="0" w:line="237"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be participating in NVIDIA GTC 2025, featuring demos of its voice assistant leveraging generative AI on the edge with NVIDIA Drive AGX™, and its recently introduced voice commerce ecosystem.</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3800" w:type="dxa"/>
            <w:vAlign w:val="bottom"/>
          </w:tcPr>
          <w:p>
            <w:pPr>
              <w:spacing w:after="0"/>
              <w:rPr>
                <w:sz w:val="2"/>
                <w:szCs w:val="2"/>
                <w:color w:val="auto"/>
              </w:rPr>
            </w:pPr>
          </w:p>
        </w:tc>
        <w:tc>
          <w:tcPr>
            <w:tcW w:w="2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1</w:t>
            </w:r>
          </w:p>
        </w:tc>
        <w:tc>
          <w:tcPr>
            <w:tcW w:w="28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00" w:type="dxa"/>
            <w:vAlign w:val="bottom"/>
            <w:shd w:val="clear" w:color="auto" w:fill="FEFEFE"/>
          </w:tcPr>
          <w:p>
            <w:pPr>
              <w:spacing w:after="0" w:line="229" w:lineRule="exact"/>
              <w:rPr>
                <w:sz w:val="20"/>
                <w:szCs w:val="20"/>
                <w:color w:val="auto"/>
              </w:rPr>
            </w:pPr>
            <w:r>
              <w:rPr>
                <w:rFonts w:ascii="Times New Roman" w:cs="Times New Roman" w:eastAsia="Times New Roman" w:hAnsi="Times New Roman"/>
                <w:sz w:val="22"/>
                <w:szCs w:val="22"/>
                <w:b w:val="1"/>
                <w:bCs w:val="1"/>
                <w:color w:val="auto"/>
                <w:highlight w:val="white"/>
                <w:w w:val="97"/>
              </w:rPr>
              <w:t>Fourth Quarter 2024 Financial Measures</w:t>
            </w:r>
          </w:p>
        </w:tc>
        <w:tc>
          <w:tcPr>
            <w:tcW w:w="2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4320" w:type="dxa"/>
            <w:vAlign w:val="bottom"/>
            <w:gridSpan w:val="3"/>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December 31, 2024</w:t>
            </w:r>
          </w:p>
        </w:tc>
        <w:tc>
          <w:tcPr>
            <w:tcW w:w="234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December 31, 2023</w:t>
            </w:r>
          </w:p>
        </w:tc>
        <w:tc>
          <w:tcPr>
            <w:tcW w:w="460" w:type="dxa"/>
            <w:vAlign w:val="bottom"/>
          </w:tcPr>
          <w:p>
            <w:pPr>
              <w:spacing w:after="0"/>
              <w:rPr>
                <w:sz w:val="24"/>
                <w:szCs w:val="24"/>
                <w:color w:val="auto"/>
              </w:rPr>
            </w:pPr>
          </w:p>
        </w:tc>
        <w:tc>
          <w:tcPr>
            <w:tcW w:w="156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3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(thousands, unless otherwise noted)</w:t>
            </w:r>
          </w:p>
        </w:tc>
        <w:tc>
          <w:tcPr>
            <w:tcW w:w="2320" w:type="dxa"/>
            <w:vAlign w:val="bottom"/>
            <w:gridSpan w:val="3"/>
            <w:vMerge w:val="continue"/>
          </w:tcPr>
          <w:p>
            <w:pPr>
              <w:spacing w:after="0"/>
              <w:rPr>
                <w:sz w:val="24"/>
                <w:szCs w:val="24"/>
                <w:color w:val="auto"/>
              </w:rPr>
            </w:pPr>
          </w:p>
        </w:tc>
        <w:tc>
          <w:tcPr>
            <w:tcW w:w="234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Revenues</w:t>
            </w:r>
          </w:p>
        </w:tc>
        <w:tc>
          <w:tcPr>
            <w:tcW w:w="28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34,543</w:t>
            </w:r>
          </w:p>
        </w:tc>
        <w:tc>
          <w:tcPr>
            <w:tcW w:w="3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17,147</w:t>
            </w:r>
          </w:p>
        </w:tc>
        <w:tc>
          <w:tcPr>
            <w:tcW w:w="36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101</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GAAP gross profit</w:t>
            </w:r>
          </w:p>
        </w:tc>
        <w:tc>
          <w:tcPr>
            <w:tcW w:w="6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13,784</w:t>
            </w:r>
          </w:p>
        </w:tc>
        <w:tc>
          <w:tcPr>
            <w:tcW w:w="340" w:type="dxa"/>
            <w:vAlign w:val="bottom"/>
          </w:tcPr>
          <w:p>
            <w:pPr>
              <w:spacing w:after="0"/>
              <w:rPr>
                <w:sz w:val="23"/>
                <w:szCs w:val="23"/>
                <w:color w:val="auto"/>
              </w:rPr>
            </w:pPr>
          </w:p>
        </w:tc>
        <w:tc>
          <w:tcPr>
            <w:tcW w:w="6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13,236</w:t>
            </w: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GAAP gross margin</w:t>
            </w:r>
          </w:p>
        </w:tc>
        <w:tc>
          <w:tcPr>
            <w:tcW w:w="6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39.9%</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77.2%</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(37.3) pp</w:t>
            </w:r>
          </w:p>
        </w:tc>
        <w:tc>
          <w:tcPr>
            <w:tcW w:w="0" w:type="dxa"/>
            <w:vAlign w:val="bottom"/>
          </w:tcPr>
          <w:p>
            <w:pPr>
              <w:spacing w:after="0"/>
              <w:rPr>
                <w:sz w:val="1"/>
                <w:szCs w:val="1"/>
                <w:color w:val="auto"/>
              </w:rPr>
            </w:pPr>
          </w:p>
        </w:tc>
      </w:tr>
      <w:tr>
        <w:trPr>
          <w:trHeight w:val="27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Non-GAAP gross profit</w:t>
            </w:r>
          </w:p>
        </w:tc>
        <w:tc>
          <w:tcPr>
            <w:tcW w:w="6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18,007</w:t>
            </w:r>
          </w:p>
        </w:tc>
        <w:tc>
          <w:tcPr>
            <w:tcW w:w="340" w:type="dxa"/>
            <w:vAlign w:val="bottom"/>
          </w:tcPr>
          <w:p>
            <w:pPr>
              <w:spacing w:after="0"/>
              <w:rPr>
                <w:sz w:val="23"/>
                <w:szCs w:val="23"/>
                <w:color w:val="auto"/>
              </w:rPr>
            </w:pPr>
          </w:p>
        </w:tc>
        <w:tc>
          <w:tcPr>
            <w:tcW w:w="6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13,354</w:t>
            </w: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Non-GAAP gross margin</w:t>
            </w:r>
          </w:p>
        </w:tc>
        <w:tc>
          <w:tcPr>
            <w:tcW w:w="6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52.1%</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77.9%</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(25.8) pp</w:t>
            </w:r>
          </w:p>
        </w:tc>
        <w:tc>
          <w:tcPr>
            <w:tcW w:w="0" w:type="dxa"/>
            <w:vAlign w:val="bottom"/>
          </w:tcPr>
          <w:p>
            <w:pPr>
              <w:spacing w:after="0"/>
              <w:rPr>
                <w:sz w:val="1"/>
                <w:szCs w:val="1"/>
                <w:color w:val="auto"/>
              </w:rPr>
            </w:pPr>
          </w:p>
        </w:tc>
      </w:tr>
      <w:tr>
        <w:trPr>
          <w:trHeight w:val="270"/>
        </w:trPr>
        <w:tc>
          <w:tcPr>
            <w:tcW w:w="4320" w:type="dxa"/>
            <w:vAlign w:val="bottom"/>
            <w:gridSpan w:val="3"/>
          </w:tcPr>
          <w:p>
            <w:pPr>
              <w:ind w:left="20"/>
              <w:spacing w:after="0" w:line="270" w:lineRule="exact"/>
              <w:rPr>
                <w:sz w:val="20"/>
                <w:szCs w:val="20"/>
                <w:color w:val="auto"/>
              </w:rPr>
            </w:pPr>
            <w:r>
              <w:rPr>
                <w:rFonts w:ascii="Times New Roman" w:cs="Times New Roman" w:eastAsia="Times New Roman" w:hAnsi="Times New Roman"/>
                <w:sz w:val="22"/>
                <w:szCs w:val="22"/>
                <w:color w:val="auto"/>
              </w:rPr>
              <w:t>GAAP operating loss</w:t>
            </w:r>
            <w:r>
              <w:rPr>
                <w:rFonts w:ascii="Times New Roman" w:cs="Times New Roman" w:eastAsia="Times New Roman" w:hAnsi="Times New Roman"/>
                <w:sz w:val="28"/>
                <w:szCs w:val="28"/>
                <w:color w:val="auto"/>
                <w:vertAlign w:val="superscript"/>
              </w:rPr>
              <w:t>2</w:t>
            </w:r>
          </w:p>
        </w:tc>
        <w:tc>
          <w:tcPr>
            <w:tcW w:w="6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(257,072)</w:t>
            </w:r>
          </w:p>
        </w:tc>
        <w:tc>
          <w:tcPr>
            <w:tcW w:w="340" w:type="dxa"/>
            <w:vAlign w:val="bottom"/>
          </w:tcPr>
          <w:p>
            <w:pPr>
              <w:spacing w:after="0"/>
              <w:rPr>
                <w:sz w:val="23"/>
                <w:szCs w:val="23"/>
                <w:color w:val="auto"/>
              </w:rPr>
            </w:pPr>
          </w:p>
        </w:tc>
        <w:tc>
          <w:tcPr>
            <w:tcW w:w="6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(12,393)</w:t>
            </w: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1,974</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Non-GAAP adjusted EBITDA</w:t>
            </w:r>
          </w:p>
        </w:tc>
        <w:tc>
          <w:tcPr>
            <w:tcW w:w="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(16,793)</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(3,593)</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367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tcPr>
          <w:p>
            <w:pPr>
              <w:ind w:left="20"/>
              <w:spacing w:after="0" w:line="270" w:lineRule="exact"/>
              <w:rPr>
                <w:sz w:val="20"/>
                <w:szCs w:val="20"/>
                <w:color w:val="auto"/>
              </w:rPr>
            </w:pPr>
            <w:r>
              <w:rPr>
                <w:rFonts w:ascii="Times New Roman" w:cs="Times New Roman" w:eastAsia="Times New Roman" w:hAnsi="Times New Roman"/>
                <w:sz w:val="22"/>
                <w:szCs w:val="22"/>
                <w:color w:val="auto"/>
              </w:rPr>
              <w:t>GAAP net loss</w:t>
            </w:r>
            <w:r>
              <w:rPr>
                <w:rFonts w:ascii="Times New Roman" w:cs="Times New Roman" w:eastAsia="Times New Roman" w:hAnsi="Times New Roman"/>
                <w:sz w:val="28"/>
                <w:szCs w:val="28"/>
                <w:color w:val="auto"/>
                <w:vertAlign w:val="superscript"/>
              </w:rPr>
              <w:t>2</w:t>
            </w:r>
          </w:p>
        </w:tc>
        <w:tc>
          <w:tcPr>
            <w:tcW w:w="6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(258,599)</w:t>
            </w:r>
          </w:p>
        </w:tc>
        <w:tc>
          <w:tcPr>
            <w:tcW w:w="340" w:type="dxa"/>
            <w:vAlign w:val="bottom"/>
          </w:tcPr>
          <w:p>
            <w:pPr>
              <w:spacing w:after="0"/>
              <w:rPr>
                <w:sz w:val="23"/>
                <w:szCs w:val="23"/>
                <w:color w:val="auto"/>
              </w:rPr>
            </w:pPr>
          </w:p>
        </w:tc>
        <w:tc>
          <w:tcPr>
            <w:tcW w:w="6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(18,003)</w:t>
            </w: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1,336</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Non-GAAP net loss</w:t>
            </w:r>
          </w:p>
        </w:tc>
        <w:tc>
          <w:tcPr>
            <w:tcW w:w="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(18,993)</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(9,771)</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94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tcPr>
          <w:p>
            <w:pPr>
              <w:ind w:left="20"/>
              <w:spacing w:after="0" w:line="270" w:lineRule="exact"/>
              <w:rPr>
                <w:sz w:val="20"/>
                <w:szCs w:val="20"/>
                <w:color w:val="auto"/>
              </w:rPr>
            </w:pPr>
            <w:r>
              <w:rPr>
                <w:rFonts w:ascii="Times New Roman" w:cs="Times New Roman" w:eastAsia="Times New Roman" w:hAnsi="Times New Roman"/>
                <w:sz w:val="22"/>
                <w:szCs w:val="22"/>
                <w:color w:val="auto"/>
              </w:rPr>
              <w:t>GAAP net loss per share</w:t>
            </w:r>
            <w:r>
              <w:rPr>
                <w:rFonts w:ascii="Times New Roman" w:cs="Times New Roman" w:eastAsia="Times New Roman" w:hAnsi="Times New Roman"/>
                <w:sz w:val="28"/>
                <w:szCs w:val="28"/>
                <w:color w:val="auto"/>
                <w:vertAlign w:val="superscript"/>
              </w:rPr>
              <w:t>2</w:t>
            </w:r>
          </w:p>
        </w:tc>
        <w:tc>
          <w:tcPr>
            <w:tcW w:w="6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(0.69)</w:t>
            </w:r>
          </w:p>
        </w:tc>
        <w:tc>
          <w:tcPr>
            <w:tcW w:w="340" w:type="dxa"/>
            <w:vAlign w:val="bottom"/>
          </w:tcPr>
          <w:p>
            <w:pPr>
              <w:spacing w:after="0"/>
              <w:rPr>
                <w:sz w:val="23"/>
                <w:szCs w:val="23"/>
                <w:color w:val="auto"/>
              </w:rPr>
            </w:pPr>
          </w:p>
        </w:tc>
        <w:tc>
          <w:tcPr>
            <w:tcW w:w="6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(0.07)</w:t>
            </w:r>
          </w:p>
        </w:tc>
        <w:tc>
          <w:tcPr>
            <w:tcW w:w="360" w:type="dxa"/>
            <w:vAlign w:val="bottom"/>
          </w:tcPr>
          <w:p>
            <w:pPr>
              <w:spacing w:after="0"/>
              <w:rPr>
                <w:sz w:val="23"/>
                <w:szCs w:val="23"/>
                <w:color w:val="auto"/>
              </w:rPr>
            </w:pPr>
          </w:p>
        </w:tc>
        <w:tc>
          <w:tcPr>
            <w:tcW w:w="4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Non-GAAP net loss per share</w:t>
            </w:r>
          </w:p>
        </w:tc>
        <w:tc>
          <w:tcPr>
            <w:tcW w:w="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(0.05)</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(0.04)</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(0.01)</w:t>
            </w: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3200" w:type="dxa"/>
            <w:vAlign w:val="bottom"/>
          </w:tcPr>
          <w:p>
            <w:pPr>
              <w:spacing w:after="0"/>
              <w:rPr>
                <w:sz w:val="2"/>
                <w:szCs w:val="2"/>
                <w:color w:val="auto"/>
              </w:rPr>
            </w:pPr>
          </w:p>
        </w:tc>
        <w:tc>
          <w:tcPr>
            <w:tcW w:w="840" w:type="dxa"/>
            <w:vAlign w:val="bottom"/>
            <w:vMerge w:val="restart"/>
          </w:tcPr>
          <w:p>
            <w:pPr>
              <w:jc w:val="right"/>
              <w:ind w:right="690"/>
              <w:spacing w:after="0"/>
              <w:rPr>
                <w:sz w:val="20"/>
                <w:szCs w:val="20"/>
                <w:color w:val="auto"/>
              </w:rPr>
            </w:pPr>
            <w:r>
              <w:rPr>
                <w:rFonts w:ascii="Times New Roman" w:cs="Times New Roman" w:eastAsia="Times New Roman" w:hAnsi="Times New Roman"/>
                <w:sz w:val="14"/>
                <w:szCs w:val="14"/>
                <w:color w:val="auto"/>
                <w:w w:val="85"/>
              </w:rPr>
              <w:t>1</w:t>
            </w:r>
          </w:p>
        </w:tc>
        <w:tc>
          <w:tcPr>
            <w:tcW w:w="28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FEFEFE"/>
          </w:tcPr>
          <w:p>
            <w:pPr>
              <w:spacing w:after="0" w:line="229" w:lineRule="exact"/>
              <w:rPr>
                <w:sz w:val="20"/>
                <w:szCs w:val="20"/>
                <w:color w:val="auto"/>
              </w:rPr>
            </w:pPr>
            <w:r>
              <w:rPr>
                <w:rFonts w:ascii="Times New Roman" w:cs="Times New Roman" w:eastAsia="Times New Roman" w:hAnsi="Times New Roman"/>
                <w:sz w:val="22"/>
                <w:szCs w:val="22"/>
                <w:b w:val="1"/>
                <w:bCs w:val="1"/>
                <w:color w:val="auto"/>
                <w:highlight w:val="white"/>
                <w:w w:val="96"/>
              </w:rPr>
              <w:t>Full Year 2024 Financial Measures</w:t>
            </w:r>
          </w:p>
        </w:tc>
        <w:tc>
          <w:tcPr>
            <w:tcW w:w="8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4320" w:type="dxa"/>
            <w:vAlign w:val="bottom"/>
            <w:gridSpan w:val="3"/>
          </w:tcPr>
          <w:p>
            <w:pPr>
              <w:ind w:left="80"/>
              <w:spacing w:after="0"/>
              <w:rPr>
                <w:sz w:val="20"/>
                <w:szCs w:val="20"/>
                <w:color w:val="auto"/>
              </w:rPr>
            </w:pPr>
            <w:r>
              <w:rPr>
                <w:rFonts w:ascii="Times New Roman" w:cs="Times New Roman" w:eastAsia="Times New Roman" w:hAnsi="Times New Roman"/>
                <w:sz w:val="22"/>
                <w:szCs w:val="22"/>
                <w:b w:val="1"/>
                <w:bCs w:val="1"/>
                <w:color w:val="auto"/>
              </w:rPr>
              <w:t>Twelve Months Ended</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(thousands, unless otherwise noted)</w:t>
            </w:r>
          </w:p>
        </w:tc>
        <w:tc>
          <w:tcPr>
            <w:tcW w:w="2320" w:type="dxa"/>
            <w:vAlign w:val="bottom"/>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rPr>
              <w:t>December 31, 2024</w:t>
            </w:r>
          </w:p>
        </w:tc>
        <w:tc>
          <w:tcPr>
            <w:tcW w:w="2340" w:type="dxa"/>
            <w:vAlign w:val="bottom"/>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rPr>
              <w:t>December 31, 2023</w:t>
            </w:r>
          </w:p>
        </w:tc>
        <w:tc>
          <w:tcPr>
            <w:tcW w:w="4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Revenues</w:t>
            </w:r>
          </w:p>
        </w:tc>
        <w:tc>
          <w:tcPr>
            <w:tcW w:w="28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84,693</w:t>
            </w:r>
          </w:p>
        </w:tc>
        <w:tc>
          <w:tcPr>
            <w:tcW w:w="3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45,873</w:t>
            </w:r>
          </w:p>
        </w:tc>
        <w:tc>
          <w:tcPr>
            <w:tcW w:w="36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85</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GAAP gross profit</w:t>
            </w:r>
          </w:p>
        </w:tc>
        <w:tc>
          <w:tcPr>
            <w:tcW w:w="6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41,384</w:t>
            </w:r>
          </w:p>
        </w:tc>
        <w:tc>
          <w:tcPr>
            <w:tcW w:w="340" w:type="dxa"/>
            <w:vAlign w:val="bottom"/>
          </w:tcPr>
          <w:p>
            <w:pPr>
              <w:spacing w:after="0"/>
              <w:rPr>
                <w:sz w:val="23"/>
                <w:szCs w:val="23"/>
                <w:color w:val="auto"/>
              </w:rPr>
            </w:pPr>
          </w:p>
        </w:tc>
        <w:tc>
          <w:tcPr>
            <w:tcW w:w="6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34,566</w:t>
            </w: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GAAP gross margin</w:t>
            </w:r>
          </w:p>
        </w:tc>
        <w:tc>
          <w:tcPr>
            <w:tcW w:w="6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48.9%</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75.4%</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(26.5) pp</w:t>
            </w:r>
          </w:p>
        </w:tc>
        <w:tc>
          <w:tcPr>
            <w:tcW w:w="0" w:type="dxa"/>
            <w:vAlign w:val="bottom"/>
          </w:tcPr>
          <w:p>
            <w:pPr>
              <w:spacing w:after="0"/>
              <w:rPr>
                <w:sz w:val="1"/>
                <w:szCs w:val="1"/>
                <w:color w:val="auto"/>
              </w:rPr>
            </w:pPr>
          </w:p>
        </w:tc>
      </w:tr>
      <w:tr>
        <w:trPr>
          <w:trHeight w:val="27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Non-GAAP gross profit</w:t>
            </w:r>
          </w:p>
        </w:tc>
        <w:tc>
          <w:tcPr>
            <w:tcW w:w="6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49,538</w:t>
            </w:r>
          </w:p>
        </w:tc>
        <w:tc>
          <w:tcPr>
            <w:tcW w:w="340" w:type="dxa"/>
            <w:vAlign w:val="bottom"/>
          </w:tcPr>
          <w:p>
            <w:pPr>
              <w:spacing w:after="0"/>
              <w:rPr>
                <w:sz w:val="23"/>
                <w:szCs w:val="23"/>
                <w:color w:val="auto"/>
              </w:rPr>
            </w:pPr>
          </w:p>
        </w:tc>
        <w:tc>
          <w:tcPr>
            <w:tcW w:w="6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34,978</w:t>
            </w: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Non-GAAP gross margin</w:t>
            </w:r>
          </w:p>
        </w:tc>
        <w:tc>
          <w:tcPr>
            <w:tcW w:w="6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58.5%</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76.2%</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(17.8) pp</w:t>
            </w:r>
          </w:p>
        </w:tc>
        <w:tc>
          <w:tcPr>
            <w:tcW w:w="0" w:type="dxa"/>
            <w:vAlign w:val="bottom"/>
          </w:tcPr>
          <w:p>
            <w:pPr>
              <w:spacing w:after="0"/>
              <w:rPr>
                <w:sz w:val="1"/>
                <w:szCs w:val="1"/>
                <w:color w:val="auto"/>
              </w:rPr>
            </w:pPr>
          </w:p>
        </w:tc>
      </w:tr>
      <w:tr>
        <w:trPr>
          <w:trHeight w:val="270"/>
        </w:trPr>
        <w:tc>
          <w:tcPr>
            <w:tcW w:w="4320" w:type="dxa"/>
            <w:vAlign w:val="bottom"/>
            <w:gridSpan w:val="3"/>
          </w:tcPr>
          <w:p>
            <w:pPr>
              <w:ind w:left="20"/>
              <w:spacing w:after="0" w:line="270" w:lineRule="exact"/>
              <w:rPr>
                <w:sz w:val="20"/>
                <w:szCs w:val="20"/>
                <w:color w:val="auto"/>
              </w:rPr>
            </w:pPr>
            <w:r>
              <w:rPr>
                <w:rFonts w:ascii="Times New Roman" w:cs="Times New Roman" w:eastAsia="Times New Roman" w:hAnsi="Times New Roman"/>
                <w:sz w:val="22"/>
                <w:szCs w:val="22"/>
                <w:color w:val="auto"/>
              </w:rPr>
              <w:t>GAAP operating loss</w:t>
            </w:r>
            <w:r>
              <w:rPr>
                <w:rFonts w:ascii="Times New Roman" w:cs="Times New Roman" w:eastAsia="Times New Roman" w:hAnsi="Times New Roman"/>
                <w:sz w:val="28"/>
                <w:szCs w:val="28"/>
                <w:color w:val="auto"/>
                <w:vertAlign w:val="superscript"/>
              </w:rPr>
              <w:t>2</w:t>
            </w:r>
          </w:p>
        </w:tc>
        <w:tc>
          <w:tcPr>
            <w:tcW w:w="6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(341,353)</w:t>
            </w:r>
          </w:p>
        </w:tc>
        <w:tc>
          <w:tcPr>
            <w:tcW w:w="340" w:type="dxa"/>
            <w:vAlign w:val="bottom"/>
          </w:tcPr>
          <w:p>
            <w:pPr>
              <w:spacing w:after="0"/>
              <w:rPr>
                <w:sz w:val="23"/>
                <w:szCs w:val="23"/>
                <w:color w:val="auto"/>
              </w:rPr>
            </w:pPr>
          </w:p>
        </w:tc>
        <w:tc>
          <w:tcPr>
            <w:tcW w:w="6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(68,608)</w:t>
            </w: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398</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Non-GAAP adjusted EBITDA</w:t>
            </w:r>
          </w:p>
        </w:tc>
        <w:tc>
          <w:tcPr>
            <w:tcW w:w="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(61,915)</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(35,896)</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72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tcPr>
          <w:p>
            <w:pPr>
              <w:ind w:left="20"/>
              <w:spacing w:after="0" w:line="270" w:lineRule="exact"/>
              <w:rPr>
                <w:sz w:val="20"/>
                <w:szCs w:val="20"/>
                <w:color w:val="auto"/>
              </w:rPr>
            </w:pPr>
            <w:r>
              <w:rPr>
                <w:rFonts w:ascii="Times New Roman" w:cs="Times New Roman" w:eastAsia="Times New Roman" w:hAnsi="Times New Roman"/>
                <w:sz w:val="22"/>
                <w:szCs w:val="22"/>
                <w:color w:val="auto"/>
              </w:rPr>
              <w:t>GAAP net loss</w:t>
            </w:r>
            <w:r>
              <w:rPr>
                <w:rFonts w:ascii="Times New Roman" w:cs="Times New Roman" w:eastAsia="Times New Roman" w:hAnsi="Times New Roman"/>
                <w:sz w:val="28"/>
                <w:szCs w:val="28"/>
                <w:color w:val="auto"/>
                <w:vertAlign w:val="superscript"/>
              </w:rPr>
              <w:t>2</w:t>
            </w:r>
          </w:p>
        </w:tc>
        <w:tc>
          <w:tcPr>
            <w:tcW w:w="6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(350,681)</w:t>
            </w:r>
          </w:p>
        </w:tc>
        <w:tc>
          <w:tcPr>
            <w:tcW w:w="340" w:type="dxa"/>
            <w:vAlign w:val="bottom"/>
          </w:tcPr>
          <w:p>
            <w:pPr>
              <w:spacing w:after="0"/>
              <w:rPr>
                <w:sz w:val="23"/>
                <w:szCs w:val="23"/>
                <w:color w:val="auto"/>
              </w:rPr>
            </w:pPr>
          </w:p>
        </w:tc>
        <w:tc>
          <w:tcPr>
            <w:tcW w:w="6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(88,937)</w:t>
            </w: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294</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Non-GAAP net loss</w:t>
            </w:r>
          </w:p>
        </w:tc>
        <w:tc>
          <w:tcPr>
            <w:tcW w:w="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(69,073)</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(58,162)</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19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320" w:type="dxa"/>
            <w:vAlign w:val="bottom"/>
            <w:gridSpan w:val="3"/>
          </w:tcPr>
          <w:p>
            <w:pPr>
              <w:ind w:left="20"/>
              <w:spacing w:after="0" w:line="270" w:lineRule="exact"/>
              <w:rPr>
                <w:sz w:val="20"/>
                <w:szCs w:val="20"/>
                <w:color w:val="auto"/>
              </w:rPr>
            </w:pPr>
            <w:r>
              <w:rPr>
                <w:rFonts w:ascii="Times New Roman" w:cs="Times New Roman" w:eastAsia="Times New Roman" w:hAnsi="Times New Roman"/>
                <w:sz w:val="22"/>
                <w:szCs w:val="22"/>
                <w:color w:val="auto"/>
              </w:rPr>
              <w:t>GAAP net loss per share</w:t>
            </w:r>
            <w:r>
              <w:rPr>
                <w:rFonts w:ascii="Times New Roman" w:cs="Times New Roman" w:eastAsia="Times New Roman" w:hAnsi="Times New Roman"/>
                <w:sz w:val="28"/>
                <w:szCs w:val="28"/>
                <w:color w:val="auto"/>
                <w:vertAlign w:val="superscript"/>
              </w:rPr>
              <w:t>2</w:t>
            </w:r>
          </w:p>
        </w:tc>
        <w:tc>
          <w:tcPr>
            <w:tcW w:w="6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c>
          <w:tcPr>
            <w:tcW w:w="340" w:type="dxa"/>
            <w:vAlign w:val="bottom"/>
          </w:tcPr>
          <w:p>
            <w:pPr>
              <w:spacing w:after="0"/>
              <w:rPr>
                <w:sz w:val="23"/>
                <w:szCs w:val="23"/>
                <w:color w:val="auto"/>
              </w:rPr>
            </w:pPr>
          </w:p>
        </w:tc>
        <w:tc>
          <w:tcPr>
            <w:tcW w:w="6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w:t>
            </w:r>
          </w:p>
        </w:tc>
        <w:tc>
          <w:tcPr>
            <w:tcW w:w="360" w:type="dxa"/>
            <w:vAlign w:val="bottom"/>
          </w:tcPr>
          <w:p>
            <w:pPr>
              <w:spacing w:after="0"/>
              <w:rPr>
                <w:sz w:val="23"/>
                <w:szCs w:val="23"/>
                <w:color w:val="auto"/>
              </w:rPr>
            </w:pPr>
          </w:p>
        </w:tc>
        <w:tc>
          <w:tcPr>
            <w:tcW w:w="4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(0.64)</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Non-GAAP net loss per share</w:t>
            </w:r>
          </w:p>
        </w:tc>
        <w:tc>
          <w:tcPr>
            <w:tcW w:w="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(0.20)</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(0.25)</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0.05</w:t>
            </w: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Please see tables below for a reconciliation from GAAP to non-GAAP.</w:t>
      </w:r>
    </w:p>
    <w:p>
      <w:pPr>
        <w:spacing w:after="0" w:line="13" w:lineRule="exact"/>
        <w:rPr>
          <w:rFonts w:ascii="Times New Roman" w:cs="Times New Roman" w:eastAsia="Times New Roman" w:hAnsi="Times New Roman"/>
          <w:sz w:val="13"/>
          <w:szCs w:val="13"/>
          <w:color w:val="auto"/>
        </w:rPr>
      </w:pPr>
    </w:p>
    <w:p>
      <w:pPr>
        <w:jc w:val="both"/>
        <w:ind w:left="660" w:hanging="328"/>
        <w:spacing w:after="0" w:line="239" w:lineRule="auto"/>
        <w:tabs>
          <w:tab w:leader="none" w:pos="657"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GAAP-only operating loss includes a significant impact from the calculated fair value of contingent acquisition liabilities where future earn-out shares are marked-to-market on a quarterly basis, and with the increase in stock price at year-end the loss associated with this item was $221 million in the fourth quarter 2024 and $223 million in full year 2024, respectively. Non-GAAP measures exclude this non-cash impact.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Liquidity and Cash Flows</w:t>
      </w:r>
    </w:p>
    <w:p>
      <w:pPr>
        <w:spacing w:after="0" w:line="10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highlight w:val="white"/>
        </w:rPr>
        <w:t xml:space="preserve">The company’s total cash and cash equivalents was </w:t>
      </w:r>
      <w:r>
        <w:rPr>
          <w:rFonts w:ascii="Times New Roman" w:cs="Times New Roman" w:eastAsia="Times New Roman" w:hAnsi="Times New Roman"/>
          <w:sz w:val="22"/>
          <w:szCs w:val="22"/>
          <w:color w:val="auto"/>
        </w:rPr>
        <w:t>$198 million at December 31, 2024.</w:t>
      </w:r>
      <w:r>
        <w:rPr>
          <w:rFonts w:ascii="Times New Roman" w:cs="Times New Roman" w:eastAsia="Times New Roman" w:hAnsi="Times New Roman"/>
          <w:sz w:val="22"/>
          <w:szCs w:val="22"/>
          <w:color w:val="auto"/>
          <w:highlight w:val="white"/>
        </w:rPr>
        <w:t xml:space="preserve"> The company had no outstanding debt at </w:t>
      </w:r>
      <w:r>
        <w:rPr>
          <w:rFonts w:ascii="Times New Roman" w:cs="Times New Roman" w:eastAsia="Times New Roman" w:hAnsi="Times New Roman"/>
          <w:sz w:val="22"/>
          <w:szCs w:val="22"/>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-344805</wp:posOffset>
            </wp:positionV>
            <wp:extent cx="16256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560" cy="14541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40" w:type="dxa"/>
            <w:vAlign w:val="bottom"/>
            <w:shd w:val="clear" w:color="auto" w:fill="FEFEFE"/>
          </w:tcPr>
          <w:p>
            <w:pPr>
              <w:spacing w:after="0"/>
              <w:rPr>
                <w:sz w:val="20"/>
                <w:szCs w:val="20"/>
                <w:color w:val="auto"/>
              </w:rPr>
            </w:pPr>
            <w:r>
              <w:rPr>
                <w:rFonts w:ascii="Times New Roman" w:cs="Times New Roman" w:eastAsia="Times New Roman" w:hAnsi="Times New Roman"/>
                <w:sz w:val="22"/>
                <w:szCs w:val="22"/>
                <w:b w:val="1"/>
                <w:bCs w:val="1"/>
                <w:color w:val="1D2228"/>
                <w:highlight w:val="white"/>
                <w:w w:val="97"/>
              </w:rPr>
              <w:t>Condensed Cash Flow Statement</w:t>
            </w:r>
          </w:p>
        </w:tc>
        <w:tc>
          <w:tcPr>
            <w:tcW w:w="2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Year Ended</w:t>
            </w:r>
          </w:p>
        </w:tc>
        <w:tc>
          <w:tcPr>
            <w:tcW w:w="220" w:type="dxa"/>
            <w:vAlign w:val="bottom"/>
          </w:tcPr>
          <w:p>
            <w:pPr>
              <w:spacing w:after="0"/>
              <w:rPr>
                <w:sz w:val="24"/>
                <w:szCs w:val="24"/>
                <w:color w:val="auto"/>
              </w:rPr>
            </w:pPr>
          </w:p>
        </w:tc>
        <w:tc>
          <w:tcPr>
            <w:tcW w:w="2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December 31, 2024</w:t>
            </w:r>
          </w:p>
        </w:tc>
        <w:tc>
          <w:tcPr>
            <w:tcW w:w="200" w:type="dxa"/>
            <w:vAlign w:val="bottom"/>
          </w:tcPr>
          <w:p>
            <w:pPr>
              <w:spacing w:after="0"/>
              <w:rPr>
                <w:sz w:val="24"/>
                <w:szCs w:val="24"/>
                <w:color w:val="auto"/>
              </w:rPr>
            </w:pPr>
          </w:p>
        </w:tc>
        <w:tc>
          <w:tcPr>
            <w:tcW w:w="212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December 31, 2023</w:t>
            </w:r>
          </w:p>
        </w:tc>
        <w:tc>
          <w:tcPr>
            <w:tcW w:w="0" w:type="dxa"/>
            <w:vAlign w:val="bottom"/>
          </w:tcPr>
          <w:p>
            <w:pPr>
              <w:spacing w:after="0"/>
              <w:rPr>
                <w:sz w:val="1"/>
                <w:szCs w:val="1"/>
                <w:color w:val="auto"/>
              </w:rPr>
            </w:pPr>
          </w:p>
        </w:tc>
      </w:tr>
      <w:tr>
        <w:trPr>
          <w:trHeight w:val="283"/>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(thousands)</w:t>
            </w:r>
          </w:p>
        </w:tc>
        <w:tc>
          <w:tcPr>
            <w:tcW w:w="220" w:type="dxa"/>
            <w:vAlign w:val="bottom"/>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Cash flows:</w:t>
            </w:r>
          </w:p>
        </w:tc>
        <w:tc>
          <w:tcPr>
            <w:tcW w:w="3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210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21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0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Net cash used in operating activities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(108,878)</w:t>
            </w:r>
          </w:p>
        </w:tc>
        <w:tc>
          <w:tcPr>
            <w:tcW w:w="3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(68,265)</w:t>
            </w:r>
          </w:p>
        </w:tc>
        <w:tc>
          <w:tcPr>
            <w:tcW w:w="0" w:type="dxa"/>
            <w:vAlign w:val="bottom"/>
          </w:tcPr>
          <w:p>
            <w:pPr>
              <w:spacing w:after="0"/>
              <w:rPr>
                <w:sz w:val="1"/>
                <w:szCs w:val="1"/>
                <w:color w:val="auto"/>
              </w:rPr>
            </w:pPr>
          </w:p>
        </w:tc>
      </w:tr>
      <w:tr>
        <w:trPr>
          <w:trHeight w:val="270"/>
        </w:trPr>
        <w:tc>
          <w:tcPr>
            <w:tcW w:w="62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Net cash used in investing activities</w:t>
            </w:r>
          </w:p>
        </w:tc>
        <w:tc>
          <w:tcPr>
            <w:tcW w:w="220" w:type="dxa"/>
            <w:vAlign w:val="bottom"/>
            <w:shd w:val="clear" w:color="auto" w:fill="CCEEFF"/>
          </w:tcPr>
          <w:p>
            <w:pPr>
              <w:spacing w:after="0"/>
              <w:rPr>
                <w:sz w:val="23"/>
                <w:szCs w:val="23"/>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(12,372)</w:t>
            </w:r>
          </w:p>
        </w:tc>
        <w:tc>
          <w:tcPr>
            <w:tcW w:w="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(392)</w:t>
            </w:r>
          </w:p>
        </w:tc>
        <w:tc>
          <w:tcPr>
            <w:tcW w:w="0" w:type="dxa"/>
            <w:vAlign w:val="bottom"/>
          </w:tcPr>
          <w:p>
            <w:pPr>
              <w:spacing w:after="0"/>
              <w:rPr>
                <w:sz w:val="1"/>
                <w:szCs w:val="1"/>
                <w:color w:val="auto"/>
              </w:rPr>
            </w:pPr>
          </w:p>
        </w:tc>
      </w:tr>
      <w:tr>
        <w:trPr>
          <w:trHeight w:val="270"/>
        </w:trPr>
        <w:tc>
          <w:tcPr>
            <w:tcW w:w="620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Net cash provided by financing activities</w:t>
            </w:r>
          </w:p>
        </w:tc>
        <w:tc>
          <w:tcPr>
            <w:tcW w:w="22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210,906</w:t>
            </w: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168,237</w:t>
            </w:r>
          </w:p>
        </w:tc>
        <w:tc>
          <w:tcPr>
            <w:tcW w:w="0" w:type="dxa"/>
            <w:vAlign w:val="bottom"/>
          </w:tcPr>
          <w:p>
            <w:pPr>
              <w:spacing w:after="0"/>
              <w:rPr>
                <w:sz w:val="1"/>
                <w:szCs w:val="1"/>
                <w:color w:val="auto"/>
              </w:rPr>
            </w:pPr>
          </w:p>
        </w:tc>
      </w:tr>
      <w:tr>
        <w:trPr>
          <w:trHeight w:val="270"/>
        </w:trPr>
        <w:tc>
          <w:tcPr>
            <w:tcW w:w="62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Effects of exchange rate changes on cash</w:t>
            </w:r>
          </w:p>
        </w:tc>
        <w:tc>
          <w:tcPr>
            <w:tcW w:w="22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225</w:t>
            </w:r>
          </w:p>
        </w:tc>
        <w:tc>
          <w:tcPr>
            <w:tcW w:w="3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63"/>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Net change in cash and cash equivalents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89,881</w:t>
            </w:r>
          </w:p>
        </w:tc>
        <w:tc>
          <w:tcPr>
            <w:tcW w:w="3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99,560</w:t>
            </w: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Business Outlook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SoundHound raises its full year 2025 revenue outlook to be in a range of $157 to $177 million.</w:t>
      </w:r>
    </w:p>
    <w:p>
      <w:pPr>
        <w:sectPr>
          <w:pgSz w:w="11900" w:h="16838" w:orient="portrait"/>
          <w:cols w:equalWidth="0" w:num="1">
            <w:col w:w="11240"/>
          </w:cols>
          <w:pgMar w:left="320" w:top="86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highlight w:val="white"/>
        </w:rPr>
        <w:t>Additional Information</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highlight w:val="white"/>
        </w:rPr>
        <w:t xml:space="preserve">For more information please see the company’s SEC filings which can be obtained on the company’s website at </w:t>
      </w:r>
      <w:r>
        <w:rPr>
          <w:rFonts w:ascii="Times New Roman" w:cs="Times New Roman" w:eastAsia="Times New Roman" w:hAnsi="Times New Roman"/>
          <w:sz w:val="22"/>
          <w:szCs w:val="22"/>
          <w:u w:val="single" w:color="auto"/>
          <w:color w:val="auto"/>
        </w:rPr>
        <w:t>investors.soundhound.com</w:t>
      </w:r>
      <w:r>
        <w:rPr>
          <w:rFonts w:ascii="Times New Roman" w:cs="Times New Roman" w:eastAsia="Times New Roman" w:hAnsi="Times New Roman"/>
          <w:sz w:val="22"/>
          <w:szCs w:val="22"/>
          <w:color w:val="auto"/>
          <w:highlight w:val="white"/>
        </w:rPr>
        <w:t>. The financial statements for the company’s fiscal year ended December 31, 2024 will be posted 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the website, and will be included as an attachment to the company’s current report on Form 8-K filed concurrently with the dissemination of this press release. The financial data presented in this press release should be considered preliminary and unaudited until the company files its Annual Report on Form 10-K.</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Conference Call and Webcast</w:t>
      </w:r>
    </w:p>
    <w:p>
      <w:pPr>
        <w:spacing w:after="0" w:line="1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Keyvan Mohajer, Co-Founder and CEO, and Nitesh Sharan, CFO will host a live audio conference call and webcast today at 2:00 p.m. Pacific Time/5:00 p.m. Eastern Time. A live webcast and replay will be accessible at </w:t>
      </w:r>
      <w:r>
        <w:rPr>
          <w:rFonts w:ascii="Times New Roman" w:cs="Times New Roman" w:eastAsia="Times New Roman" w:hAnsi="Times New Roman"/>
          <w:sz w:val="22"/>
          <w:szCs w:val="22"/>
          <w:u w:val="single" w:color="auto"/>
          <w:color w:val="auto"/>
        </w:rPr>
        <w:t>investors.soundhound.com</w:t>
      </w:r>
      <w:r>
        <w:rPr>
          <w:rFonts w:ascii="Times New Roman" w:cs="Times New Roman" w:eastAsia="Times New Roman" w:hAnsi="Times New Roman"/>
          <w:sz w:val="22"/>
          <w:szCs w:val="22"/>
          <w:color w:val="auto"/>
        </w:rPr>
        <w: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SoundHound AI</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SoundHound (Nasdaq: SOUN), a global leader in conversational intelligence, offers voice and conversational AI solutions that let businesses offer incredible experiences to their customers. Built on proprietary technology, SoundHound’s voice AI delivers best-in-class speed and accuracy in numerous languages to product creators and service providers across retail, financial services, healthcare, automotive, smart devices, and restaurants via groundbreaking AI-driven products like Smart Answering, Smart Ordering, Dynamic Drive Thru, and Amelia AI Agents. Along with SoundHound Chat AI, a powerful voice assistant with integrated Generative AI, SoundHound powers millions of products and services, and processes billions of interactions each year for world class businesses. </w:t>
      </w:r>
      <w:r>
        <w:rPr>
          <w:rFonts w:ascii="Times New Roman" w:cs="Times New Roman" w:eastAsia="Times New Roman" w:hAnsi="Times New Roman"/>
          <w:sz w:val="22"/>
          <w:szCs w:val="22"/>
          <w:u w:val="single" w:color="auto"/>
          <w:color w:val="auto"/>
        </w:rPr>
        <w:t>www.soundhound.com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This press release contains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our expected financial performance, our ability to implement our business strategy and anticipated business and operations, and guidance for financial results for 2025. Such forward-looking statements are necessarily based upon estimates and assumptions that, while considered reasonable by us and our management, are inherently uncertain. As a result, readers are cautioned not to place undue reliance on these forward-looking statements. Our actual results may differ materially from those expressed or implied by these forward-looking statements as a result of risks and uncertainties impacting SoundHound’s business including, our ability to successfully launch and commercialize new products and services and derive significant revenue, our market opportunity and our ability to acquire new customers and retain existing customers, unexpected costs, charges or expenses resulting from our 2024 acquisitions, the ability of our 2024 acquisitions to be accretive on the company's financial results, and those other factors described in our risk factors set forth in our filings with the Securities and Exchange Commission from time to time, including our Annual Report on Form 10-K, Quarterly Reports on Form 10-Q and Current Reports on Form 8-K. We do not intend to update or alter our forward-looking</w:t>
      </w:r>
    </w:p>
    <w:p>
      <w:pPr>
        <w:sectPr>
          <w:pgSz w:w="11900" w:h="16838" w:orient="portrait"/>
          <w:cols w:equalWidth="0" w:num="1">
            <w:col w:w="11240"/>
          </w:cols>
          <w:pgMar w:left="320" w:top="86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statements, whether as a result of new information, future events or otherwise, except as required by applicable law.</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Measures of Financial Performance</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To supplement the company’s financial statements, which are presented on the basis of U.S. generally accepted accounting principles (GAAP), the following non-GAAP measures of financial performance are included in this release: non-GAAP gross profit, non-GAAP gross margin, adjusted EBITDA, non-GAAP net loss and non-GAAP earnings per share.</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believes that providing this non-GAAP information in addition to the GAAP financial information allows investors to view the financial results in the way the company views its operating results. The company also believes that providing this information allows investors to not only better understand the company's financial performance, but also, better evaluate the information used by management to evaluate and measure such performance.</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As such, the company believes that disclosing non-GAAP financial measures to the readers of its financial statements provides the reader with useful supplemental information that allows for greater transparency in the review of the company’s financial and operational performance.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defines its non-GAAP measures by excluding certain items:</w:t>
      </w:r>
    </w:p>
    <w:p>
      <w:pPr>
        <w:spacing w:after="0" w:line="13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The company arrives at non-GAAP gross profit and non-GAAP gross margin by excluding (i) amortization of intangibles (including acquired intangible assets) and (ii) stock-based compensation.</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arrives at adjusted EBITDA by excluding (i) total other interest, net (included other interest and expense), (ii) loss on early extinguishment of debt, (iii) income taxes/(benefits), (iv) depreciation and amortization expense (including acquired intangible assets), (v) stock-based compensation, (vi) restructuring expense, (vii) change in fair value of contingent acquisition liabilities, and (viii) acquisition-related expenses.</w:t>
      </w:r>
    </w:p>
    <w:p>
      <w:pPr>
        <w:spacing w:after="0" w:line="1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arrives at non-GAAP net loss and non-GAAP net loss per share by excluding (i) depreciation and amortization expense (including acquired intangible assets), (ii) stock-based compensation, (iii) restructuring expense, (iv) loss on early extinguishment of debt, (v) change in fair value of contingent acquisition liabilities, (vi) gain on bargain purchase, (vii) acquisition-related expenses, and (viii) income tax effects related to acquisitions.</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Reconciliations of GAAP to these adjusted non-GAAP financial measures are included in the tables below. When analyzing the company's operating results, investors should not consider non-GAAP measures as substitutes for the comparable financial measures prepared in accordance with GAAP.</w:t>
      </w:r>
    </w:p>
    <w:p>
      <w:pPr>
        <w:spacing w:after="0" w:line="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To the extent that the company presents any forward-looking non-GAAP financial measures, the company does not present a quantitative reconciliation of such measures to the most directly comparable GAAP financial measure (or otherwise present such forward-looking GAAP measures) because it is impractical to do so.</w:t>
      </w:r>
    </w:p>
    <w:p>
      <w:pPr>
        <w:sectPr>
          <w:pgSz w:w="11900" w:h="16838" w:orient="portrait"/>
          <w:cols w:equalWidth="0" w:num="1">
            <w:col w:w="11240"/>
          </w:cols>
          <w:pgMar w:left="320" w:top="868" w:right="339" w:bottom="1440" w:gutter="0" w:footer="0" w:header="0"/>
        </w:sectPr>
      </w:pPr>
    </w:p>
    <w:bookmarkStart w:id="9" w:name="page10"/>
    <w:bookmarkEnd w:id="9"/>
    <w:p>
      <w:pPr>
        <w:spacing w:after="0" w:line="275" w:lineRule="auto"/>
        <w:rPr>
          <w:sz w:val="20"/>
          <w:szCs w:val="20"/>
          <w:color w:val="auto"/>
        </w:rPr>
      </w:pPr>
      <w:r>
        <w:rPr>
          <w:rFonts w:ascii="Times New Roman" w:cs="Times New Roman" w:eastAsia="Times New Roman" w:hAnsi="Times New Roman"/>
          <w:sz w:val="22"/>
          <w:szCs w:val="22"/>
          <w:b w:val="1"/>
          <w:bCs w:val="1"/>
          <w:color w:val="auto"/>
          <w:highlight w:val="white"/>
        </w:rPr>
        <w:t>Fourth Quarter Reconciliation of GAAP Gross Profit to Non-GAAP Gross Profit and GAAP Gross Margin to Non-GAAP Gross Margin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6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1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97"/>
        </w:trPr>
        <w:tc>
          <w:tcPr>
            <w:tcW w:w="66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(thousands, unless otherwise noted)</w:t>
            </w:r>
          </w:p>
        </w:tc>
        <w:tc>
          <w:tcPr>
            <w:tcW w:w="16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December 31, 2024</w:t>
            </w:r>
          </w:p>
        </w:tc>
        <w:tc>
          <w:tcPr>
            <w:tcW w:w="160" w:type="dxa"/>
            <w:vAlign w:val="bottom"/>
          </w:tcPr>
          <w:p>
            <w:pPr>
              <w:spacing w:after="0"/>
              <w:rPr>
                <w:sz w:val="24"/>
                <w:szCs w:val="24"/>
                <w:color w:val="auto"/>
              </w:rPr>
            </w:pPr>
          </w:p>
        </w:tc>
        <w:tc>
          <w:tcPr>
            <w:tcW w:w="196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w w:val="97"/>
              </w:rPr>
              <w:t>December 31, 2023</w:t>
            </w:r>
          </w:p>
        </w:tc>
      </w:tr>
      <w:tr>
        <w:trPr>
          <w:trHeight w:val="264"/>
        </w:trPr>
        <w:tc>
          <w:tcPr>
            <w:tcW w:w="6240" w:type="dxa"/>
            <w:vAlign w:val="bottom"/>
            <w:tcBorders>
              <w:top w:val="single" w:sz="8" w:color="auto"/>
            </w:tcBorders>
            <w:shd w:val="clear" w:color="auto" w:fill="CCEEFF"/>
          </w:tcPr>
          <w:p>
            <w:pPr>
              <w:ind w:left="20"/>
              <w:spacing w:after="0" w:line="263" w:lineRule="exact"/>
              <w:rPr>
                <w:sz w:val="20"/>
                <w:szCs w:val="20"/>
                <w:color w:val="auto"/>
              </w:rPr>
            </w:pPr>
            <w:r>
              <w:rPr>
                <w:rFonts w:ascii="Times New Roman" w:cs="Times New Roman" w:eastAsia="Times New Roman" w:hAnsi="Times New Roman"/>
                <w:sz w:val="22"/>
                <w:szCs w:val="22"/>
                <w:b w:val="1"/>
                <w:bCs w:val="1"/>
                <w:color w:val="auto"/>
              </w:rPr>
              <w:t>GAAP gross profit</w:t>
            </w:r>
            <w:r>
              <w:rPr>
                <w:rFonts w:ascii="Times New Roman" w:cs="Times New Roman" w:eastAsia="Times New Roman" w:hAnsi="Times New Roman"/>
                <w:sz w:val="28"/>
                <w:szCs w:val="28"/>
                <w:b w:val="1"/>
                <w:bCs w:val="1"/>
                <w:color w:val="auto"/>
                <w:vertAlign w:val="superscript"/>
              </w:rPr>
              <w:t>1</w:t>
            </w:r>
          </w:p>
        </w:tc>
        <w:tc>
          <w:tcPr>
            <w:tcW w:w="3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13,784</w:t>
            </w:r>
          </w:p>
        </w:tc>
        <w:tc>
          <w:tcPr>
            <w:tcW w:w="3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13,236</w:t>
            </w:r>
          </w:p>
        </w:tc>
      </w:tr>
      <w:tr>
        <w:trPr>
          <w:trHeight w:val="27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Adjustments:</w:t>
            </w:r>
          </w:p>
        </w:tc>
        <w:tc>
          <w:tcPr>
            <w:tcW w:w="1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0"/>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Amortization of Intangibles</w:t>
            </w:r>
          </w:p>
        </w:tc>
        <w:tc>
          <w:tcPr>
            <w:tcW w:w="160" w:type="dxa"/>
            <w:vAlign w:val="bottom"/>
            <w:shd w:val="clear" w:color="auto" w:fill="CCEEFF"/>
          </w:tcPr>
          <w:p>
            <w:pPr>
              <w:spacing w:after="0"/>
              <w:rPr>
                <w:sz w:val="23"/>
                <w:szCs w:val="23"/>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4,123</w:t>
            </w:r>
          </w:p>
        </w:tc>
        <w:tc>
          <w:tcPr>
            <w:tcW w:w="3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22"/>
                <w:szCs w:val="22"/>
                <w:color w:val="auto"/>
              </w:rPr>
              <w:t>Stock-based compensation</w:t>
            </w:r>
          </w:p>
        </w:tc>
        <w:tc>
          <w:tcPr>
            <w:tcW w:w="1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3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118</w:t>
            </w: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Non-GAAP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18,007</w:t>
            </w:r>
          </w:p>
        </w:tc>
        <w:tc>
          <w:tcPr>
            <w:tcW w:w="3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13,354</w:t>
            </w:r>
          </w:p>
        </w:tc>
      </w:tr>
      <w:tr>
        <w:trPr>
          <w:trHeight w:val="263"/>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GAAP gross margin</w:t>
            </w:r>
          </w:p>
        </w:tc>
        <w:tc>
          <w:tcPr>
            <w:tcW w:w="1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39.9%</w:t>
            </w:r>
          </w:p>
        </w:tc>
        <w:tc>
          <w:tcPr>
            <w:tcW w:w="3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77.2%</w:t>
            </w:r>
          </w:p>
        </w:tc>
      </w:tr>
      <w:tr>
        <w:trPr>
          <w:trHeight w:val="264"/>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Non-GAAP gross margin</w:t>
            </w:r>
          </w:p>
        </w:tc>
        <w:tc>
          <w:tcPr>
            <w:tcW w:w="16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52.1%</w:t>
            </w:r>
          </w:p>
        </w:tc>
        <w:tc>
          <w:tcPr>
            <w:tcW w:w="3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77.9%</w:t>
            </w:r>
          </w:p>
        </w:tc>
      </w:tr>
    </w:tbl>
    <w:p>
      <w:pPr>
        <w:spacing w:after="0" w:line="207" w:lineRule="exact"/>
        <w:rPr>
          <w:sz w:val="20"/>
          <w:szCs w:val="20"/>
          <w:color w:val="auto"/>
        </w:rPr>
      </w:pPr>
    </w:p>
    <w:p>
      <w:pPr>
        <w:ind w:left="580" w:hanging="329"/>
        <w:spacing w:after="0"/>
        <w:tabs>
          <w:tab w:leader="none" w:pos="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gross profit is calculated by subtracting the cost of revenues from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-86995</wp:posOffset>
            </wp:positionV>
            <wp:extent cx="3162935" cy="93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62935" cy="9398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720" w:type="dxa"/>
            <w:vAlign w:val="bottom"/>
            <w:gridSpan w:val="4"/>
            <w:shd w:val="clear" w:color="auto" w:fill="FEFEFE"/>
          </w:tcPr>
          <w:p>
            <w:pPr>
              <w:spacing w:after="0"/>
              <w:rPr>
                <w:sz w:val="20"/>
                <w:szCs w:val="20"/>
                <w:color w:val="auto"/>
              </w:rPr>
            </w:pPr>
            <w:r>
              <w:rPr>
                <w:rFonts w:ascii="Times New Roman" w:cs="Times New Roman" w:eastAsia="Times New Roman" w:hAnsi="Times New Roman"/>
                <w:sz w:val="22"/>
                <w:szCs w:val="22"/>
                <w:b w:val="1"/>
                <w:bCs w:val="1"/>
                <w:color w:val="auto"/>
                <w:highlight w:val="white"/>
                <w:w w:val="97"/>
              </w:rPr>
              <w:t>Fourth Quarter Reconciliation of GAAP Net Loss to Non-GAAP Adjusted EBITDA</w:t>
            </w: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459"/>
        </w:trPr>
        <w:tc>
          <w:tcPr>
            <w:tcW w:w="648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7"/>
        </w:trPr>
        <w:tc>
          <w:tcPr>
            <w:tcW w:w="64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(thousands)</w:t>
            </w:r>
          </w:p>
        </w:tc>
        <w:tc>
          <w:tcPr>
            <w:tcW w:w="160" w:type="dxa"/>
            <w:vAlign w:val="bottom"/>
          </w:tcPr>
          <w:p>
            <w:pPr>
              <w:spacing w:after="0"/>
              <w:rPr>
                <w:sz w:val="24"/>
                <w:szCs w:val="24"/>
                <w:color w:val="auto"/>
              </w:rPr>
            </w:pPr>
          </w:p>
        </w:tc>
        <w:tc>
          <w:tcPr>
            <w:tcW w:w="238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December 31, 2024</w:t>
            </w:r>
          </w:p>
        </w:tc>
        <w:tc>
          <w:tcPr>
            <w:tcW w:w="180" w:type="dxa"/>
            <w:vAlign w:val="bottom"/>
          </w:tcPr>
          <w:p>
            <w:pPr>
              <w:spacing w:after="0"/>
              <w:rPr>
                <w:sz w:val="24"/>
                <w:szCs w:val="24"/>
                <w:color w:val="auto"/>
              </w:rPr>
            </w:pPr>
          </w:p>
        </w:tc>
        <w:tc>
          <w:tcPr>
            <w:tcW w:w="202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December 31, 2023</w:t>
            </w:r>
          </w:p>
        </w:tc>
      </w:tr>
      <w:tr>
        <w:trPr>
          <w:trHeight w:val="264"/>
        </w:trPr>
        <w:tc>
          <w:tcPr>
            <w:tcW w:w="6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GAAP net loss</w:t>
            </w:r>
          </w:p>
        </w:tc>
        <w:tc>
          <w:tcPr>
            <w:tcW w:w="3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(258,599)</w:t>
            </w:r>
          </w:p>
        </w:tc>
        <w:tc>
          <w:tcPr>
            <w:tcW w:w="3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(18,003)</w:t>
            </w:r>
          </w:p>
        </w:tc>
      </w:tr>
      <w:tr>
        <w:trPr>
          <w:trHeight w:val="27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Adjustments:</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6480" w:type="dxa"/>
            <w:vAlign w:val="bottom"/>
            <w:gridSpan w:val="2"/>
            <w:shd w:val="clear" w:color="auto" w:fill="CCEEFF"/>
          </w:tcPr>
          <w:p>
            <w:pPr>
              <w:ind w:left="140"/>
              <w:spacing w:after="0" w:line="270" w:lineRule="exact"/>
              <w:rPr>
                <w:sz w:val="20"/>
                <w:szCs w:val="20"/>
                <w:color w:val="auto"/>
              </w:rPr>
            </w:pPr>
            <w:r>
              <w:rPr>
                <w:rFonts w:ascii="Times New Roman" w:cs="Times New Roman" w:eastAsia="Times New Roman" w:hAnsi="Times New Roman"/>
                <w:sz w:val="22"/>
                <w:szCs w:val="22"/>
                <w:color w:val="auto"/>
              </w:rPr>
              <w:t>Total other expense, net</w:t>
            </w:r>
            <w:r>
              <w:rPr>
                <w:rFonts w:ascii="Times New Roman" w:cs="Times New Roman" w:eastAsia="Times New Roman" w:hAnsi="Times New Roman"/>
                <w:sz w:val="28"/>
                <w:szCs w:val="28"/>
                <w:color w:val="auto"/>
                <w:vertAlign w:val="superscript"/>
              </w:rPr>
              <w:t>1</w:t>
            </w:r>
          </w:p>
        </w:tc>
        <w:tc>
          <w:tcPr>
            <w:tcW w:w="16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1,174</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4,003</w:t>
            </w:r>
          </w:p>
        </w:tc>
      </w:tr>
      <w:tr>
        <w:trPr>
          <w:trHeight w:val="27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Loss on early extinguishment of debt</w:t>
            </w:r>
          </w:p>
        </w:tc>
        <w:tc>
          <w:tcPr>
            <w:tcW w:w="160" w:type="dxa"/>
            <w:vAlign w:val="bottom"/>
          </w:tcPr>
          <w:p>
            <w:pPr>
              <w:spacing w:after="0"/>
              <w:rPr>
                <w:sz w:val="23"/>
                <w:szCs w:val="23"/>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Income taxes/(benefits)</w:t>
            </w:r>
          </w:p>
        </w:tc>
        <w:tc>
          <w:tcPr>
            <w:tcW w:w="16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311</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1,607</w:t>
            </w:r>
          </w:p>
        </w:tc>
      </w:tr>
      <w:tr>
        <w:trPr>
          <w:trHeight w:val="27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160" w:type="dxa"/>
            <w:vAlign w:val="bottom"/>
          </w:tcPr>
          <w:p>
            <w:pPr>
              <w:spacing w:after="0"/>
              <w:rPr>
                <w:sz w:val="23"/>
                <w:szCs w:val="23"/>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7,939</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372</w:t>
            </w: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Stock-based compensation</w:t>
            </w:r>
          </w:p>
        </w:tc>
        <w:tc>
          <w:tcPr>
            <w:tcW w:w="16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9,853</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6,569</w:t>
            </w:r>
          </w:p>
        </w:tc>
      </w:tr>
      <w:tr>
        <w:trPr>
          <w:trHeight w:val="27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Restructuring</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806</w:t>
            </w: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Change in fair value of contingent acquisition liabilities</w:t>
            </w:r>
          </w:p>
        </w:tc>
        <w:tc>
          <w:tcPr>
            <w:tcW w:w="16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220,946</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22"/>
                <w:szCs w:val="22"/>
                <w:color w:val="auto"/>
              </w:rPr>
              <w:t>Acquisition-related expenses</w:t>
            </w:r>
          </w:p>
        </w:tc>
        <w:tc>
          <w:tcPr>
            <w:tcW w:w="1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1,541</w:t>
            </w:r>
          </w:p>
        </w:tc>
        <w:tc>
          <w:tcPr>
            <w:tcW w:w="3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1,053</w:t>
            </w:r>
          </w:p>
        </w:tc>
      </w:tr>
      <w:tr>
        <w:trPr>
          <w:trHeight w:val="289"/>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Non-GAAP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(16,793)</w:t>
            </w:r>
          </w:p>
        </w:tc>
        <w:tc>
          <w:tcPr>
            <w:tcW w:w="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(3,593)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80" w:hanging="329"/>
        <w:spacing w:after="0"/>
        <w:tabs>
          <w:tab w:leader="none" w:pos="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other income (expense), net of $0.1 and $1.5 million for the three months ended December 31,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-86995</wp:posOffset>
            </wp:positionV>
            <wp:extent cx="116586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65860" cy="9461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highlight w:val="white"/>
        </w:rPr>
        <w:t>Fourth Quarter Reconciliation of GAAP Net Loss to Non-GAAP Net Loss and Non-GAAP Net Loss Per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48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1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97"/>
        </w:trPr>
        <w:tc>
          <w:tcPr>
            <w:tcW w:w="64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(thousands, unless otherwise noted)</w:t>
            </w:r>
          </w:p>
        </w:tc>
        <w:tc>
          <w:tcPr>
            <w:tcW w:w="16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December 31, 2024</w:t>
            </w:r>
          </w:p>
        </w:tc>
        <w:tc>
          <w:tcPr>
            <w:tcW w:w="180" w:type="dxa"/>
            <w:vAlign w:val="bottom"/>
          </w:tcPr>
          <w:p>
            <w:pPr>
              <w:spacing w:after="0"/>
              <w:rPr>
                <w:sz w:val="24"/>
                <w:szCs w:val="24"/>
                <w:color w:val="auto"/>
              </w:rPr>
            </w:pPr>
          </w:p>
        </w:tc>
        <w:tc>
          <w:tcPr>
            <w:tcW w:w="202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December 31, 2023</w:t>
            </w:r>
          </w:p>
        </w:tc>
      </w:tr>
      <w:tr>
        <w:trPr>
          <w:trHeight w:val="264"/>
        </w:trPr>
        <w:tc>
          <w:tcPr>
            <w:tcW w:w="6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GAAP net loss attributable to SoundHound common shareholders</w:t>
            </w:r>
          </w:p>
        </w:tc>
        <w:tc>
          <w:tcPr>
            <w:tcW w:w="3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(258,599)</w:t>
            </w:r>
          </w:p>
        </w:tc>
        <w:tc>
          <w:tcPr>
            <w:tcW w:w="3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(18,571)</w:t>
            </w:r>
          </w:p>
        </w:tc>
      </w:tr>
      <w:tr>
        <w:trPr>
          <w:trHeight w:val="27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Adjustments:</w:t>
            </w:r>
          </w:p>
        </w:tc>
        <w:tc>
          <w:tcPr>
            <w:tcW w:w="1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16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7,939</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372</w:t>
            </w:r>
          </w:p>
        </w:tc>
      </w:tr>
      <w:tr>
        <w:trPr>
          <w:trHeight w:val="27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Stock-based compensation</w:t>
            </w:r>
          </w:p>
        </w:tc>
        <w:tc>
          <w:tcPr>
            <w:tcW w:w="16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9,853</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6,569</w:t>
            </w: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Restructuring</w:t>
            </w:r>
          </w:p>
        </w:tc>
        <w:tc>
          <w:tcPr>
            <w:tcW w:w="160" w:type="dxa"/>
            <w:vAlign w:val="bottom"/>
            <w:shd w:val="clear" w:color="auto" w:fill="CCEEFF"/>
          </w:tcPr>
          <w:p>
            <w:pPr>
              <w:spacing w:after="0"/>
              <w:rPr>
                <w:sz w:val="23"/>
                <w:szCs w:val="23"/>
                <w:color w:val="auto"/>
              </w:rPr>
            </w:pPr>
          </w:p>
        </w:tc>
        <w:tc>
          <w:tcPr>
            <w:tcW w:w="2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806</w:t>
            </w:r>
          </w:p>
        </w:tc>
      </w:tr>
      <w:tr>
        <w:trPr>
          <w:trHeight w:val="27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Loss on early extinguishment of debt</w:t>
            </w:r>
          </w:p>
        </w:tc>
        <w:tc>
          <w:tcPr>
            <w:tcW w:w="16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Change in fair value of contingent acquisition liabilities</w:t>
            </w:r>
          </w:p>
        </w:tc>
        <w:tc>
          <w:tcPr>
            <w:tcW w:w="16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220,946</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Acquisition-related expenses</w:t>
            </w:r>
          </w:p>
        </w:tc>
        <w:tc>
          <w:tcPr>
            <w:tcW w:w="16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1,541</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1,053</w:t>
            </w: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Income tax effects related to acquisitions</w:t>
            </w:r>
          </w:p>
        </w:tc>
        <w:tc>
          <w:tcPr>
            <w:tcW w:w="1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(715)</w:t>
            </w:r>
          </w:p>
        </w:tc>
        <w:tc>
          <w:tcPr>
            <w:tcW w:w="3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Non-GAAP 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(18,993)</w:t>
            </w:r>
          </w:p>
        </w:tc>
        <w:tc>
          <w:tcPr>
            <w:tcW w:w="3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(9,771)</w:t>
            </w:r>
          </w:p>
        </w:tc>
      </w:tr>
      <w:tr>
        <w:trPr>
          <w:trHeight w:val="263"/>
        </w:trPr>
        <w:tc>
          <w:tcPr>
            <w:tcW w:w="648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22"/>
                <w:szCs w:val="22"/>
                <w:b w:val="1"/>
                <w:bCs w:val="1"/>
                <w:color w:val="auto"/>
              </w:rPr>
              <w:t>GAAP net loss per share</w:t>
            </w:r>
            <w:r>
              <w:rPr>
                <w:rFonts w:ascii="Times New Roman" w:cs="Times New Roman" w:eastAsia="Times New Roman" w:hAnsi="Times New Roman"/>
                <w:sz w:val="28"/>
                <w:szCs w:val="28"/>
                <w:b w:val="1"/>
                <w:bCs w:val="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(0.69)</w:t>
            </w:r>
          </w:p>
        </w:tc>
        <w:tc>
          <w:tcPr>
            <w:tcW w:w="3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(0.07)</w:t>
            </w:r>
          </w:p>
        </w:tc>
      </w:tr>
      <w:tr>
        <w:trPr>
          <w:trHeight w:val="263"/>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2"/>
                <w:szCs w:val="22"/>
                <w:color w:val="auto"/>
              </w:rPr>
              <w:t>Adjustments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0.64</w:t>
            </w:r>
          </w:p>
        </w:tc>
        <w:tc>
          <w:tcPr>
            <w:tcW w:w="3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0.03</w:t>
            </w:r>
          </w:p>
        </w:tc>
      </w:tr>
      <w:tr>
        <w:trPr>
          <w:trHeight w:val="264"/>
        </w:trPr>
        <w:tc>
          <w:tcPr>
            <w:tcW w:w="648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22"/>
                <w:szCs w:val="22"/>
                <w:b w:val="1"/>
                <w:bCs w:val="1"/>
                <w:color w:val="auto"/>
              </w:rPr>
              <w:t>Non-GAAP net loss per share</w:t>
            </w:r>
            <w:r>
              <w:rPr>
                <w:rFonts w:ascii="Times New Roman" w:cs="Times New Roman" w:eastAsia="Times New Roman" w:hAnsi="Times New Roman"/>
                <w:sz w:val="28"/>
                <w:szCs w:val="28"/>
                <w:b w:val="1"/>
                <w:bCs w:val="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(0.05)</w:t>
            </w:r>
          </w:p>
        </w:tc>
        <w:tc>
          <w:tcPr>
            <w:tcW w:w="3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(0.04)</w:t>
            </w:r>
          </w:p>
        </w:tc>
      </w:tr>
    </w:tbl>
    <w:p>
      <w:pPr>
        <w:spacing w:after="0" w:line="207" w:lineRule="exact"/>
        <w:rPr>
          <w:sz w:val="20"/>
          <w:szCs w:val="20"/>
          <w:color w:val="auto"/>
        </w:rPr>
      </w:pPr>
    </w:p>
    <w:p>
      <w:pPr>
        <w:ind w:left="580" w:hanging="329"/>
        <w:spacing w:after="0"/>
        <w:tabs>
          <w:tab w:leader="none" w:pos="5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common shares outstanding (basic and diluted) for the three months ended December 31, 2024 and 2023 were 375,102,329 and 248,250,552, respectively.</w:t>
      </w:r>
    </w:p>
    <w:p>
      <w:pPr>
        <w:spacing w:after="0" w:line="34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highlight w:val="white"/>
        </w:rPr>
        <w:t>Full Year Reconciliation of GAAP Gross Profit to Non-GAAP Gross Profit and GAAP Gross Margin to Non-GAAP Gross Margin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6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Year Ended</w:t>
            </w:r>
          </w:p>
        </w:tc>
        <w:tc>
          <w:tcPr>
            <w:tcW w:w="1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97"/>
        </w:trPr>
        <w:tc>
          <w:tcPr>
            <w:tcW w:w="66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(thousands, unless otherwise noted)</w:t>
            </w:r>
          </w:p>
        </w:tc>
        <w:tc>
          <w:tcPr>
            <w:tcW w:w="16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December 31, 2024</w:t>
            </w:r>
          </w:p>
        </w:tc>
        <w:tc>
          <w:tcPr>
            <w:tcW w:w="160" w:type="dxa"/>
            <w:vAlign w:val="bottom"/>
          </w:tcPr>
          <w:p>
            <w:pPr>
              <w:spacing w:after="0"/>
              <w:rPr>
                <w:sz w:val="24"/>
                <w:szCs w:val="24"/>
                <w:color w:val="auto"/>
              </w:rPr>
            </w:pPr>
          </w:p>
        </w:tc>
        <w:tc>
          <w:tcPr>
            <w:tcW w:w="196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w w:val="97"/>
              </w:rPr>
              <w:t>December 31, 2023</w:t>
            </w:r>
          </w:p>
        </w:tc>
      </w:tr>
      <w:tr>
        <w:trPr>
          <w:trHeight w:val="264"/>
        </w:trPr>
        <w:tc>
          <w:tcPr>
            <w:tcW w:w="6240" w:type="dxa"/>
            <w:vAlign w:val="bottom"/>
            <w:tcBorders>
              <w:top w:val="single" w:sz="8" w:color="auto"/>
            </w:tcBorders>
            <w:shd w:val="clear" w:color="auto" w:fill="CCEEFF"/>
          </w:tcPr>
          <w:p>
            <w:pPr>
              <w:ind w:left="20"/>
              <w:spacing w:after="0" w:line="263" w:lineRule="exact"/>
              <w:rPr>
                <w:sz w:val="20"/>
                <w:szCs w:val="20"/>
                <w:color w:val="auto"/>
              </w:rPr>
            </w:pPr>
            <w:r>
              <w:rPr>
                <w:rFonts w:ascii="Times New Roman" w:cs="Times New Roman" w:eastAsia="Times New Roman" w:hAnsi="Times New Roman"/>
                <w:sz w:val="22"/>
                <w:szCs w:val="22"/>
                <w:b w:val="1"/>
                <w:bCs w:val="1"/>
                <w:color w:val="auto"/>
              </w:rPr>
              <w:t>GAAP gross profit</w:t>
            </w:r>
            <w:r>
              <w:rPr>
                <w:rFonts w:ascii="Times New Roman" w:cs="Times New Roman" w:eastAsia="Times New Roman" w:hAnsi="Times New Roman"/>
                <w:sz w:val="28"/>
                <w:szCs w:val="28"/>
                <w:b w:val="1"/>
                <w:bCs w:val="1"/>
                <w:color w:val="auto"/>
                <w:vertAlign w:val="superscript"/>
              </w:rPr>
              <w:t>1</w:t>
            </w:r>
          </w:p>
        </w:tc>
        <w:tc>
          <w:tcPr>
            <w:tcW w:w="3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41,384</w:t>
            </w:r>
          </w:p>
        </w:tc>
        <w:tc>
          <w:tcPr>
            <w:tcW w:w="3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34,566</w:t>
            </w:r>
          </w:p>
        </w:tc>
      </w:tr>
      <w:tr>
        <w:trPr>
          <w:trHeight w:val="27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Adjustments:</w:t>
            </w:r>
          </w:p>
        </w:tc>
        <w:tc>
          <w:tcPr>
            <w:tcW w:w="1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0"/>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Amortization of Intangibles</w:t>
            </w:r>
          </w:p>
        </w:tc>
        <w:tc>
          <w:tcPr>
            <w:tcW w:w="160" w:type="dxa"/>
            <w:vAlign w:val="bottom"/>
            <w:shd w:val="clear" w:color="auto" w:fill="CCEEFF"/>
          </w:tcPr>
          <w:p>
            <w:pPr>
              <w:spacing w:after="0"/>
              <w:rPr>
                <w:sz w:val="23"/>
                <w:szCs w:val="23"/>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7,696</w:t>
            </w:r>
          </w:p>
        </w:tc>
        <w:tc>
          <w:tcPr>
            <w:tcW w:w="3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22"/>
                <w:szCs w:val="22"/>
                <w:color w:val="auto"/>
              </w:rPr>
              <w:t>Stock-based compensation</w:t>
            </w:r>
          </w:p>
        </w:tc>
        <w:tc>
          <w:tcPr>
            <w:tcW w:w="1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458</w:t>
            </w:r>
          </w:p>
        </w:tc>
        <w:tc>
          <w:tcPr>
            <w:tcW w:w="3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412</w:t>
            </w:r>
          </w:p>
        </w:tc>
      </w:tr>
      <w:tr>
        <w:trPr>
          <w:trHeight w:val="264"/>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Non-GAAP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49,538</w:t>
            </w:r>
          </w:p>
        </w:tc>
        <w:tc>
          <w:tcPr>
            <w:tcW w:w="3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34,978</w:t>
            </w:r>
          </w:p>
        </w:tc>
      </w:tr>
      <w:tr>
        <w:trPr>
          <w:trHeight w:val="263"/>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GAAP gross margin</w:t>
            </w:r>
          </w:p>
        </w:tc>
        <w:tc>
          <w:tcPr>
            <w:tcW w:w="1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48.9%</w:t>
            </w:r>
          </w:p>
        </w:tc>
        <w:tc>
          <w:tcPr>
            <w:tcW w:w="3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75.4%</w:t>
            </w: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Non-GAAP gross margin</w:t>
            </w:r>
          </w:p>
        </w:tc>
        <w:tc>
          <w:tcPr>
            <w:tcW w:w="16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58.5%</w:t>
            </w:r>
          </w:p>
        </w:tc>
        <w:tc>
          <w:tcPr>
            <w:tcW w:w="3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76.2%</w:t>
            </w:r>
          </w:p>
        </w:tc>
      </w:tr>
    </w:tbl>
    <w:p>
      <w:pPr>
        <w:spacing w:after="0" w:line="207" w:lineRule="exact"/>
        <w:rPr>
          <w:sz w:val="20"/>
          <w:szCs w:val="20"/>
          <w:color w:val="auto"/>
        </w:rPr>
      </w:pPr>
    </w:p>
    <w:p>
      <w:pPr>
        <w:ind w:left="580" w:hanging="329"/>
        <w:spacing w:after="0"/>
        <w:tabs>
          <w:tab w:leader="none" w:pos="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gross profit is calculated by subtracting the cost of revenues from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-86995</wp:posOffset>
            </wp:positionV>
            <wp:extent cx="3162935" cy="93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62935" cy="9398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3"/>
        </w:trPr>
        <w:tc>
          <w:tcPr>
            <w:tcW w:w="7120" w:type="dxa"/>
            <w:vAlign w:val="bottom"/>
            <w:gridSpan w:val="4"/>
            <w:shd w:val="clear" w:color="auto" w:fill="FEFEFE"/>
          </w:tcPr>
          <w:p>
            <w:pPr>
              <w:spacing w:after="0"/>
              <w:rPr>
                <w:sz w:val="20"/>
                <w:szCs w:val="20"/>
                <w:color w:val="auto"/>
              </w:rPr>
            </w:pPr>
            <w:r>
              <w:rPr>
                <w:rFonts w:ascii="Times New Roman" w:cs="Times New Roman" w:eastAsia="Times New Roman" w:hAnsi="Times New Roman"/>
                <w:sz w:val="22"/>
                <w:szCs w:val="22"/>
                <w:b w:val="1"/>
                <w:bCs w:val="1"/>
                <w:color w:val="auto"/>
                <w:highlight w:val="white"/>
                <w:w w:val="97"/>
              </w:rPr>
              <w:t>Full Year Reconciliation of GAAP Net Loss to Non-GAAP Adjusted EBITDA</w:t>
            </w:r>
          </w:p>
        </w:tc>
        <w:tc>
          <w:tcPr>
            <w:tcW w:w="1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459"/>
        </w:trPr>
        <w:tc>
          <w:tcPr>
            <w:tcW w:w="648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Year Ended</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7"/>
        </w:trPr>
        <w:tc>
          <w:tcPr>
            <w:tcW w:w="64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(thousands)</w:t>
            </w:r>
          </w:p>
        </w:tc>
        <w:tc>
          <w:tcPr>
            <w:tcW w:w="160" w:type="dxa"/>
            <w:vAlign w:val="bottom"/>
          </w:tcPr>
          <w:p>
            <w:pPr>
              <w:spacing w:after="0"/>
              <w:rPr>
                <w:sz w:val="24"/>
                <w:szCs w:val="24"/>
                <w:color w:val="auto"/>
              </w:rPr>
            </w:pPr>
          </w:p>
        </w:tc>
        <w:tc>
          <w:tcPr>
            <w:tcW w:w="238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December 31, 2024</w:t>
            </w:r>
          </w:p>
        </w:tc>
        <w:tc>
          <w:tcPr>
            <w:tcW w:w="180" w:type="dxa"/>
            <w:vAlign w:val="bottom"/>
          </w:tcPr>
          <w:p>
            <w:pPr>
              <w:spacing w:after="0"/>
              <w:rPr>
                <w:sz w:val="24"/>
                <w:szCs w:val="24"/>
                <w:color w:val="auto"/>
              </w:rPr>
            </w:pPr>
          </w:p>
        </w:tc>
        <w:tc>
          <w:tcPr>
            <w:tcW w:w="202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December 31, 2023</w:t>
            </w:r>
          </w:p>
        </w:tc>
      </w:tr>
      <w:tr>
        <w:trPr>
          <w:trHeight w:val="264"/>
        </w:trPr>
        <w:tc>
          <w:tcPr>
            <w:tcW w:w="6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GAAP net loss</w:t>
            </w:r>
          </w:p>
        </w:tc>
        <w:tc>
          <w:tcPr>
            <w:tcW w:w="3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(350,681)</w:t>
            </w:r>
          </w:p>
        </w:tc>
        <w:tc>
          <w:tcPr>
            <w:tcW w:w="3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(88,937)</w:t>
            </w:r>
          </w:p>
        </w:tc>
      </w:tr>
      <w:tr>
        <w:trPr>
          <w:trHeight w:val="27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Adjustments:</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6480" w:type="dxa"/>
            <w:vAlign w:val="bottom"/>
            <w:gridSpan w:val="2"/>
            <w:shd w:val="clear" w:color="auto" w:fill="CCEEFF"/>
          </w:tcPr>
          <w:p>
            <w:pPr>
              <w:ind w:left="140"/>
              <w:spacing w:after="0" w:line="270" w:lineRule="exact"/>
              <w:rPr>
                <w:sz w:val="20"/>
                <w:szCs w:val="20"/>
                <w:color w:val="auto"/>
              </w:rPr>
            </w:pPr>
            <w:r>
              <w:rPr>
                <w:rFonts w:ascii="Times New Roman" w:cs="Times New Roman" w:eastAsia="Times New Roman" w:hAnsi="Times New Roman"/>
                <w:sz w:val="22"/>
                <w:szCs w:val="22"/>
                <w:color w:val="auto"/>
              </w:rPr>
              <w:t>Total other expense, net</w:t>
            </w:r>
            <w:r>
              <w:rPr>
                <w:rFonts w:ascii="Times New Roman" w:cs="Times New Roman" w:eastAsia="Times New Roman" w:hAnsi="Times New Roman"/>
                <w:sz w:val="28"/>
                <w:szCs w:val="28"/>
                <w:color w:val="auto"/>
                <w:vertAlign w:val="superscript"/>
              </w:rPr>
              <w:t>1</w:t>
            </w:r>
          </w:p>
        </w:tc>
        <w:tc>
          <w:tcPr>
            <w:tcW w:w="16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2,946</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15,578</w:t>
            </w:r>
          </w:p>
        </w:tc>
      </w:tr>
      <w:tr>
        <w:trPr>
          <w:trHeight w:val="27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Loss on early extinguishment of debt</w:t>
            </w:r>
          </w:p>
        </w:tc>
        <w:tc>
          <w:tcPr>
            <w:tcW w:w="160" w:type="dxa"/>
            <w:vAlign w:val="bottom"/>
          </w:tcPr>
          <w:p>
            <w:pPr>
              <w:spacing w:after="0"/>
              <w:rPr>
                <w:sz w:val="23"/>
                <w:szCs w:val="23"/>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15,629</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837</w:t>
            </w: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Income taxes/(benefits)</w:t>
            </w:r>
          </w:p>
        </w:tc>
        <w:tc>
          <w:tcPr>
            <w:tcW w:w="16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(9,247)</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3,914</w:t>
            </w:r>
          </w:p>
        </w:tc>
      </w:tr>
      <w:tr>
        <w:trPr>
          <w:trHeight w:val="27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160" w:type="dxa"/>
            <w:vAlign w:val="bottom"/>
          </w:tcPr>
          <w:p>
            <w:pPr>
              <w:spacing w:after="0"/>
              <w:rPr>
                <w:sz w:val="23"/>
                <w:szCs w:val="23"/>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16,054</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2,313</w:t>
            </w: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Stock-based compensation</w:t>
            </w:r>
          </w:p>
        </w:tc>
        <w:tc>
          <w:tcPr>
            <w:tcW w:w="16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33,145</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24,789</w:t>
            </w:r>
          </w:p>
        </w:tc>
      </w:tr>
      <w:tr>
        <w:trPr>
          <w:trHeight w:val="27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Restructuring</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4,557</w:t>
            </w:r>
          </w:p>
        </w:tc>
      </w:tr>
      <w:tr>
        <w:trPr>
          <w:trHeight w:val="27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Change in fair value of contingent acquisition liabilities</w:t>
            </w:r>
          </w:p>
        </w:tc>
        <w:tc>
          <w:tcPr>
            <w:tcW w:w="16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222,670</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22"/>
                <w:szCs w:val="22"/>
                <w:color w:val="auto"/>
              </w:rPr>
              <w:t>Acquisition-related expenses</w:t>
            </w:r>
          </w:p>
        </w:tc>
        <w:tc>
          <w:tcPr>
            <w:tcW w:w="1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7,569</w:t>
            </w:r>
          </w:p>
        </w:tc>
        <w:tc>
          <w:tcPr>
            <w:tcW w:w="3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1,053</w:t>
            </w:r>
          </w:p>
        </w:tc>
      </w:tr>
      <w:tr>
        <w:trPr>
          <w:trHeight w:val="288"/>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Non-GAAP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(61,915)</w:t>
            </w:r>
          </w:p>
        </w:tc>
        <w:tc>
          <w:tcPr>
            <w:tcW w:w="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(35,896)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80" w:hanging="329"/>
        <w:spacing w:after="0"/>
        <w:tabs>
          <w:tab w:leader="none" w:pos="5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other income (expense), net of $9.2 and $1.2 million for the years ended December 31,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-86995</wp:posOffset>
            </wp:positionV>
            <wp:extent cx="116586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5860" cy="9461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Full Year Reconciliation of GAAP Net Loss to Non-GAAP Net Loss and Non-GAAP Net Loss Per Share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4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Year Ended</w:t>
            </w:r>
          </w:p>
        </w:tc>
        <w:tc>
          <w:tcPr>
            <w:tcW w:w="160" w:type="dxa"/>
            <w:vAlign w:val="bottom"/>
          </w:tcPr>
          <w:p>
            <w:pPr>
              <w:spacing w:after="0"/>
              <w:rPr>
                <w:sz w:val="23"/>
                <w:szCs w:val="23"/>
                <w:color w:val="auto"/>
              </w:rPr>
            </w:pPr>
          </w:p>
        </w:tc>
        <w:tc>
          <w:tcPr>
            <w:tcW w:w="238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b w:val="1"/>
                <w:bCs w:val="1"/>
                <w:color w:val="auto"/>
              </w:rPr>
              <w:t>December 31, 2024</w:t>
            </w:r>
          </w:p>
        </w:tc>
        <w:tc>
          <w:tcPr>
            <w:tcW w:w="180" w:type="dxa"/>
            <w:vAlign w:val="bottom"/>
          </w:tcPr>
          <w:p>
            <w:pPr>
              <w:spacing w:after="0"/>
              <w:rPr>
                <w:sz w:val="23"/>
                <w:szCs w:val="23"/>
                <w:color w:val="auto"/>
              </w:rPr>
            </w:pPr>
          </w:p>
        </w:tc>
        <w:tc>
          <w:tcPr>
            <w:tcW w:w="202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December 31, 2023</w:t>
            </w:r>
          </w:p>
        </w:tc>
        <w:tc>
          <w:tcPr>
            <w:tcW w:w="0" w:type="dxa"/>
            <w:vAlign w:val="bottom"/>
          </w:tcPr>
          <w:p>
            <w:pPr>
              <w:spacing w:after="0"/>
              <w:rPr>
                <w:sz w:val="1"/>
                <w:szCs w:val="1"/>
                <w:color w:val="auto"/>
              </w:rPr>
            </w:pPr>
          </w:p>
        </w:tc>
      </w:tr>
      <w:tr>
        <w:trPr>
          <w:trHeight w:val="283"/>
        </w:trPr>
        <w:tc>
          <w:tcPr>
            <w:tcW w:w="6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(thousands, unless otherwise noted)</w:t>
            </w:r>
          </w:p>
        </w:tc>
        <w:tc>
          <w:tcPr>
            <w:tcW w:w="160" w:type="dxa"/>
            <w:vAlign w:val="bottom"/>
          </w:tcPr>
          <w:p>
            <w:pPr>
              <w:spacing w:after="0"/>
              <w:rPr>
                <w:sz w:val="24"/>
                <w:szCs w:val="24"/>
                <w:color w:val="auto"/>
              </w:rPr>
            </w:pPr>
          </w:p>
        </w:tc>
        <w:tc>
          <w:tcPr>
            <w:tcW w:w="23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GAAP net loss attributable to SoundHound common shareholders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(351,097)</w:t>
            </w:r>
          </w:p>
        </w:tc>
        <w:tc>
          <w:tcPr>
            <w:tcW w:w="3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(91,711)</w:t>
            </w:r>
          </w:p>
        </w:tc>
        <w:tc>
          <w:tcPr>
            <w:tcW w:w="0" w:type="dxa"/>
            <w:vAlign w:val="bottom"/>
          </w:tcPr>
          <w:p>
            <w:pPr>
              <w:spacing w:after="0"/>
              <w:rPr>
                <w:sz w:val="1"/>
                <w:szCs w:val="1"/>
                <w:color w:val="auto"/>
              </w:rPr>
            </w:pPr>
          </w:p>
        </w:tc>
      </w:tr>
      <w:tr>
        <w:trPr>
          <w:trHeight w:val="270"/>
        </w:trPr>
        <w:tc>
          <w:tcPr>
            <w:tcW w:w="6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Adjustments:</w:t>
            </w:r>
          </w:p>
        </w:tc>
        <w:tc>
          <w:tcPr>
            <w:tcW w:w="1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16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16,054</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2,313</w:t>
            </w:r>
          </w:p>
        </w:tc>
        <w:tc>
          <w:tcPr>
            <w:tcW w:w="0" w:type="dxa"/>
            <w:vAlign w:val="bottom"/>
          </w:tcPr>
          <w:p>
            <w:pPr>
              <w:spacing w:after="0"/>
              <w:rPr>
                <w:sz w:val="1"/>
                <w:szCs w:val="1"/>
                <w:color w:val="auto"/>
              </w:rPr>
            </w:pPr>
          </w:p>
        </w:tc>
      </w:tr>
      <w:tr>
        <w:trPr>
          <w:trHeight w:val="270"/>
        </w:trPr>
        <w:tc>
          <w:tcPr>
            <w:tcW w:w="6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Stock-based compensation</w:t>
            </w:r>
          </w:p>
        </w:tc>
        <w:tc>
          <w:tcPr>
            <w:tcW w:w="16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33,145</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24,789</w:t>
            </w:r>
          </w:p>
        </w:tc>
        <w:tc>
          <w:tcPr>
            <w:tcW w:w="0" w:type="dxa"/>
            <w:vAlign w:val="bottom"/>
          </w:tcPr>
          <w:p>
            <w:pPr>
              <w:spacing w:after="0"/>
              <w:rPr>
                <w:sz w:val="1"/>
                <w:szCs w:val="1"/>
                <w:color w:val="auto"/>
              </w:rPr>
            </w:pPr>
          </w:p>
        </w:tc>
      </w:tr>
      <w:tr>
        <w:trPr>
          <w:trHeight w:val="27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Restructuring</w:t>
            </w:r>
          </w:p>
        </w:tc>
        <w:tc>
          <w:tcPr>
            <w:tcW w:w="160" w:type="dxa"/>
            <w:vAlign w:val="bottom"/>
            <w:shd w:val="clear" w:color="auto" w:fill="CCEEFF"/>
          </w:tcPr>
          <w:p>
            <w:pPr>
              <w:spacing w:after="0"/>
              <w:rPr>
                <w:sz w:val="23"/>
                <w:szCs w:val="23"/>
                <w:color w:val="auto"/>
              </w:rPr>
            </w:pPr>
          </w:p>
        </w:tc>
        <w:tc>
          <w:tcPr>
            <w:tcW w:w="2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4,557</w:t>
            </w:r>
          </w:p>
        </w:tc>
        <w:tc>
          <w:tcPr>
            <w:tcW w:w="0" w:type="dxa"/>
            <w:vAlign w:val="bottom"/>
          </w:tcPr>
          <w:p>
            <w:pPr>
              <w:spacing w:after="0"/>
              <w:rPr>
                <w:sz w:val="1"/>
                <w:szCs w:val="1"/>
                <w:color w:val="auto"/>
              </w:rPr>
            </w:pPr>
          </w:p>
        </w:tc>
      </w:tr>
      <w:tr>
        <w:trPr>
          <w:trHeight w:val="270"/>
        </w:trPr>
        <w:tc>
          <w:tcPr>
            <w:tcW w:w="6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Loss on early extinguishment of debt</w:t>
            </w:r>
          </w:p>
        </w:tc>
        <w:tc>
          <w:tcPr>
            <w:tcW w:w="16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15,629</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837</w:t>
            </w:r>
          </w:p>
        </w:tc>
        <w:tc>
          <w:tcPr>
            <w:tcW w:w="0" w:type="dxa"/>
            <w:vAlign w:val="bottom"/>
          </w:tcPr>
          <w:p>
            <w:pPr>
              <w:spacing w:after="0"/>
              <w:rPr>
                <w:sz w:val="1"/>
                <w:szCs w:val="1"/>
                <w:color w:val="auto"/>
              </w:rPr>
            </w:pPr>
          </w:p>
        </w:tc>
      </w:tr>
      <w:tr>
        <w:trPr>
          <w:trHeight w:val="27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Change in fair value of contingent acquisition liabilities</w:t>
            </w:r>
          </w:p>
        </w:tc>
        <w:tc>
          <w:tcPr>
            <w:tcW w:w="16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222,670</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6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Gain on bargain purchase</w:t>
            </w:r>
          </w:p>
        </w:tc>
        <w:tc>
          <w:tcPr>
            <w:tcW w:w="16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(1,223)</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Acquisition-related expenses</w:t>
            </w:r>
          </w:p>
        </w:tc>
        <w:tc>
          <w:tcPr>
            <w:tcW w:w="16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7,569</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1,053</w:t>
            </w:r>
          </w:p>
        </w:tc>
        <w:tc>
          <w:tcPr>
            <w:tcW w:w="0" w:type="dxa"/>
            <w:vAlign w:val="bottom"/>
          </w:tcPr>
          <w:p>
            <w:pPr>
              <w:spacing w:after="0"/>
              <w:rPr>
                <w:sz w:val="1"/>
                <w:szCs w:val="1"/>
                <w:color w:val="auto"/>
              </w:rPr>
            </w:pPr>
          </w:p>
        </w:tc>
      </w:tr>
      <w:tr>
        <w:trPr>
          <w:trHeight w:val="270"/>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2"/>
                <w:szCs w:val="22"/>
                <w:color w:val="auto"/>
              </w:rPr>
              <w:t>Income tax effects related to acquisitions</w:t>
            </w:r>
          </w:p>
        </w:tc>
        <w:tc>
          <w:tcPr>
            <w:tcW w:w="1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(11,820)</w:t>
            </w:r>
          </w:p>
        </w:tc>
        <w:tc>
          <w:tcPr>
            <w:tcW w:w="3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Non-GAAP 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(69,073)</w:t>
            </w:r>
          </w:p>
        </w:tc>
        <w:tc>
          <w:tcPr>
            <w:tcW w:w="3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(58,162)</w:t>
            </w:r>
          </w:p>
        </w:tc>
        <w:tc>
          <w:tcPr>
            <w:tcW w:w="0" w:type="dxa"/>
            <w:vAlign w:val="bottom"/>
          </w:tcPr>
          <w:p>
            <w:pPr>
              <w:spacing w:after="0"/>
              <w:rPr>
                <w:sz w:val="1"/>
                <w:szCs w:val="1"/>
                <w:color w:val="auto"/>
              </w:rPr>
            </w:pPr>
          </w:p>
        </w:tc>
      </w:tr>
      <w:tr>
        <w:trPr>
          <w:trHeight w:val="263"/>
        </w:trPr>
        <w:tc>
          <w:tcPr>
            <w:tcW w:w="6480" w:type="dxa"/>
            <w:vAlign w:val="bottom"/>
            <w:tcBorders>
              <w:bottom w:val="single" w:sz="8" w:color="CCEEFF"/>
            </w:tcBorders>
          </w:tcPr>
          <w:p>
            <w:pPr>
              <w:ind w:left="20"/>
              <w:spacing w:after="0" w:line="263" w:lineRule="exact"/>
              <w:rPr>
                <w:sz w:val="20"/>
                <w:szCs w:val="20"/>
                <w:color w:val="auto"/>
              </w:rPr>
            </w:pPr>
            <w:r>
              <w:rPr>
                <w:rFonts w:ascii="Times New Roman" w:cs="Times New Roman" w:eastAsia="Times New Roman" w:hAnsi="Times New Roman"/>
                <w:sz w:val="22"/>
                <w:szCs w:val="22"/>
                <w:b w:val="1"/>
                <w:bCs w:val="1"/>
                <w:color w:val="auto"/>
              </w:rPr>
              <w:t>GAAP net loss per share</w:t>
            </w:r>
            <w:r>
              <w:rPr>
                <w:rFonts w:ascii="Times New Roman" w:cs="Times New Roman" w:eastAsia="Times New Roman" w:hAnsi="Times New Roman"/>
                <w:sz w:val="28"/>
                <w:szCs w:val="28"/>
                <w:b w:val="1"/>
                <w:bCs w:val="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(1.04)</w:t>
            </w:r>
          </w:p>
        </w:tc>
        <w:tc>
          <w:tcPr>
            <w:tcW w:w="3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(0.40)</w:t>
            </w:r>
          </w:p>
        </w:tc>
        <w:tc>
          <w:tcPr>
            <w:tcW w:w="0" w:type="dxa"/>
            <w:vAlign w:val="bottom"/>
          </w:tcPr>
          <w:p>
            <w:pPr>
              <w:spacing w:after="0"/>
              <w:rPr>
                <w:sz w:val="1"/>
                <w:szCs w:val="1"/>
                <w:color w:val="auto"/>
              </w:rPr>
            </w:pPr>
          </w:p>
        </w:tc>
      </w:tr>
      <w:tr>
        <w:trPr>
          <w:trHeight w:val="26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Adjustments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0.84</w:t>
            </w:r>
          </w:p>
        </w:tc>
        <w:tc>
          <w:tcPr>
            <w:tcW w:w="3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0.15</w:t>
            </w:r>
          </w:p>
        </w:tc>
        <w:tc>
          <w:tcPr>
            <w:tcW w:w="0" w:type="dxa"/>
            <w:vAlign w:val="bottom"/>
          </w:tcPr>
          <w:p>
            <w:pPr>
              <w:spacing w:after="0"/>
              <w:rPr>
                <w:sz w:val="1"/>
                <w:szCs w:val="1"/>
                <w:color w:val="auto"/>
              </w:rPr>
            </w:pPr>
          </w:p>
        </w:tc>
      </w:tr>
      <w:tr>
        <w:trPr>
          <w:trHeight w:val="264"/>
        </w:trPr>
        <w:tc>
          <w:tcPr>
            <w:tcW w:w="6480" w:type="dxa"/>
            <w:vAlign w:val="bottom"/>
          </w:tcPr>
          <w:p>
            <w:pPr>
              <w:ind w:left="20"/>
              <w:spacing w:after="0" w:line="263" w:lineRule="exact"/>
              <w:rPr>
                <w:sz w:val="20"/>
                <w:szCs w:val="20"/>
                <w:color w:val="auto"/>
              </w:rPr>
            </w:pPr>
            <w:r>
              <w:rPr>
                <w:rFonts w:ascii="Times New Roman" w:cs="Times New Roman" w:eastAsia="Times New Roman" w:hAnsi="Times New Roman"/>
                <w:sz w:val="22"/>
                <w:szCs w:val="22"/>
                <w:b w:val="1"/>
                <w:bCs w:val="1"/>
                <w:color w:val="auto"/>
              </w:rPr>
              <w:t>Non-GAAP net loss per share</w:t>
            </w:r>
            <w:r>
              <w:rPr>
                <w:rFonts w:ascii="Times New Roman" w:cs="Times New Roman" w:eastAsia="Times New Roman" w:hAnsi="Times New Roman"/>
                <w:sz w:val="28"/>
                <w:szCs w:val="28"/>
                <w:b w:val="1"/>
                <w:bCs w:val="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(0.20)</w:t>
            </w:r>
          </w:p>
        </w:tc>
        <w:tc>
          <w:tcPr>
            <w:tcW w:w="3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(0.25)</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80" w:hanging="329"/>
        <w:spacing w:after="0"/>
        <w:tabs>
          <w:tab w:leader="none" w:pos="5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common shares outstanding (basic and diluted) for the years ended December 31, 2024 and 2023 were 338,462,574 and 229,264,904, respectively.</w:t>
      </w:r>
    </w:p>
    <w:p>
      <w:pPr>
        <w:sectPr>
          <w:pgSz w:w="11900" w:h="16838" w:orient="portrait"/>
          <w:cols w:equalWidth="0" w:num="1">
            <w:col w:w="11220"/>
          </w:cols>
          <w:pgMar w:left="320" w:top="872"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Scott Smith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408-724-1498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IR@SoundHound.com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Gianna Arantes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201-815-9852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PR@SoundHound.com</w:t>
      </w:r>
    </w:p>
    <w:p>
      <w:pPr>
        <w:sectPr>
          <w:pgSz w:w="11900" w:h="16838" w:orient="portrait"/>
          <w:cols w:equalWidth="0" w:num="1">
            <w:col w:w="10139"/>
          </w:cols>
          <w:pgMar w:left="320" w:top="770"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240" w:type="dxa"/>
            <w:vAlign w:val="bottom"/>
          </w:tcPr>
          <w:p>
            <w:pPr>
              <w:spacing w:after="0"/>
              <w:rPr>
                <w:sz w:val="11"/>
                <w:szCs w:val="11"/>
                <w:color w:val="auto"/>
              </w:rPr>
            </w:pP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6"/>
        </w:trPr>
        <w:tc>
          <w:tcPr>
            <w:tcW w:w="8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86"/>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2"/>
        </w:trPr>
        <w:tc>
          <w:tcPr>
            <w:tcW w:w="8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center"/>
              <w:ind w:right="186"/>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53"/>
        </w:trPr>
        <w:tc>
          <w:tcPr>
            <w:tcW w:w="8180" w:type="dxa"/>
            <w:vAlign w:val="bottom"/>
          </w:tcPr>
          <w:p>
            <w:pPr>
              <w:ind w:left="39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153"/>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198,240</w:t>
            </w:r>
          </w:p>
        </w:tc>
        <w:tc>
          <w:tcPr>
            <w:tcW w:w="100" w:type="dxa"/>
            <w:vAlign w:val="bottom"/>
          </w:tcPr>
          <w:p>
            <w:pPr>
              <w:spacing w:after="0"/>
              <w:rPr>
                <w:sz w:val="13"/>
                <w:szCs w:val="13"/>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95,260</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Accounts receivable, net of allowances of $726 and $203 as of December 31, 2024 and 2023, respectively</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23,159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4,050</w:t>
            </w:r>
          </w:p>
        </w:tc>
      </w:tr>
      <w:tr>
        <w:trPr>
          <w:trHeight w:val="153"/>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Contract assets and unbilled revenue, net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26,645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11,780</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current assets</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7,476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2,452</w:t>
            </w:r>
          </w:p>
        </w:tc>
      </w:tr>
      <w:tr>
        <w:trPr>
          <w:trHeight w:val="134"/>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current assets</w:t>
            </w: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255,520</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113,542</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Restricted cash equivalents, non-current</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676</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13,775</w:t>
            </w: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Right-of-use assets</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4,692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5,210</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1,239</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1,515</w:t>
            </w: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101,704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174,943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 asset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Contract assets and unbilled revenue, non-current, net</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12,879</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16,492</w:t>
            </w: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non-current assets</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2,296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577</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assets</w:t>
            </w: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553,953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151,122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9"/>
        </w:trPr>
        <w:tc>
          <w:tcPr>
            <w:tcW w:w="8180" w:type="dxa"/>
            <w:vAlign w:val="bottom"/>
            <w:tcBorders>
              <w:bottom w:val="single" w:sz="8" w:color="CCEEFF"/>
            </w:tcBorders>
            <w:shd w:val="clear" w:color="auto" w:fill="CCEEFF"/>
          </w:tcPr>
          <w:p>
            <w:pPr>
              <w:ind w:left="264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 (DEFICIT)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5,559</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1,653</w:t>
            </w:r>
          </w:p>
        </w:tc>
      </w:tr>
      <w:tr>
        <w:trPr>
          <w:trHeight w:val="153"/>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Accrued liabilities</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26,291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13,884</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1,898</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2,637</w:t>
            </w:r>
          </w:p>
        </w:tc>
      </w:tr>
      <w:tr>
        <w:trPr>
          <w:trHeight w:val="153"/>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Finance lease liabilities</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121</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Income tax liability</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2,750</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1,618</w:t>
            </w:r>
          </w:p>
        </w:tc>
      </w:tr>
      <w:tr>
        <w:trPr>
          <w:trHeight w:val="154"/>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Deferred revenue</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23,876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4,310</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7,319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67,742</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24,223</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5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liabilities, net of current portion</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2,403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3,089</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revenue, net of current portion</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6,862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4,910</w:t>
            </w: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Long-term debt</w:t>
            </w:r>
          </w:p>
        </w:tc>
        <w:tc>
          <w:tcPr>
            <w:tcW w:w="24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84,312</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Contingent acquisition liabilities</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286,898</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 liability, net of current portion</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3,075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2,453</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4,320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3,967</w:t>
            </w:r>
          </w:p>
        </w:tc>
      </w:tr>
      <w:tr>
        <w:trPr>
          <w:trHeight w:val="134"/>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liabilities</w:t>
            </w: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371,300</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122,954</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3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w:t>
            </w:r>
          </w:p>
        </w:tc>
        <w:tc>
          <w:tcPr>
            <w:tcW w:w="24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r>
      <w:tr>
        <w:trPr>
          <w:trHeight w:val="203"/>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Stockholders’ equity (deficit):</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135"/>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Series A Preferred Stock, $0.0001 par value; 1,000,000 shares authorized; 0 and 475,005 shares issued and outstanding, aggregate liquidation preference of $— and $16,227 as of</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54"/>
        </w:trPr>
        <w:tc>
          <w:tcPr>
            <w:tcW w:w="81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December 31, 2024 and December 31, 2023, respectively</w:t>
            </w:r>
          </w:p>
        </w:tc>
        <w:tc>
          <w:tcPr>
            <w:tcW w:w="24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14,187</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3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Class A Common Stock, $0.0001 par value; 455,000,000 shares authorized; 361,096,457 and 216,943,349 shares issued and outstanding as of December 31, 2024 and 2023,</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56"/>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respectively</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w:t>
            </w:r>
          </w:p>
        </w:tc>
      </w:tr>
      <w:tr>
        <w:trPr>
          <w:trHeight w:val="167"/>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9"/>
              </w:rPr>
              <w:t>Class B Common Stock, $0.0001 par value; 44,000,000 shares authorized; 32,535,408 and 37,485,408 shares issued and outstanding as of December 31, 2024 and 2023, respectively</w:t>
            </w:r>
          </w:p>
        </w:tc>
        <w:tc>
          <w:tcPr>
            <w:tcW w:w="2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1,125,470</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606,135</w:t>
            </w:r>
          </w:p>
        </w:tc>
      </w:tr>
      <w:tr>
        <w:trPr>
          <w:trHeight w:val="153"/>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Accumulated deficit</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(943,060)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(592,379)</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199</w:t>
            </w:r>
          </w:p>
        </w:tc>
      </w:tr>
      <w:tr>
        <w:trPr>
          <w:trHeight w:val="134"/>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stockholders’ equity (deficit)</w:t>
            </w: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182,653</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28,168</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liabilities and stockholders’ equity (deficit)</w:t>
            </w: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553,953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151,122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5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7"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p>
      <w:pPr>
        <w:sectPr>
          <w:pgSz w:w="11900" w:h="16838" w:orient="portrait"/>
          <w:cols w:equalWidth="0" w:num="1">
            <w:col w:w="11200"/>
          </w:cols>
          <w:pgMar w:left="340" w:top="1157" w:right="359" w:bottom="1440" w:gutter="0" w:footer="0" w:header="0"/>
        </w:sect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711517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Cost of revenues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0" w:lineRule="exact"/>
        <w:rPr>
          <w:sz w:val="20"/>
          <w:szCs w:val="20"/>
          <w:color w:val="auto"/>
        </w:rPr>
      </w:pPr>
    </w:p>
    <w:p>
      <w:pPr>
        <w:ind w:left="180" w:right="3060"/>
        <w:spacing w:after="0" w:line="337" w:lineRule="auto"/>
        <w:rPr>
          <w:sz w:val="20"/>
          <w:szCs w:val="20"/>
          <w:color w:val="auto"/>
        </w:rPr>
      </w:pPr>
      <w:r>
        <w:rPr>
          <w:rFonts w:ascii="Times New Roman" w:cs="Times New Roman" w:eastAsia="Times New Roman" w:hAnsi="Times New Roman"/>
          <w:sz w:val="18"/>
          <w:szCs w:val="18"/>
          <w:color w:val="auto"/>
        </w:rPr>
        <w:t>Change in fair value of contingent acquisition liabilities Amortization of intangible assets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-48260</wp:posOffset>
            </wp:positionV>
            <wp:extent cx="711517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197485</wp:posOffset>
            </wp:positionV>
            <wp:extent cx="711517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34,543</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17,147</w:t>
            </w:r>
          </w:p>
        </w:tc>
      </w:tr>
      <w:tr>
        <w:trPr>
          <w:trHeight w:val="493"/>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w:t>
            </w:r>
          </w:p>
        </w:tc>
      </w:tr>
      <w:tr>
        <w:trPr>
          <w:trHeight w:val="257"/>
        </w:trPr>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r>
      <w:tr>
        <w:trPr>
          <w:trHeight w:val="257"/>
        </w:trPr>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12,713</w:t>
            </w:r>
          </w:p>
        </w:tc>
      </w:tr>
      <w:tr>
        <w:trPr>
          <w:trHeight w:val="257"/>
        </w:trPr>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r>
      <w:tr>
        <w:trPr>
          <w:trHeight w:val="257"/>
        </w:trPr>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220,946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37"/>
        </w:trPr>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291,615</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29,540</w:t>
            </w:r>
          </w:p>
        </w:tc>
      </w:tr>
      <w:tr>
        <w:trPr>
          <w:trHeight w:val="236"/>
        </w:trPr>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(257,072)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(12,393)</w:t>
            </w:r>
          </w:p>
        </w:tc>
      </w:tr>
      <w:tr>
        <w:trPr>
          <w:trHeight w:val="763"/>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r>
      <w:tr>
        <w:trPr>
          <w:trHeight w:val="254"/>
        </w:trPr>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r>
    </w:tbl>
    <w:p>
      <w:pPr>
        <w:spacing w:after="0" w:line="1" w:lineRule="exact"/>
        <w:rPr>
          <w:sz w:val="20"/>
          <w:szCs w:val="20"/>
          <w:color w:val="auto"/>
        </w:rPr>
      </w:pPr>
    </w:p>
    <w:p>
      <w:pPr>
        <w:sectPr>
          <w:pgSz w:w="11900" w:h="16838" w:orient="portrait"/>
          <w:cols w:equalWidth="0" w:num="2">
            <w:col w:w="7260" w:space="720"/>
            <w:col w:w="3220"/>
          </w:cols>
          <w:pgMar w:left="340" w:top="1157" w:right="35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7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r>
      <w:tr>
        <w:trPr>
          <w:trHeight w:val="23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(16,396)</w:t>
            </w:r>
          </w:p>
        </w:tc>
      </w:tr>
      <w:tr>
        <w:trPr>
          <w:trHeight w:val="25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r>
      <w:tr>
        <w:trPr>
          <w:trHeight w:val="23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(258,599)</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w:t>
            </w:r>
          </w:p>
        </w:tc>
      </w:tr>
      <w:tr>
        <w:trPr>
          <w:trHeight w:val="230"/>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common shareholders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(258,599)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(18,571)</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7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investments</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(258,656)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(18,569)</w:t>
            </w:r>
          </w:p>
        </w:tc>
      </w:tr>
      <w:tr>
        <w:trPr>
          <w:trHeight w:val="270"/>
        </w:trPr>
        <w:tc>
          <w:tcPr>
            <w:tcW w:w="7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5"/>
        </w:trPr>
        <w:tc>
          <w:tcPr>
            <w:tcW w:w="7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375,102,329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248,250,552</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40" w:top="1157" w:right="35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84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13335</wp:posOffset>
            </wp:positionV>
            <wp:extent cx="29489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9"/>
        </w:trPr>
        <w:tc>
          <w:tcPr>
            <w:tcW w:w="6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31,129</w:t>
            </w: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20,367</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76,392</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30,443</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426,046</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114,481</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136,801</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(341,353)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(105,672)</w:t>
            </w:r>
          </w:p>
        </w:tc>
      </w:tr>
      <w:tr>
        <w:trPr>
          <w:trHeight w:val="256"/>
        </w:trPr>
        <w:tc>
          <w:tcPr>
            <w:tcW w:w="6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(359,928)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(113,824)</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(350,681)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r>
      <w:tr>
        <w:trPr>
          <w:trHeight w:val="257"/>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common shareholders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(350,675)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8"/>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338,462,574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229,264,904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157,317,695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5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85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13335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0"/>
        </w:trPr>
        <w:tc>
          <w:tcPr>
            <w:tcW w:w="6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(350,681)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r>
      <w:tr>
        <w:trPr>
          <w:trHeight w:val="25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r>
      <w:tr>
        <w:trPr>
          <w:trHeight w:val="25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28,792</w:t>
            </w:r>
          </w:p>
        </w:tc>
      </w:tr>
      <w:tr>
        <w:trPr>
          <w:trHeight w:val="263"/>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5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63"/>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r>
      <w:tr>
        <w:trPr>
          <w:trHeight w:val="25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amortization</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63"/>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gain/loss from remeasurement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63"/>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6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50"/>
        </w:trPr>
        <w:tc>
          <w:tcPr>
            <w:tcW w:w="6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63"/>
        </w:trPr>
        <w:tc>
          <w:tcPr>
            <w:tcW w:w="6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50"/>
        </w:trPr>
        <w:tc>
          <w:tcPr>
            <w:tcW w:w="6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w:t>
            </w:r>
          </w:p>
        </w:tc>
      </w:tr>
      <w:tr>
        <w:trPr>
          <w:trHeight w:val="263"/>
        </w:trPr>
        <w:tc>
          <w:tcPr>
            <w:tcW w:w="6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50"/>
        </w:trPr>
        <w:tc>
          <w:tcPr>
            <w:tcW w:w="6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63"/>
        </w:trPr>
        <w:tc>
          <w:tcPr>
            <w:tcW w:w="6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50"/>
        </w:trPr>
        <w:tc>
          <w:tcPr>
            <w:tcW w:w="6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r>
      <w:tr>
        <w:trPr>
          <w:trHeight w:val="250"/>
        </w:trPr>
        <w:tc>
          <w:tcPr>
            <w:tcW w:w="6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r>
      <w:tr>
        <w:trPr>
          <w:trHeight w:val="257"/>
        </w:trPr>
        <w:tc>
          <w:tcPr>
            <w:tcW w:w="6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r>
      <w:tr>
        <w:trPr>
          <w:trHeight w:val="250"/>
        </w:trPr>
        <w:tc>
          <w:tcPr>
            <w:tcW w:w="68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(108,878)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(68,265)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(94,019)</w:t>
            </w:r>
          </w:p>
        </w:tc>
      </w:tr>
      <w:tr>
        <w:trPr>
          <w:trHeight w:val="95"/>
        </w:trPr>
        <w:tc>
          <w:tcPr>
            <w:tcW w:w="68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5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related to acquisitions, net of cash acquired</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8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56"/>
        </w:trPr>
        <w:tc>
          <w:tcPr>
            <w:tcW w:w="6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Series A Preferred Stock, net of issuance costs</w:t>
            </w: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Class A common stock under the ELOC program, net of issuance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8"/>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Class A common stock under the Sales Agreement, Equity</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1"/>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Agreement and Execute Equity Distribution Agreement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157" w:right="3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157"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85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13335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6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warrants exercised</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financing costs associated with the Sales Agreement, Equity Distribution</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8"/>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 and Execute Equity Distribution Agreement</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debt, net of issuance costs</w:t>
            </w: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w:t>
            </w:r>
          </w:p>
        </w:tc>
      </w:tr>
      <w:tr>
        <w:trPr>
          <w:trHeight w:val="25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Business Combination and PIPE, net of transaction costs</w:t>
            </w: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90,689</w:t>
            </w:r>
          </w:p>
        </w:tc>
      </w:tr>
      <w:tr>
        <w:trPr>
          <w:trHeight w:val="263"/>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r>
      <w:tr>
        <w:trPr>
          <w:trHeight w:val="25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to settle contingent holdback liabilities from SYNQ3 acquisition</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50"/>
        </w:trPr>
        <w:tc>
          <w:tcPr>
            <w:tcW w:w="6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82,001</w:t>
            </w:r>
          </w:p>
        </w:tc>
      </w:tr>
      <w:tr>
        <w:trPr>
          <w:trHeight w:val="277"/>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 equivalents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w:t>
            </w:r>
          </w:p>
        </w:tc>
      </w:tr>
      <w:tr>
        <w:trPr>
          <w:trHeight w:val="25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equivalents, beginning of year</w:t>
            </w: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22,822</w:t>
            </w: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equivalents, end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198,916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w:t>
            </w:r>
          </w:p>
        </w:tc>
      </w:tr>
      <w:tr>
        <w:trPr>
          <w:trHeight w:val="277"/>
        </w:trPr>
        <w:tc>
          <w:tcPr>
            <w:tcW w:w="6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to amounts on the consolidated balance sheets: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w:t>
            </w:r>
          </w:p>
        </w:tc>
      </w:tr>
      <w:tr>
        <w:trPr>
          <w:trHeight w:val="25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restricted cash equivalents</w:t>
            </w: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portion of restricted cash equivalents</w:t>
            </w: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05"/>
        </w:trPr>
        <w:tc>
          <w:tcPr>
            <w:tcW w:w="6840" w:type="dxa"/>
            <w:vAlign w:val="bottom"/>
          </w:tcPr>
          <w:p>
            <w:pPr>
              <w:ind w:left="520"/>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equivalents shown in the consolidated</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95"/>
        </w:trPr>
        <w:tc>
          <w:tcPr>
            <w:tcW w:w="6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statements of cash flows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198,916</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109,035</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9,475</w:t>
            </w:r>
          </w:p>
        </w:tc>
      </w:tr>
      <w:tr>
        <w:trPr>
          <w:trHeight w:val="27"/>
        </w:trPr>
        <w:tc>
          <w:tcPr>
            <w:tcW w:w="6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5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85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13335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Conversion of Series A Preferred Stock to Class A common stock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discount through issuance of common stock warrants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840" w:type="dxa"/>
            <w:vAlign w:val="bottom"/>
            <w:shd w:val="clear" w:color="auto" w:fill="CCEEFF"/>
          </w:tcPr>
          <w:p>
            <w:pPr>
              <w:ind w:left="360"/>
              <w:spacing w:after="0" w:line="178" w:lineRule="exact"/>
              <w:rPr>
                <w:sz w:val="20"/>
                <w:szCs w:val="20"/>
                <w:color w:val="auto"/>
              </w:rPr>
            </w:pPr>
            <w:r>
              <w:rPr>
                <w:rFonts w:ascii="Times New Roman" w:cs="Times New Roman" w:eastAsia="Times New Roman" w:hAnsi="Times New Roman"/>
                <w:sz w:val="18"/>
                <w:szCs w:val="18"/>
                <w:color w:val="auto"/>
              </w:rPr>
              <w:t>Issuance of Class A Common Stock to settle commitment shares related to the ELOC</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program</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Class A Common Stock to settle obligations under Amelia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840" w:type="dxa"/>
            <w:vAlign w:val="bottom"/>
            <w:shd w:val="clear" w:color="auto" w:fill="CCEEFF"/>
          </w:tcPr>
          <w:p>
            <w:pPr>
              <w:ind w:left="360"/>
              <w:spacing w:after="0" w:line="178" w:lineRule="exact"/>
              <w:rPr>
                <w:sz w:val="20"/>
                <w:szCs w:val="20"/>
                <w:color w:val="auto"/>
              </w:rPr>
            </w:pPr>
            <w:r>
              <w:rPr>
                <w:rFonts w:ascii="Times New Roman" w:cs="Times New Roman" w:eastAsia="Times New Roman" w:hAnsi="Times New Roman"/>
                <w:sz w:val="18"/>
                <w:szCs w:val="18"/>
                <w:color w:val="auto"/>
              </w:rPr>
              <w:t>Issuance of Class A Common Stock to settle contingent holdback consideration of</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SYNQ3 acquisition</w:t>
            </w:r>
          </w:p>
        </w:tc>
        <w:tc>
          <w:tcPr>
            <w:tcW w:w="18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360"/>
              <w:spacing w:after="0" w:line="198" w:lineRule="exact"/>
              <w:rPr>
                <w:sz w:val="20"/>
                <w:szCs w:val="20"/>
                <w:color w:val="auto"/>
              </w:rPr>
            </w:pPr>
            <w:r>
              <w:rPr>
                <w:rFonts w:ascii="Times New Roman" w:cs="Times New Roman" w:eastAsia="Times New Roman" w:hAnsi="Times New Roman"/>
                <w:sz w:val="18"/>
                <w:szCs w:val="18"/>
                <w:color w:val="auto"/>
              </w:rPr>
              <w:t>Conversion of redeemable convertible preferred stock to common stock pursuant to</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840" w:type="dxa"/>
            <w:vAlign w:val="bottom"/>
            <w:vMerge w:val="continue"/>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0" w:type="dxa"/>
            <w:vAlign w:val="bottom"/>
          </w:tcPr>
          <w:p>
            <w:pPr>
              <w:spacing w:after="0"/>
              <w:rPr>
                <w:sz w:val="1"/>
                <w:szCs w:val="1"/>
                <w:color w:val="auto"/>
              </w:rPr>
            </w:pPr>
          </w:p>
        </w:tc>
      </w:tr>
      <w:tr>
        <w:trPr>
          <w:trHeight w:val="221"/>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Combination</w:t>
            </w:r>
          </w:p>
        </w:tc>
        <w:tc>
          <w:tcPr>
            <w:tcW w:w="18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Conversion of convertible note into common stock pursuant to Business Combination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 reclassified to additional paid-in capital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360"/>
              <w:spacing w:after="0" w:line="198" w:lineRule="exact"/>
              <w:rPr>
                <w:sz w:val="20"/>
                <w:szCs w:val="20"/>
                <w:color w:val="auto"/>
              </w:rPr>
            </w:pPr>
            <w:r>
              <w:rPr>
                <w:rFonts w:ascii="Times New Roman" w:cs="Times New Roman" w:eastAsia="Times New Roman" w:hAnsi="Times New Roman"/>
                <w:sz w:val="18"/>
                <w:szCs w:val="18"/>
                <w:color w:val="auto"/>
                <w:w w:val="99"/>
              </w:rPr>
              <w:t>Fair value of Class A common stock and deferred equity consideration issued for SYNQ3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840" w:type="dxa"/>
            <w:vAlign w:val="bottom"/>
            <w:vMerge w:val="continue"/>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10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w:t>
            </w:r>
          </w:p>
        </w:tc>
        <w:tc>
          <w:tcPr>
            <w:tcW w:w="1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contingent earnout consideration under SYNQ3 and Amelia acquisitions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contingent holdback consideration under SYNQ3 acquisition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deferred cash consideration under other acquisition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6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2025-02-27T16:07:43Z</dcterms:created>
  <dcterms:modified xsi:type="dcterms:W3CDTF">2025-02-27T16:07:43Z</dcterms:modified>
</cp:coreProperties>
</file>