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Ball Eric R.</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SOUNDHOUND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SOUN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2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380" w:type="dxa"/>
            <w:vAlign w:val="bottom"/>
          </w:tcPr>
          <w:p>
            <w:pPr>
              <w:spacing w:after="0"/>
              <w:rPr>
                <w:sz w:val="15"/>
                <w:szCs w:val="15"/>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5"/>
                <w:szCs w:val="15"/>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SOUNDHOUND 5400 BETSY ROSS DRIVE</w:t>
            </w: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05/09/2022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gridSpan w:val="5"/>
          </w:tcPr>
          <w:p>
            <w:pPr>
              <w:spacing w:after="0"/>
              <w:rPr>
                <w:sz w:val="12"/>
                <w:szCs w:val="12"/>
                <w:color w:val="auto"/>
              </w:rPr>
            </w:pPr>
          </w:p>
        </w:tc>
        <w:tc>
          <w:tcPr>
            <w:tcW w:w="1120" w:type="dxa"/>
            <w:vAlign w:val="bottom"/>
            <w:tcBorders>
              <w:bottom w:val="single" w:sz="8" w:color="2C2C2C"/>
            </w:tcBorders>
            <w:gridSpan w:val="2"/>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gridSpan w:val="2"/>
          </w:tcPr>
          <w:p>
            <w:pPr>
              <w:spacing w:after="0"/>
              <w:rPr>
                <w:sz w:val="12"/>
                <w:szCs w:val="12"/>
                <w:color w:val="auto"/>
              </w:rPr>
            </w:pPr>
          </w:p>
        </w:tc>
        <w:tc>
          <w:tcPr>
            <w:tcW w:w="292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4"/>
                <w:szCs w:val="4"/>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7"/>
            <w:vMerge w:val="continue"/>
          </w:tcPr>
          <w:p>
            <w:pPr>
              <w:spacing w:after="0"/>
              <w:rPr>
                <w:sz w:val="10"/>
                <w:szCs w:val="10"/>
                <w:color w:val="auto"/>
              </w:rPr>
            </w:pPr>
          </w:p>
        </w:tc>
        <w:tc>
          <w:tcPr>
            <w:tcW w:w="320" w:type="dxa"/>
            <w:vAlign w:val="bottom"/>
          </w:tcPr>
          <w:p>
            <w:pPr>
              <w:spacing w:after="0"/>
              <w:rPr>
                <w:sz w:val="10"/>
                <w:szCs w:val="10"/>
                <w:color w:val="auto"/>
              </w:rPr>
            </w:pPr>
          </w:p>
        </w:tc>
        <w:tc>
          <w:tcPr>
            <w:tcW w:w="34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380" w:type="dxa"/>
            <w:vAlign w:val="bottom"/>
          </w:tcPr>
          <w:p>
            <w:pPr>
              <w:spacing w:after="0"/>
              <w:rPr>
                <w:sz w:val="18"/>
                <w:szCs w:val="18"/>
                <w:color w:val="auto"/>
              </w:rPr>
            </w:pP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10"/>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3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line="146"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05/09/2022</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560,250</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560,250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pro rata distribution of the shares of Class A common stock of the registrant held by Archimedes Tech SPAC Sponsors LLC (the "Sponsor") to its members or their permitted transferees.</w:t>
      </w:r>
    </w:p>
    <w:p>
      <w:pPr>
        <w:spacing w:after="0" w:line="50"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the Ball Axline Living Trust (dated July 22, 2014) (the "Trust"). The Reporting Person is a joint trustee of the Trust, and as such may be deemed to have beneficial ownership of the securities held by the Trust.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05/11/2022</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Ball Eric R.</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Ball Eric R. - CIK # 0001588852</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885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2022-05-11T16:07:12Z</dcterms:created>
  <dcterms:modified xsi:type="dcterms:W3CDTF">2022-05-11T16:07:12Z</dcterms:modified>
</cp:coreProperties>
</file>