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333-267501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31, 2023)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14,301,448 Shares of Class A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173990</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March 31, 2023 (the “Prospectus”), which forms a part of our Post-Effective Amendment No. 1 to Registration Statement on Form S-1 (Registration No. 333-267501) filed on March 29, 2023 and declared effective on March 31, 2023. Capitalized terms used in this prospectus supplement and not otherwise defined herein have the meanings specified in the Prospectus.</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Current Report on Form 8-K filed with the SEC on April 17, 2023, which is set forth below.</w:t>
      </w:r>
    </w:p>
    <w:p>
      <w:pPr>
        <w:spacing w:after="0" w:line="162"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is listed on The Nasdaq Capital Market (“Nasdaq”) under the symbol “SOUN.” The last reported closing price for our Class A Common Stock on Nasdaq on April 14, 2023 was $2.64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131445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15 of the Prospectus for a discussion of information that should be considered in connection with an investment in our securities.</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disclosures in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129540</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0"/>
          <w:szCs w:val="20"/>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SOUN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1"/>
        </w:trPr>
        <w:tc>
          <w:tcPr>
            <w:tcW w:w="3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2023 (the “Closing Date”), SoundHound AI, Inc., a Delaware corporation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 million (the “Term Loan”), the entirety of which was funded on the Closing Date. The Credit Agreement also permits the Company to request additional commitments of up to $25 million in the aggregate, with funding of such commitments in the sole discretion of the Lenders, under certain circumstances and under the same terms as the Term Loan. On the Closing Date, the Company also entered into that certain Guarantee and Collateral Agreement, dated as of April 14, 2023, by and among the Company, the other grantors named therein and the Agent (the “Guarantee and Collateral Agreement”). In addition, on the Closing Date, a collateral protection insurance policy was issued to the Lenders and a cash premium was paid on the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Closing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use the proceeds from the Term Loan to (i) repay outstanding amounts equal to approximately $30 million under the Company’s existing loan facilities, (ii) fund an escrow account on the Closing Date in the name of the Agent for an amount equal to the first four interest payments,</w:t>
      </w:r>
    </w:p>
    <w:p>
      <w:pPr>
        <w:ind w:right="20" w:firstLine="8"/>
        <w:spacing w:after="0" w:line="260"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secured by substantially all of the assets of the Company and its subsidiaries other than the assets of Excluded Subsidiaries (as defined in the Credit Agreement)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prepay amounts under the Term Loan, subject to certain costs and conditions specified in the Credit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on the Closing Date the Company also issued a warrant to purchase up to 3,301,536 shares of the Company’s Class A common stock to the Agent (the “Warrant”). The Warrant has a per share exercise price of $2.59 and may be exercised, including on a cashless basis, by the holder at any time prior to the 10-year anniversary of the issue date. The Warrant will be automatically cashless exercised immediately prior to a change in control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Credit Agreement, the Guarantee and Collateral Agreement and the Warrant does not purport to be complete and is qualified in their entirety by reference to the full text of the Credit Agreement, the Guarantee and Collateral Agreement and the Warrant, copies of which will be filed as exhibits to the Company’s Quarterly Report on Form 10-Q for the three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the Company used a portion of the proceeds to prepay in full all outstanding obligations under, and terminated, the (i) Loan and Security Agreement, dated as of June 14, 2021, by and among Ocean II PLO LLC, Structural Capital Investments III, LP, and SoundHound, Inc., a subsidiary of the Company (the “Structural Facility”), and (ii) Loan and Security Agreement, dated as of March 31, 2021, by and among SoundHound, Inc., Silicon Valley Bank, and SVB Innovation Credit Fund VIII, L.P., (the “SVB Facility”, together with the Structural Facility, the “Existing Facilities”). For a description of the Existing Facilities, refer to Note 9 to the Company’s audited consolidated financial statements included in its Annual Report on Form 10-K for the year ended December 31, 2022. In connection with the Structural Facility prepayment, the Company paid a total of approximately $11.7 million, which consisted of (i) the remaining principal amount outstanding of approximately $11.0 million, (ii) a prepayment premium of approximately $0.2 million, (iii) a final payment fee of approximately $0.5 million, and (iv) the remainder for transaction expenses. In connection with the SVB Facility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 There were no material relationships between the Company or its affiliates and the other parties to the Existing Facilities other than in respect of such agreement.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related to the Senior Secured Term Loan Credit Agreement described under Item 1.01 above is hereby incorporated by reference under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relating to the Warrant is incorporated by reference in this Item 3.02.</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and sold the Warrant in reliance on the exemption from the registration requirements of the Securities Act by virtue of Section 4(a)(2) thereof. In connection with its execution of the Warrant, the Agent represented to the Company that it is an “accredited investor” as defined in Regulation D under the Securities Act and that the Warrant, and the shares of the Company’s Class A common stock underlying the Warrant, will be acquired solely for its own account and for investment purposes and not with a view to future sale or distribution. The issuance and sale of the Warrant, and the shares of the Company’s Class A common stock underlying the Warrant, have not been registered under the Securities Act or the securities laws of any other jurisdiction, and such securities may not be offered or sold in the United States absent registration or an applicable exemption from registration requirements. This Current Report on Form 8-K does not constitute an offer to sell, or a solicitation of an offer to buy, any security and shall not constitute an offer, solicitation or sale in any jurisdiction in which such offering would be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the Rights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imposes restrictions on the Company’s ability to declare and pay dividends or make other distributions to holders of the Company’s capital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April 17, 2023</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2023-04-17T07:51:14Z</dcterms:created>
  <dcterms:modified xsi:type="dcterms:W3CDTF">2023-04-17T07:51:14Z</dcterms:modified>
</cp:coreProperties>
</file>