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Times New Roman" w:cs="Times New Roman" w:eastAsia="Times New Roman" w:hAnsi="Times New Roman"/>
          <w:sz w:val="18"/>
          <w:szCs w:val="18"/>
          <w:b w:val="1"/>
          <w:bCs w:val="1"/>
          <w:color w:val="auto"/>
        </w:rPr>
        <w:t>Filed pursuant to Rule 424(b)(3)</w:t>
      </w:r>
    </w:p>
    <w:p>
      <w:pPr>
        <w:spacing w:after="0" w:line="31"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SEC File No. 333-267501</w:t>
      </w:r>
    </w:p>
    <w:p>
      <w:pPr>
        <w:spacing w:after="0" w:line="203"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PROSPECTUS SUPPLEMENT NO. 1</w:t>
      </w:r>
    </w:p>
    <w:p>
      <w:pPr>
        <w:spacing w:after="0" w:line="3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(to Prospectus dated March 31, 2023)</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14,301,448 Shares of Class A Common Stock</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SOUNDHOUND AI,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22225</wp:posOffset>
            </wp:positionH>
            <wp:positionV relativeFrom="paragraph">
              <wp:posOffset>173990</wp:posOffset>
            </wp:positionV>
            <wp:extent cx="709803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4"/>
          <w:szCs w:val="24"/>
          <w:color w:val="auto"/>
        </w:rPr>
      </w:pPr>
    </w:p>
    <w:p>
      <w:pPr>
        <w:spacing w:after="0" w:line="306" w:lineRule="exact"/>
        <w:rPr>
          <w:sz w:val="24"/>
          <w:szCs w:val="24"/>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This prospectus supplement updates, amends and supplements the prospectus dated March 31, 2023 (the “Prospectus”), which forms a part of our Post-Effective Amendment No. 1 to Registration Statement on Form S-1 (Registration No. 333-267501) filed on March 29, 2023 and declared effective on March 31, 2023. Capitalized terms used in this prospectus supplement and not otherwise defined herein have the meanings specified in the Prospectus.</w:t>
      </w:r>
    </w:p>
    <w:p>
      <w:pPr>
        <w:spacing w:after="0" w:line="176" w:lineRule="exact"/>
        <w:rPr>
          <w:sz w:val="24"/>
          <w:szCs w:val="24"/>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This prospectus supplement is being filed to update, amend and supplement the information included in the Prospectus with information contained in our Current Report on Form 8-K filed with the SEC on April 17, 2023, which is set forth below.</w:t>
      </w:r>
    </w:p>
    <w:p>
      <w:pPr>
        <w:spacing w:after="0" w:line="162" w:lineRule="exact"/>
        <w:rPr>
          <w:sz w:val="24"/>
          <w:szCs w:val="24"/>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This prospectus supplement is not complete without the Prospectus. This prospectus supplement should be read in conjunction with the Prospectus, which is to be delivered with this prospectus supplement, and is qualified by reference thereto, except to the extent that the information in this prospectus supplement updates or supersedes the information contained in the Prospectus. Please keep this prospectus supplement with your Prospectus for future reference.</w:t>
      </w:r>
    </w:p>
    <w:p>
      <w:pPr>
        <w:spacing w:after="0" w:line="180" w:lineRule="exact"/>
        <w:rPr>
          <w:sz w:val="24"/>
          <w:szCs w:val="24"/>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Class A common stock, par value $0.0001 per share (“Class A Common Stock”), is listed on The Nasdaq Capital Market (“Nasdaq”) under the symbol “SOUN.” The last reported closing price for our Class A Common Stock on Nasdaq on April 14, 2023 was $2.64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22225</wp:posOffset>
            </wp:positionH>
            <wp:positionV relativeFrom="paragraph">
              <wp:posOffset>131445</wp:posOffset>
            </wp:positionV>
            <wp:extent cx="709803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4"/>
          <w:szCs w:val="24"/>
          <w:color w:val="auto"/>
        </w:rPr>
      </w:pPr>
    </w:p>
    <w:p>
      <w:pPr>
        <w:spacing w:after="0" w:line="235" w:lineRule="exact"/>
        <w:rPr>
          <w:sz w:val="24"/>
          <w:szCs w:val="24"/>
          <w:color w:val="auto"/>
        </w:rPr>
      </w:pPr>
    </w:p>
    <w:p>
      <w:pPr>
        <w:jc w:val="both"/>
        <w:ind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Investing in our securities involves a high degree of risk. See “</w:t>
      </w:r>
      <w:r>
        <w:rPr>
          <w:rFonts w:ascii="Times New Roman" w:cs="Times New Roman" w:eastAsia="Times New Roman" w:hAnsi="Times New Roman"/>
          <w:sz w:val="18"/>
          <w:szCs w:val="18"/>
          <w:b w:val="1"/>
          <w:bCs w:val="1"/>
          <w:u w:val="single" w:color="auto"/>
          <w:color w:val="auto"/>
        </w:rPr>
        <w:t>Risk Factors</w:t>
      </w:r>
      <w:r>
        <w:rPr>
          <w:rFonts w:ascii="Times New Roman" w:cs="Times New Roman" w:eastAsia="Times New Roman" w:hAnsi="Times New Roman"/>
          <w:sz w:val="18"/>
          <w:szCs w:val="18"/>
          <w:b w:val="1"/>
          <w:bCs w:val="1"/>
          <w:color w:val="auto"/>
        </w:rPr>
        <w:t>” beginning on page 15 of the Prospectus for a discussion of information that should be considered in connection with an investment in our securities.</w:t>
      </w:r>
    </w:p>
    <w:p>
      <w:pPr>
        <w:spacing w:after="0" w:line="155" w:lineRule="exact"/>
        <w:rPr>
          <w:sz w:val="24"/>
          <w:szCs w:val="24"/>
          <w:color w:val="auto"/>
        </w:rPr>
      </w:pPr>
    </w:p>
    <w:p>
      <w:pPr>
        <w:jc w:val="both"/>
        <w:ind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Neither the Securities and Exchange Commission nor any state securities commission has approved or disapproved of these securities or passed upon the accuracy or adequacy of the disclosures in the prospectus. Any representation to the contrary is a criminal offense.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22225</wp:posOffset>
            </wp:positionH>
            <wp:positionV relativeFrom="paragraph">
              <wp:posOffset>129540</wp:posOffset>
            </wp:positionV>
            <wp:extent cx="709803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4"/>
          <w:szCs w:val="24"/>
          <w:color w:val="auto"/>
        </w:rPr>
      </w:pPr>
    </w:p>
    <w:p>
      <w:pPr>
        <w:spacing w:after="0" w:line="2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date of this prospectus supplement is April 17,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448310</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586105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620395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142875</wp:posOffset>
            </wp:positionV>
            <wp:extent cx="178308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8-K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156845</wp:posOffset>
            </wp:positionV>
            <wp:extent cx="178308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Securities Exchange Act of 1934</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April 14,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156845</wp:posOffset>
            </wp:positionV>
            <wp:extent cx="178308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SOUNDHOUND AI,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142875</wp:posOffset>
            </wp:positionV>
            <wp:extent cx="178308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0"/>
          <w:szCs w:val="20"/>
          <w:color w:val="auto"/>
        </w:rPr>
      </w:pP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4420" w:type="dxa"/>
            <w:vAlign w:val="bottom"/>
            <w:gridSpan w:val="3"/>
          </w:tcPr>
          <w:p>
            <w:pPr>
              <w:jc w:val="center"/>
              <w:ind w:right="800"/>
              <w:spacing w:after="0"/>
              <w:rPr>
                <w:sz w:val="20"/>
                <w:szCs w:val="20"/>
                <w:color w:val="auto"/>
              </w:rPr>
            </w:pPr>
            <w:r>
              <w:rPr>
                <w:rFonts w:ascii="Times New Roman" w:cs="Times New Roman" w:eastAsia="Times New Roman" w:hAnsi="Times New Roman"/>
                <w:sz w:val="18"/>
                <w:szCs w:val="18"/>
                <w:b w:val="1"/>
                <w:bCs w:val="1"/>
                <w:color w:val="auto"/>
              </w:rPr>
              <w:t>Delaware</w:t>
            </w:r>
          </w:p>
        </w:tc>
        <w:tc>
          <w:tcPr>
            <w:tcW w:w="3020" w:type="dxa"/>
            <w:vAlign w:val="bottom"/>
            <w:gridSpan w:val="3"/>
          </w:tcPr>
          <w:p>
            <w:pPr>
              <w:jc w:val="right"/>
              <w:ind w:right="1420"/>
              <w:spacing w:after="0"/>
              <w:rPr>
                <w:sz w:val="20"/>
                <w:szCs w:val="20"/>
                <w:color w:val="auto"/>
              </w:rPr>
            </w:pPr>
            <w:r>
              <w:rPr>
                <w:rFonts w:ascii="Times New Roman" w:cs="Times New Roman" w:eastAsia="Times New Roman" w:hAnsi="Times New Roman"/>
                <w:sz w:val="18"/>
                <w:szCs w:val="18"/>
                <w:b w:val="1"/>
                <w:bCs w:val="1"/>
                <w:color w:val="auto"/>
              </w:rPr>
              <w:t>001-40193</w:t>
            </w:r>
          </w:p>
        </w:tc>
        <w:tc>
          <w:tcPr>
            <w:tcW w:w="200" w:type="dxa"/>
            <w:vAlign w:val="bottom"/>
          </w:tcPr>
          <w:p>
            <w:pPr>
              <w:spacing w:after="0"/>
              <w:rPr>
                <w:sz w:val="21"/>
                <w:szCs w:val="21"/>
                <w:color w:val="auto"/>
              </w:rPr>
            </w:pP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85-1286799</w:t>
            </w:r>
          </w:p>
        </w:tc>
      </w:tr>
      <w:tr>
        <w:trPr>
          <w:trHeight w:val="198"/>
        </w:trPr>
        <w:tc>
          <w:tcPr>
            <w:tcW w:w="362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(State or other jurisdiction</w:t>
            </w:r>
          </w:p>
        </w:tc>
        <w:tc>
          <w:tcPr>
            <w:tcW w:w="220" w:type="dxa"/>
            <w:vAlign w:val="bottom"/>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3020" w:type="dxa"/>
            <w:vAlign w:val="bottom"/>
            <w:tcBorders>
              <w:top w:val="single" w:sz="8" w:color="auto"/>
            </w:tcBorders>
            <w:gridSpan w:val="3"/>
          </w:tcPr>
          <w:p>
            <w:pPr>
              <w:jc w:val="center"/>
              <w:ind w:right="580"/>
              <w:spacing w:after="0" w:line="198" w:lineRule="exact"/>
              <w:rPr>
                <w:sz w:val="20"/>
                <w:szCs w:val="20"/>
                <w:color w:val="auto"/>
              </w:rPr>
            </w:pPr>
            <w:r>
              <w:rPr>
                <w:rFonts w:ascii="Times New Roman" w:cs="Times New Roman" w:eastAsia="Times New Roman" w:hAnsi="Times New Roman"/>
                <w:sz w:val="18"/>
                <w:szCs w:val="18"/>
                <w:color w:val="auto"/>
              </w:rPr>
              <w:t>(Commission File Number)</w:t>
            </w:r>
          </w:p>
        </w:tc>
        <w:tc>
          <w:tcPr>
            <w:tcW w:w="200" w:type="dxa"/>
            <w:vAlign w:val="bottom"/>
          </w:tcPr>
          <w:p>
            <w:pPr>
              <w:spacing w:after="0"/>
              <w:rPr>
                <w:sz w:val="17"/>
                <w:szCs w:val="17"/>
                <w:color w:val="auto"/>
              </w:rPr>
            </w:pPr>
          </w:p>
        </w:tc>
        <w:tc>
          <w:tcPr>
            <w:tcW w:w="360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4420" w:type="dxa"/>
            <w:vAlign w:val="bottom"/>
            <w:gridSpan w:val="3"/>
          </w:tcPr>
          <w:p>
            <w:pPr>
              <w:jc w:val="center"/>
              <w:ind w:right="800"/>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Identification No.)</w:t>
            </w:r>
          </w:p>
        </w:tc>
      </w:tr>
      <w:tr>
        <w:trPr>
          <w:trHeight w:val="410"/>
        </w:trPr>
        <w:tc>
          <w:tcPr>
            <w:tcW w:w="4420" w:type="dxa"/>
            <w:vAlign w:val="bottom"/>
            <w:gridSpan w:val="3"/>
          </w:tcPr>
          <w:p>
            <w:pPr>
              <w:jc w:val="center"/>
              <w:ind w:left="1030"/>
              <w:spacing w:after="0"/>
              <w:rPr>
                <w:sz w:val="20"/>
                <w:szCs w:val="20"/>
                <w:color w:val="auto"/>
              </w:rPr>
            </w:pPr>
            <w:r>
              <w:rPr>
                <w:rFonts w:ascii="Times New Roman" w:cs="Times New Roman" w:eastAsia="Times New Roman" w:hAnsi="Times New Roman"/>
                <w:sz w:val="18"/>
                <w:szCs w:val="18"/>
                <w:b w:val="1"/>
                <w:bCs w:val="1"/>
                <w:color w:val="auto"/>
                <w:w w:val="99"/>
              </w:rPr>
              <w:t>5400 Betsy Ross Drive</w:t>
            </w:r>
          </w:p>
        </w:tc>
        <w:tc>
          <w:tcPr>
            <w:tcW w:w="1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0" w:type="dxa"/>
            <w:vAlign w:val="bottom"/>
          </w:tcPr>
          <w:p>
            <w:pPr>
              <w:spacing w:after="0"/>
              <w:rPr>
                <w:sz w:val="24"/>
                <w:szCs w:val="24"/>
                <w:color w:val="auto"/>
              </w:rPr>
            </w:pPr>
          </w:p>
        </w:tc>
      </w:tr>
      <w:tr>
        <w:trPr>
          <w:trHeight w:val="245"/>
        </w:trPr>
        <w:tc>
          <w:tcPr>
            <w:tcW w:w="4420" w:type="dxa"/>
            <w:vAlign w:val="bottom"/>
            <w:tcBorders>
              <w:bottom w:val="single" w:sz="8" w:color="auto"/>
            </w:tcBorders>
            <w:gridSpan w:val="3"/>
          </w:tcPr>
          <w:p>
            <w:pPr>
              <w:jc w:val="center"/>
              <w:ind w:left="1010"/>
              <w:spacing w:after="0"/>
              <w:rPr>
                <w:sz w:val="20"/>
                <w:szCs w:val="20"/>
                <w:color w:val="auto"/>
              </w:rPr>
            </w:pPr>
            <w:r>
              <w:rPr>
                <w:rFonts w:ascii="Times New Roman" w:cs="Times New Roman" w:eastAsia="Times New Roman" w:hAnsi="Times New Roman"/>
                <w:sz w:val="18"/>
                <w:szCs w:val="18"/>
                <w:b w:val="1"/>
                <w:bCs w:val="1"/>
                <w:color w:val="auto"/>
              </w:rPr>
              <w:t>Santa Clara, CA</w:t>
            </w:r>
          </w:p>
        </w:tc>
        <w:tc>
          <w:tcPr>
            <w:tcW w:w="1100" w:type="dxa"/>
            <w:vAlign w:val="bottom"/>
            <w:tcBorders>
              <w:bottom w:val="single" w:sz="8" w:color="auto"/>
            </w:tcBorders>
          </w:tcPr>
          <w:p>
            <w:pPr>
              <w:spacing w:after="0"/>
              <w:rPr>
                <w:sz w:val="21"/>
                <w:szCs w:val="21"/>
                <w:color w:val="auto"/>
              </w:rPr>
            </w:pPr>
          </w:p>
        </w:tc>
        <w:tc>
          <w:tcPr>
            <w:tcW w:w="220" w:type="dxa"/>
            <w:vAlign w:val="bottom"/>
          </w:tcPr>
          <w:p>
            <w:pPr>
              <w:spacing w:after="0"/>
              <w:rPr>
                <w:sz w:val="21"/>
                <w:szCs w:val="21"/>
                <w:color w:val="auto"/>
              </w:rPr>
            </w:pPr>
          </w:p>
        </w:tc>
        <w:tc>
          <w:tcPr>
            <w:tcW w:w="170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3600" w:type="dxa"/>
            <w:vAlign w:val="bottom"/>
            <w:tcBorders>
              <w:bottom w:val="single" w:sz="8" w:color="auto"/>
            </w:tcBorders>
          </w:tcPr>
          <w:p>
            <w:pPr>
              <w:jc w:val="right"/>
              <w:ind w:right="2430"/>
              <w:spacing w:after="0"/>
              <w:rPr>
                <w:sz w:val="20"/>
                <w:szCs w:val="20"/>
                <w:color w:val="auto"/>
              </w:rPr>
            </w:pPr>
            <w:r>
              <w:rPr>
                <w:rFonts w:ascii="Times New Roman" w:cs="Times New Roman" w:eastAsia="Times New Roman" w:hAnsi="Times New Roman"/>
                <w:sz w:val="18"/>
                <w:szCs w:val="18"/>
                <w:b w:val="1"/>
                <w:bCs w:val="1"/>
                <w:color w:val="auto"/>
              </w:rPr>
              <w:t>95054</w:t>
            </w:r>
          </w:p>
        </w:tc>
      </w:tr>
      <w:tr>
        <w:trPr>
          <w:trHeight w:val="234"/>
        </w:trPr>
        <w:tc>
          <w:tcPr>
            <w:tcW w:w="4420" w:type="dxa"/>
            <w:vAlign w:val="bottom"/>
            <w:gridSpan w:val="3"/>
          </w:tcPr>
          <w:p>
            <w:pPr>
              <w:jc w:val="center"/>
              <w:ind w:left="1010"/>
              <w:spacing w:after="0"/>
              <w:rPr>
                <w:sz w:val="20"/>
                <w:szCs w:val="20"/>
                <w:color w:val="auto"/>
              </w:rPr>
            </w:pPr>
            <w:r>
              <w:rPr>
                <w:rFonts w:ascii="Times New Roman" w:cs="Times New Roman" w:eastAsia="Times New Roman" w:hAnsi="Times New Roman"/>
                <w:sz w:val="18"/>
                <w:szCs w:val="18"/>
                <w:color w:val="auto"/>
                <w:w w:val="99"/>
              </w:rPr>
              <w:t>(Address of principal executive offices)</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0" w:type="dxa"/>
            <w:vAlign w:val="bottom"/>
          </w:tcPr>
          <w:p>
            <w:pPr>
              <w:jc w:val="center"/>
              <w:ind w:right="1790"/>
              <w:spacing w:after="0"/>
              <w:rPr>
                <w:sz w:val="20"/>
                <w:szCs w:val="20"/>
                <w:color w:val="auto"/>
              </w:rPr>
            </w:pPr>
            <w:r>
              <w:rPr>
                <w:rFonts w:ascii="Times New Roman" w:cs="Times New Roman" w:eastAsia="Times New Roman" w:hAnsi="Times New Roman"/>
                <w:sz w:val="18"/>
                <w:szCs w:val="18"/>
                <w:color w:val="auto"/>
              </w:rPr>
              <w:t>(Zip Code)</w:t>
            </w:r>
          </w:p>
        </w:tc>
      </w:tr>
    </w:tbl>
    <w:p>
      <w:pPr>
        <w:spacing w:after="0" w:line="1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 (408) 441-3200</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154305</wp:posOffset>
            </wp:positionV>
            <wp:extent cx="178308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ind w:right="6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02" w:lineRule="exact"/>
        <w:rPr>
          <w:sz w:val="20"/>
          <w:szCs w:val="20"/>
          <w:color w:val="auto"/>
        </w:rPr>
      </w:pPr>
    </w:p>
    <w:p>
      <w:pPr>
        <w:ind w:left="240" w:hanging="232"/>
        <w:spacing w:after="0"/>
        <w:tabs>
          <w:tab w:leader="none" w:pos="2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92" w:lineRule="exact"/>
        <w:rPr>
          <w:rFonts w:ascii="MS PGothic" w:cs="MS PGothic" w:eastAsia="MS PGothic" w:hAnsi="MS PGothic"/>
          <w:sz w:val="18"/>
          <w:szCs w:val="18"/>
          <w:color w:val="auto"/>
        </w:rPr>
      </w:pPr>
    </w:p>
    <w:p>
      <w:pPr>
        <w:ind w:left="240" w:hanging="232"/>
        <w:spacing w:after="0"/>
        <w:tabs>
          <w:tab w:leader="none" w:pos="2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92" w:lineRule="exact"/>
        <w:rPr>
          <w:rFonts w:ascii="MS PGothic" w:cs="MS PGothic" w:eastAsia="MS PGothic" w:hAnsi="MS PGothic"/>
          <w:sz w:val="18"/>
          <w:szCs w:val="18"/>
          <w:color w:val="auto"/>
        </w:rPr>
      </w:pPr>
    </w:p>
    <w:p>
      <w:pPr>
        <w:ind w:left="240" w:hanging="232"/>
        <w:spacing w:after="0"/>
        <w:tabs>
          <w:tab w:leader="none" w:pos="2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92" w:lineRule="exact"/>
        <w:rPr>
          <w:rFonts w:ascii="MS PGothic" w:cs="MS PGothic" w:eastAsia="MS PGothic" w:hAnsi="MS PGothic"/>
          <w:sz w:val="18"/>
          <w:szCs w:val="18"/>
          <w:color w:val="auto"/>
        </w:rPr>
      </w:pPr>
    </w:p>
    <w:p>
      <w:pPr>
        <w:ind w:left="240" w:hanging="232"/>
        <w:spacing w:after="0"/>
        <w:tabs>
          <w:tab w:leader="none" w:pos="2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36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Title of each class</w:t>
            </w:r>
          </w:p>
        </w:tc>
        <w:tc>
          <w:tcPr>
            <w:tcW w:w="220" w:type="dxa"/>
            <w:vAlign w:val="bottom"/>
            <w:tcBorders>
              <w:bottom w:val="single" w:sz="8" w:color="CCEEFF"/>
            </w:tcBorders>
          </w:tcPr>
          <w:p>
            <w:pPr>
              <w:spacing w:after="0"/>
              <w:rPr>
                <w:sz w:val="21"/>
                <w:szCs w:val="21"/>
                <w:color w:val="auto"/>
              </w:rPr>
            </w:pPr>
          </w:p>
        </w:tc>
        <w:tc>
          <w:tcPr>
            <w:tcW w:w="3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Trading Symbol</w:t>
            </w:r>
          </w:p>
        </w:tc>
        <w:tc>
          <w:tcPr>
            <w:tcW w:w="200" w:type="dxa"/>
            <w:vAlign w:val="bottom"/>
            <w:tcBorders>
              <w:bottom w:val="single" w:sz="8" w:color="CCEEFF"/>
            </w:tcBorders>
          </w:tcPr>
          <w:p>
            <w:pPr>
              <w:spacing w:after="0"/>
              <w:rPr>
                <w:sz w:val="21"/>
                <w:szCs w:val="21"/>
                <w:color w:val="auto"/>
              </w:rPr>
            </w:pPr>
          </w:p>
        </w:tc>
        <w:tc>
          <w:tcPr>
            <w:tcW w:w="3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5"/>
        </w:trPr>
        <w:tc>
          <w:tcPr>
            <w:tcW w:w="3840" w:type="dxa"/>
            <w:vAlign w:val="bottom"/>
            <w:gridSpan w:val="2"/>
            <w:shd w:val="clear" w:color="auto" w:fill="CCEEFF"/>
          </w:tcPr>
          <w:p>
            <w:pPr>
              <w:jc w:val="center"/>
              <w:ind w:right="220"/>
              <w:spacing w:after="0"/>
              <w:rPr>
                <w:sz w:val="20"/>
                <w:szCs w:val="20"/>
                <w:color w:val="auto"/>
              </w:rPr>
            </w:pPr>
            <w:r>
              <w:rPr>
                <w:rFonts w:ascii="Times New Roman" w:cs="Times New Roman" w:eastAsia="Times New Roman" w:hAnsi="Times New Roman"/>
                <w:sz w:val="18"/>
                <w:szCs w:val="18"/>
                <w:color w:val="auto"/>
                <w:w w:val="99"/>
              </w:rPr>
              <w:t>Class A Common Stock, $0.0001 par value per</w:t>
            </w:r>
          </w:p>
        </w:tc>
        <w:tc>
          <w:tcPr>
            <w:tcW w:w="3800" w:type="dxa"/>
            <w:vAlign w:val="bottom"/>
            <w:gridSpan w:val="2"/>
            <w:shd w:val="clear" w:color="auto" w:fill="CCEEFF"/>
          </w:tcPr>
          <w:p>
            <w:pPr>
              <w:jc w:val="center"/>
              <w:ind w:right="200"/>
              <w:spacing w:after="0"/>
              <w:rPr>
                <w:sz w:val="20"/>
                <w:szCs w:val="20"/>
                <w:color w:val="auto"/>
              </w:rPr>
            </w:pPr>
            <w:r>
              <w:rPr>
                <w:rFonts w:ascii="Times New Roman" w:cs="Times New Roman" w:eastAsia="Times New Roman" w:hAnsi="Times New Roman"/>
                <w:sz w:val="18"/>
                <w:szCs w:val="18"/>
                <w:color w:val="auto"/>
                <w:w w:val="97"/>
              </w:rPr>
              <w:t>SOUN</w:t>
            </w:r>
          </w:p>
        </w:tc>
        <w:tc>
          <w:tcPr>
            <w:tcW w:w="36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The Nasdaq Stock Market LLC</w:t>
            </w:r>
          </w:p>
        </w:tc>
      </w:tr>
      <w:tr>
        <w:trPr>
          <w:trHeight w:val="241"/>
        </w:trPr>
        <w:tc>
          <w:tcPr>
            <w:tcW w:w="3840" w:type="dxa"/>
            <w:vAlign w:val="bottom"/>
            <w:tcBorders>
              <w:bottom w:val="single" w:sz="8" w:color="CCEEFF"/>
            </w:tcBorders>
            <w:gridSpan w:val="2"/>
            <w:shd w:val="clear" w:color="auto" w:fill="CCEEFF"/>
          </w:tcPr>
          <w:p>
            <w:pPr>
              <w:jc w:val="center"/>
              <w:ind w:right="220"/>
              <w:spacing w:after="0"/>
              <w:rPr>
                <w:sz w:val="20"/>
                <w:szCs w:val="20"/>
                <w:color w:val="auto"/>
              </w:rPr>
            </w:pPr>
            <w:r>
              <w:rPr>
                <w:rFonts w:ascii="Times New Roman" w:cs="Times New Roman" w:eastAsia="Times New Roman" w:hAnsi="Times New Roman"/>
                <w:sz w:val="18"/>
                <w:szCs w:val="18"/>
                <w:color w:val="auto"/>
                <w:w w:val="99"/>
              </w:rPr>
              <w:t>share</w:t>
            </w:r>
          </w:p>
        </w:tc>
        <w:tc>
          <w:tcPr>
            <w:tcW w:w="36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3600" w:type="dxa"/>
            <w:vAlign w:val="bottom"/>
            <w:tcBorders>
              <w:bottom w:val="single" w:sz="8" w:color="CCEEFF"/>
            </w:tcBorders>
            <w:shd w:val="clear" w:color="auto" w:fill="CCEEFF"/>
          </w:tcPr>
          <w:p>
            <w:pPr>
              <w:spacing w:after="0"/>
              <w:rPr>
                <w:sz w:val="20"/>
                <w:szCs w:val="20"/>
                <w:color w:val="auto"/>
              </w:rPr>
            </w:pPr>
          </w:p>
        </w:tc>
      </w:tr>
      <w:tr>
        <w:trPr>
          <w:trHeight w:val="238"/>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9"/>
              </w:rPr>
              <w:t>Warrants, each exercisable for one share of Class</w:t>
            </w:r>
          </w:p>
        </w:tc>
        <w:tc>
          <w:tcPr>
            <w:tcW w:w="38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9"/>
              </w:rPr>
              <w:t>SOUNW</w:t>
            </w: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The Nasdaq Stock Market LLC</w:t>
            </w:r>
          </w:p>
        </w:tc>
      </w:tr>
      <w:tr>
        <w:trPr>
          <w:trHeight w:val="216"/>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9"/>
              </w:rPr>
              <w:t>A Common Stock at an exercise price of $11.50</w:t>
            </w:r>
          </w:p>
        </w:tc>
        <w:tc>
          <w:tcPr>
            <w:tcW w:w="3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0" w:type="dxa"/>
            <w:vAlign w:val="bottom"/>
          </w:tcPr>
          <w:p>
            <w:pPr>
              <w:spacing w:after="0"/>
              <w:rPr>
                <w:sz w:val="18"/>
                <w:szCs w:val="18"/>
                <w:color w:val="auto"/>
              </w:rPr>
            </w:pPr>
          </w:p>
        </w:tc>
      </w:tr>
      <w:tr>
        <w:trPr>
          <w:trHeight w:val="234"/>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9"/>
              </w:rPr>
              <w:t>per share, subject to adjustment</w:t>
            </w:r>
          </w:p>
        </w:tc>
        <w:tc>
          <w:tcPr>
            <w:tcW w:w="36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0" w:type="dxa"/>
            <w:vAlign w:val="bottom"/>
          </w:tcPr>
          <w:p>
            <w:pPr>
              <w:spacing w:after="0"/>
              <w:rPr>
                <w:sz w:val="20"/>
                <w:szCs w:val="20"/>
                <w:color w:val="auto"/>
              </w:rPr>
            </w:pPr>
          </w:p>
        </w:tc>
      </w:tr>
    </w:tbl>
    <w:p>
      <w:pPr>
        <w:spacing w:after="0" w:line="225"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0"/>
          <w:szCs w:val="20"/>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528320</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4"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color w:val="auto"/>
        </w:rPr>
        <w:t>Item 1.01 Entry into a Material Definitive Agreement.</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On April 14, 2023 (the “Closing Date”), SoundHound AI, Inc., a Delaware corporation (the “Company”), entered into a Senior Secured Term Loan Credit Agreement (the “Credit Agreement”) with ACP Post Oak Credit II LLC, as Administrative Agent and Collateral Agent for the Lenders (the “Agent”), and the lenders from time to time party thereto (the “Lenders”). The Credit Agreement provides for a term loan facility in an aggregate principal amount of up to $100 million (the “Term Loan”), the entirety of which was funded on the Closing Date. The Credit Agreement also permits the Company to request additional commitments of up to $25 million in the aggregate, with funding of such commitments in the sole discretion of the Lenders, under certain circumstances and under the same terms as the Term Loan. On the Closing Date, the Company also entered into that certain Guarantee and Collateral Agreement, dated as of April 14, 2023, by and among the Company, the other grantors named therein and the Agent (the “Guarantee and Collateral Agreement”). In addition, on the Closing Date, a collateral protection insurance policy was issued to the Lenders and a cash premium was paid on the Closing Date to the insurance provider thereunder (the “Cash Premium”). Pursuant to the Credit Agreement, the Company is required to make certain additional specified cash premium payments, based on single-digit percentages of the loans then outstanding, over a period of three years from the Closing Date.</w:t>
      </w:r>
    </w:p>
    <w:p>
      <w:pPr>
        <w:spacing w:after="0" w:line="19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will use the proceeds from the Term Loan to (i) repay outstanding amounts equal to approximately $30 million under the Company’s existing loan facilities, (ii) fund an escrow account on the Closing Date in the name of the Agent for an amount equal to the first four interest payments,</w:t>
      </w:r>
    </w:p>
    <w:p>
      <w:pPr>
        <w:ind w:right="20" w:firstLine="8"/>
        <w:spacing w:after="0" w:line="260" w:lineRule="auto"/>
        <w:tabs>
          <w:tab w:leader="none" w:pos="324"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 certain fees and expenses incurred in connection with entering into the Credit Agreement, and (iv) fund the Cash Premium, together with related taxes, with the remaining proceeds to be used to fund growth investments and for general corporate purposes as permitted under the Credit Agreement.</w:t>
      </w:r>
    </w:p>
    <w:p>
      <w:pPr>
        <w:spacing w:after="0" w:line="18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outstanding principal balance of the Term Loan bears interest at the applicable margin plus, at the Company’s election, either (i) the secured overnight financing rate (“SOFR”) plus 0.15% or (ii) the alternate base rate (“ABR”), which is a per annum rate equal to the greatest of (a) the Prime Rate (as defined in the Credit Agreement), (b) the NYFRB Rate (as defined in the Credit Agreement) plus 0.50% and (c) the Adjustable Rate (as defined in the Credit Agreement) plus 1.00%. The applicable margin under the Credit Agreement is 8.50% per annum with respect to SOFR loans, and 7.50% per annum with respect to ABR loans.</w:t>
      </w:r>
    </w:p>
    <w:p>
      <w:pPr>
        <w:spacing w:after="0" w:line="18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Subject to certain exceptions as set forth in the Credit Agreement, interest on the Term Loan is payable quarterly in arrears on the last business day of each fiscal quarter. The Term Loan is set to mature on April 14, 2027 (the “Maturity Date”). The Credit Agreement provides for no scheduled principal amortization prior to the Maturity Date.</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Term Loan is secured by substantially all of the assets of the Company and its subsidiaries other than the assets of Excluded Subsidiaries (as defined in the Credit Agreement) and is guaranteed by the Company’s subsidiaries other than Excluded Subsidiaries. As set forth in more detail in the Credit Agreement, the Company is required to make mandatory prepayments on the Term Loan in the event of certain specified events, including in the event of certain capital raises by the Company and its subsidiaries. The Company may also prepay amounts under the Term Loan, subject to certain costs and conditions specified in the Credit Agreement.</w:t>
      </w:r>
    </w:p>
    <w:p>
      <w:pPr>
        <w:spacing w:after="0" w:line="2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 w:name="page4"/>
    <w:bookmarkEnd w:id="3"/>
    <w:p>
      <w:pPr>
        <w:jc w:val="both"/>
        <w:spacing w:after="0" w:line="256" w:lineRule="auto"/>
        <w:rPr>
          <w:sz w:val="20"/>
          <w:szCs w:val="20"/>
          <w:color w:val="auto"/>
        </w:rPr>
      </w:pPr>
      <w:r>
        <w:rPr>
          <w:rFonts w:ascii="Times New Roman" w:cs="Times New Roman" w:eastAsia="Times New Roman" w:hAnsi="Times New Roman"/>
          <w:sz w:val="18"/>
          <w:szCs w:val="18"/>
          <w:color w:val="auto"/>
        </w:rPr>
        <w:t>The Credit Agreement also contains customary representations and warranties for a facility of this nature and affirmative and negative covenants. In particular, the Credit Agreement requires the Company to have liquidity at least equal to the Interest Escrow Required Amount (as defined in the Credit Agreement) as of the last day of each fiscal quarter. In addition, the Credit Agreement limits the Company’s and its subsidiaries’ ability to incur indebtedness, make restricted payments, including cash dividends on its common stock, make certain investments, loans and advances, enter into mergers and acquisitions, sell, assign transfer or otherwise dispose of its assets, enter into transactions with its affiliates and engage in sale and leaseback transactions, among other restrictions.</w:t>
      </w:r>
    </w:p>
    <w:p>
      <w:pPr>
        <w:spacing w:after="0" w:line="18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Credit Agreement includes customary events of default, including, but not limited to, nonpayment of principal or interest, breaches of representations and warranties, failure to perform or observe covenants, cross-defaults with certain other indebtedness, final judgments or orders, certain change of control events, and certain bankruptcy-related events or proceedings. Upon the occurrence of an event of default (subject to notice and grace periods), obligations under the Credit Agreement could be accelerated.</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connection with the Credit Agreement, on the Closing Date the Company also issued a warrant to purchase up to 3,301,536 shares of the Company’s Class A common stock to the Agent (the “Warrant”). The Warrant has a per share exercise price of $2.59 and may be exercised, including on a cashless basis, by the holder at any time prior to the 10-year anniversary of the issue date. The Warrant will be automatically cashless exercised immediately prior to a change in control of the Company.</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foregoing summary of the material terms of the Credit Agreement, the Guarantee and Collateral Agreement and the Warrant does not purport to be complete and is qualified in their entirety by reference to the full text of the Credit Agreement, the Guarantee and Collateral Agreement and the Warrant, copies of which will be filed as exhibits to the Company’s Quarterly Report on Form 10-Q for the three months ended March 31, 2023.</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1.02 Termination of a Material Definitive Agreement.</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Concurrently with the Company’s entry into the Credit Agreement, the Company used a portion of the proceeds to prepay in full all outstanding obligations under, and terminated, the (i) Loan and Security Agreement, dated as of June 14, 2021, by and among Ocean II PLO LLC, Structural Capital Investments III, LP, and SoundHound, Inc., a subsidiary of the Company (the “Structural Facility”), and (ii) Loan and Security Agreement, dated as of March 31, 2021, by and among SoundHound, Inc., Silicon Valley Bank, and SVB Innovation Credit Fund VIII, L.P., (the “SVB Facility”, together with the Structural Facility, the “Existing Facilities”). For a description of the Existing Facilities, refer to Note 9 to the Company’s audited consolidated financial statements included in its Annual Report on Form 10-K for the year ended December 31, 2022. In connection with the Structural Facility prepayment, the Company paid a total of approximately $11.7 million, which consisted of (i) the remaining principal amount outstanding of approximately $11.0 million, (ii) a prepayment premium of approximately $0.2 million, (iii) a final payment fee of approximately $0.5 million, and (iv) the remainder for transaction expenses. In connection with the SVB Facility prepayment, the Company paid a total of approximately $18.5 million, which consisted of (i) the remaining principal amount outstanding of $17.0 million, (ii) a prepayment premium of $0.3 million, (iii) a final payment fee of approximately $1.1 million, (iv) approximately $0.1 million of accrued and unpaid interest, and (v) the remainder for transaction expenses. There were no material relationships between the Company or its affiliates and the other parties to the Existing Facilities other than in respect of such agreement.</w:t>
      </w:r>
    </w:p>
    <w:p>
      <w:pPr>
        <w:spacing w:after="0" w:line="2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color w:val="auto"/>
        </w:rPr>
        <w:t>Item 2.03 Creation of a Direct Financial Obligation or an Obligation under an Off-Balance Sheet Arrangement of a Registrant.</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information related to the Senior Secured Term Loan Credit Agreement described under Item 1.01 above is hereby incorporated by reference under this Item 2.03.</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3.02 Unregistered Sales of Equity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information set forth in Item 1.01 of this Current Report on Form 8-K relating to the Warrant is incorporated by reference in this Item 3.02.</w:t>
      </w:r>
    </w:p>
    <w:p>
      <w:pPr>
        <w:spacing w:after="0" w:line="22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Company issued and sold the Warrant in reliance on the exemption from the registration requirements of the Securities Act by virtue of Section 4(a)(2) thereof. In connection with its execution of the Warrant, the Agent represented to the Company that it is an “accredited investor” as defined in Regulation D under the Securities Act and that the Warrant, and the shares of the Company’s Class A common stock underlying the Warrant, will be acquired solely for its own account and for investment purposes and not with a view to future sale or distribution. The issuance and sale of the Warrant, and the shares of the Company’s Class A common stock underlying the Warrant, have not been registered under the Securities Act or the securities laws of any other jurisdiction, and such securities may not be offered or sold in the United States absent registration or an applicable exemption from registration requirements. This Current Report on Form 8-K does not constitute an offer to sell, or a solicitation of an offer to buy, any security and shall not constitute an offer, solicitation or sale in any jurisdiction in which such offering would be unlawful.</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3.03 Material Modification to the Rights of Security Holders.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Credit Agreement imposes restrictions on the Company’s ability to declare and pay dividends or make other distributions to holders of the Company’s capital stock.</w:t>
      </w:r>
    </w:p>
    <w:p>
      <w:pPr>
        <w:spacing w:after="0" w:line="2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5" w:name="page6"/>
    <w:bookmarkEnd w:id="5"/>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Current Report on Form 8-K to be signed on its behalf by the undersigned hereunto duly authorized.</w:t>
      </w:r>
    </w:p>
    <w:p>
      <w:pPr>
        <w:spacing w:after="0" w:line="162" w:lineRule="exact"/>
        <w:rPr>
          <w:sz w:val="20"/>
          <w:szCs w:val="20"/>
          <w:color w:val="auto"/>
        </w:rPr>
      </w:pPr>
    </w:p>
    <w:p>
      <w:pPr>
        <w:spacing w:after="0"/>
        <w:tabs>
          <w:tab w:leader="none" w:pos="6740" w:val="left"/>
        </w:tabs>
        <w:rPr>
          <w:sz w:val="20"/>
          <w:szCs w:val="20"/>
          <w:color w:val="auto"/>
        </w:rPr>
      </w:pPr>
      <w:r>
        <w:rPr>
          <w:rFonts w:ascii="Times New Roman" w:cs="Times New Roman" w:eastAsia="Times New Roman" w:hAnsi="Times New Roman"/>
          <w:sz w:val="18"/>
          <w:szCs w:val="18"/>
          <w:color w:val="auto"/>
        </w:rPr>
        <w:t>Dated: April 17, 2023</w:t>
      </w:r>
      <w:r>
        <w:rPr>
          <w:sz w:val="20"/>
          <w:szCs w:val="20"/>
          <w:color w:val="auto"/>
        </w:rPr>
        <w:tab/>
      </w:r>
      <w:r>
        <w:rPr>
          <w:rFonts w:ascii="Times New Roman" w:cs="Times New Roman" w:eastAsia="Times New Roman" w:hAnsi="Times New Roman"/>
          <w:sz w:val="17"/>
          <w:szCs w:val="17"/>
          <w:color w:val="auto"/>
        </w:rPr>
        <w:t>SoundHound AI, Inc.</w:t>
      </w:r>
    </w:p>
    <w:p>
      <w:pPr>
        <w:spacing w:after="0" w:line="225" w:lineRule="exact"/>
        <w:rPr>
          <w:sz w:val="20"/>
          <w:szCs w:val="20"/>
          <w:color w:val="auto"/>
        </w:rPr>
      </w:pPr>
    </w:p>
    <w:p>
      <w:pPr>
        <w:ind w:left="6760"/>
        <w:spacing w:after="0"/>
        <w:tabs>
          <w:tab w:leader="none" w:pos="7200" w:val="left"/>
        </w:tabs>
        <w:rPr>
          <w:sz w:val="20"/>
          <w:szCs w:val="20"/>
          <w:color w:val="auto"/>
        </w:rPr>
      </w:pPr>
      <w:r>
        <w:rPr>
          <w:rFonts w:ascii="Times New Roman" w:cs="Times New Roman" w:eastAsia="Times New Roman" w:hAnsi="Times New Roman"/>
          <w:sz w:val="18"/>
          <w:szCs w:val="18"/>
          <w:color w:val="auto"/>
        </w:rPr>
        <w:t>By:</w:t>
        <w:tab/>
        <w:t>/s/ Keyvan Mohajer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4582795</wp:posOffset>
            </wp:positionH>
            <wp:positionV relativeFrom="paragraph">
              <wp:posOffset>17145</wp:posOffset>
            </wp:positionV>
            <wp:extent cx="2554605"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554605" cy="17145"/>
                    </a:xfrm>
                    <a:prstGeom prst="rect">
                      <a:avLst/>
                    </a:prstGeom>
                    <a:noFill/>
                  </pic:spPr>
                </pic:pic>
              </a:graphicData>
            </a:graphic>
          </wp:anchor>
        </w:drawing>
      </w:r>
    </w:p>
    <w:p>
      <w:pPr>
        <w:spacing w:after="0" w:line="16" w:lineRule="exact"/>
        <w:rPr>
          <w:sz w:val="20"/>
          <w:szCs w:val="20"/>
          <w:color w:val="auto"/>
        </w:rPr>
      </w:pPr>
    </w:p>
    <w:p>
      <w:pPr>
        <w:ind w:left="7220"/>
        <w:spacing w:after="0"/>
        <w:rPr>
          <w:sz w:val="20"/>
          <w:szCs w:val="20"/>
          <w:color w:val="auto"/>
        </w:rPr>
      </w:pPr>
      <w:r>
        <w:rPr>
          <w:rFonts w:ascii="Times New Roman" w:cs="Times New Roman" w:eastAsia="Times New Roman" w:hAnsi="Times New Roman"/>
          <w:sz w:val="18"/>
          <w:szCs w:val="18"/>
          <w:color w:val="auto"/>
        </w:rPr>
        <w:t>Name: Keyvan Mohajer</w:t>
      </w:r>
    </w:p>
    <w:p>
      <w:pPr>
        <w:spacing w:after="0" w:line="27" w:lineRule="exact"/>
        <w:rPr>
          <w:sz w:val="20"/>
          <w:szCs w:val="20"/>
          <w:color w:val="auto"/>
        </w:rPr>
      </w:pPr>
    </w:p>
    <w:p>
      <w:pPr>
        <w:ind w:left="7220"/>
        <w:spacing w:after="0"/>
        <w:tabs>
          <w:tab w:leader="none" w:pos="776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Executive Officer</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79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Roman"/>
      <w:start w:val="3"/>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2023-04-17T07:51:14Z</dcterms:created>
  <dcterms:modified xsi:type="dcterms:W3CDTF">2023-04-17T07:51:14Z</dcterms:modified>
</cp:coreProperties>
</file>