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UNITED STATES</w:t>
      </w:r>
    </w:p>
    <w:p>
      <w:pPr>
        <w:pStyle w:val="TextBody"/>
        <w:bidi w:val="0"/>
        <w:spacing w:lineRule="auto" w:line="288" w:before="0" w:after="0"/>
        <w:jc w:val="center"/>
        <w:rPr>
          <w:rFonts w:ascii="Times New Roman;serif" w:hAnsi="Times New Roman;serif"/>
          <w:b/>
          <w:color w:val="212529"/>
          <w:sz w:val="22"/>
        </w:rPr>
      </w:pPr>
      <w:r>
        <w:rPr>
          <w:rFonts w:ascii="Times New Roman;serif" w:hAnsi="Times New Roman;serif"/>
          <w:b/>
          <w:color w:val="212529"/>
          <w:sz w:val="22"/>
        </w:rPr>
        <w:t>SECURITIES AND EXCHANGE COMMISSION</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200" w:after="283"/>
        <w:jc w:val="center"/>
        <w:rPr>
          <w:rFonts w:ascii="Times New Roman;serif" w:hAnsi="Times New Roman;serif"/>
          <w:b/>
          <w:color w:val="212529"/>
          <w:sz w:val="24"/>
        </w:rPr>
      </w:pPr>
      <w:r>
        <w:rPr>
          <w:rFonts w:ascii="Times New Roman;serif" w:hAnsi="Times New Roman;serif"/>
          <w:b/>
          <w:color w:val="212529"/>
          <w:sz w:val="24"/>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CURRENT REPORT</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Pursuant to Section 13 or 15(d)</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of the Securities Exchange Act of 1934</w:t>
      </w:r>
    </w:p>
    <w:p>
      <w:pPr>
        <w:pStyle w:val="TextBody"/>
        <w:bidi w:val="0"/>
        <w:spacing w:lineRule="auto" w:line="288" w:before="120" w:after="283"/>
        <w:jc w:val="center"/>
        <w:rPr/>
      </w:pPr>
      <w:r>
        <w:rPr>
          <w:rFonts w:ascii="Times New Roman;serif" w:hAnsi="Times New Roman;serif"/>
          <w:b w:val="false"/>
          <w:color w:val="212529"/>
          <w:sz w:val="20"/>
        </w:rPr>
        <w:t>Date of Report (Date of earliest event reported): </w:t>
      </w:r>
      <w:r>
        <w:rPr>
          <w:rFonts w:ascii="Times New Roman;serif" w:hAnsi="Times New Roman;serif"/>
          <w:b/>
          <w:color w:val="212529"/>
          <w:sz w:val="20"/>
        </w:rPr>
        <w:t>May 7,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SOUNDHOUND AI, INC.</w:t>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Betsy Ross Drive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Registrant’s telephone number, including area code: (408) 441-3200</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212529"/>
          <w:sz w:val="20"/>
        </w:rPr>
        <w:t>Emerging growth company </w:t>
      </w:r>
      <w:r>
        <w:rPr>
          <w:color w:val="212529"/>
        </w:rPr>
        <w:t>☐</w:t>
      </w:r>
    </w:p>
    <w:p>
      <w:pPr>
        <w:pStyle w:val="TextBody"/>
        <w:bidi w:val="0"/>
        <w:spacing w:lineRule="auto" w:line="288" w:before="120" w:after="283"/>
        <w:jc w:val="both"/>
        <w:rPr/>
      </w:pPr>
      <w:r>
        <w:rPr>
          <w:rFonts w:ascii="Times New Roman;serif" w:hAnsi="Times New Roman;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pPr>
      <w:r>
        <w:rPr>
          <w:rFonts w:ascii="Times New Roman;serif" w:hAnsi="Times New Roman;serif"/>
          <w:b w:val="false"/>
          <w:color w:val="212529"/>
          <w:sz w:val="20"/>
        </w:rPr>
        <w:t xml:space="preserve">On </w:t>
      </w:r>
      <w:r>
        <w:rPr>
          <w:rFonts w:ascii="Times New Roman;serif" w:hAnsi="Times New Roman;serif"/>
          <w:b w:val="false"/>
          <w:color w:val="000000"/>
          <w:sz w:val="20"/>
        </w:rPr>
        <w:t>May 7, 2026</w:t>
      </w:r>
      <w:r>
        <w:rPr>
          <w:rFonts w:ascii="Times New Roman;serif" w:hAnsi="Times New Roman;serif"/>
          <w:b w:val="false"/>
          <w:color w:val="212529"/>
          <w:sz w:val="20"/>
        </w:rPr>
        <w:t xml:space="preserve">, SoundHound AI, Inc. (the “Company”) issued a press release announcing financial results and operational highlights for the first quarter ended </w:t>
      </w:r>
      <w:r>
        <w:rPr>
          <w:rFonts w:ascii="Times New Roman;serif" w:hAnsi="Times New Roman;serif"/>
          <w:b w:val="false"/>
          <w:color w:val="000000"/>
          <w:sz w:val="20"/>
        </w:rPr>
        <w:t>March 31, 2026</w:t>
      </w:r>
      <w:r>
        <w:rPr>
          <w:rFonts w:ascii="Times New Roman;serif" w:hAnsi="Times New Roman;serif"/>
          <w:b w:val="false"/>
          <w:color w:val="212529"/>
          <w:sz w:val="20"/>
        </w:rPr>
        <w:t xml:space="preserve">. A copy of the press release is furnished as Exhibit 99.1 to this current report on Form 8-K. The Company is also furnishing as Exhibit 99.2 to this current report on Form 8-K the condensed consolidated balance sheets of the Company as of </w:t>
      </w:r>
      <w:r>
        <w:rPr>
          <w:rFonts w:ascii="Times New Roman;serif" w:hAnsi="Times New Roman;serif"/>
          <w:b w:val="false"/>
          <w:color w:val="000000"/>
          <w:sz w:val="20"/>
        </w:rPr>
        <w:t>March 31, 2026</w:t>
      </w:r>
      <w:r>
        <w:rPr>
          <w:rFonts w:ascii="Times New Roman;serif" w:hAnsi="Times New Roman;serif"/>
          <w:b w:val="false"/>
          <w:color w:val="212529"/>
          <w:sz w:val="20"/>
        </w:rPr>
        <w:t xml:space="preserve">, and the related condensed consolidated statements of operations and comprehensive loss and condensed consolidated statements of cash flows for the period ended </w:t>
      </w:r>
      <w:r>
        <w:rPr>
          <w:rFonts w:ascii="Times New Roman;serif" w:hAnsi="Times New Roman;serif"/>
          <w:b w:val="false"/>
          <w:color w:val="000000"/>
          <w:sz w:val="20"/>
        </w:rPr>
        <w:t>March 31, 2026</w:t>
      </w:r>
      <w:r>
        <w:rPr>
          <w:rFonts w:ascii="Times New Roman;serif" w:hAnsi="Times New Roman;serif"/>
          <w:b w:val="false"/>
          <w:color w:val="21252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tbl>
      <w:tblPr>
        <w:tblW w:w="683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69"/>
        <w:gridCol w:w="1469"/>
        <w:gridCol w:w="2087"/>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60507ex991earnings.htm">
              <w:r>
                <w:rPr>
                  <w:rStyle w:val="InternetLink"/>
                  <w:rFonts w:ascii="Times New Roman;serif" w:hAnsi="Times New Roman;serif"/>
                  <w:b w:val="false"/>
                  <w:color w:val="0000FF"/>
                  <w:sz w:val="20"/>
                  <w:u w:val="single"/>
                </w:rPr>
                <w:t>Press Release, dated May 7, 2026</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60507ex992financia.htm">
              <w:r>
                <w:rPr>
                  <w:rStyle w:val="InternetLink"/>
                  <w:rFonts w:ascii="Times New Roman;serif" w:hAnsi="Times New Roman;serif"/>
                  <w:b w:val="false"/>
                  <w:color w:val="0000FF"/>
                  <w:sz w:val="20"/>
                  <w:u w:val="single"/>
                </w:rPr>
                <w:t>Financial statements for the period ended March 31, 2026</w:t>
              </w:r>
            </w:hyperlink>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212529"/>
          <w:sz w:val="20"/>
        </w:rPr>
      </w:pPr>
      <w:r>
        <w:rPr>
          <w:rFonts w:ascii="Times New Roman;serif" w:hAnsi="Times New Roman;serif"/>
          <w:b/>
          <w:color w:val="212529"/>
          <w:sz w:val="20"/>
        </w:rPr>
        <w:t>SIGNATURE</w:t>
      </w:r>
    </w:p>
    <w:p>
      <w:pPr>
        <w:pStyle w:val="TextBody"/>
        <w:bidi w:val="0"/>
        <w:spacing w:lineRule="auto" w:line="288" w:before="200" w:after="283"/>
        <w:jc w:val="both"/>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4626" w:type="dxa"/>
        <w:jc w:val="left"/>
        <w:tblInd w:w="0" w:type="dxa"/>
        <w:tblLayout w:type="fixed"/>
        <w:tblCellMar>
          <w:top w:w="28" w:type="dxa"/>
          <w:left w:w="28" w:type="dxa"/>
          <w:bottom w:w="28" w:type="dxa"/>
          <w:right w:w="28" w:type="dxa"/>
        </w:tblCellMar>
      </w:tblPr>
      <w:tblGrid>
        <w:gridCol w:w="417"/>
        <w:gridCol w:w="368"/>
        <w:gridCol w:w="370"/>
        <w:gridCol w:w="196"/>
        <w:gridCol w:w="196"/>
        <w:gridCol w:w="196"/>
        <w:gridCol w:w="271"/>
        <w:gridCol w:w="271"/>
        <w:gridCol w:w="271"/>
        <w:gridCol w:w="597"/>
        <w:gridCol w:w="597"/>
        <w:gridCol w:w="876"/>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AI,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Keyvan Mohajer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Keyvan Mohajer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00" w:after="160"/>
        <w:jc w:val="both"/>
        <w:rPr>
          <w:rFonts w:ascii="Times New Roman;serif" w:hAnsi="Times New Roman;serif"/>
          <w:b/>
          <w:color w:val="000000"/>
          <w:sz w:val="24"/>
        </w:rPr>
      </w:pPr>
      <w:r>
        <w:rPr>
          <w:rFonts w:ascii="Times New Roman;serif" w:hAnsi="Times New Roman;serif"/>
          <w:b/>
          <w:color w:val="000000"/>
          <w:sz w:val="24"/>
        </w:rPr>
        <w:t>SoundHound AI Reports Record Q1 Revenue of $44.2 million, Up 52%</w:t>
      </w:r>
    </w:p>
    <w:p>
      <w:pPr>
        <w:pStyle w:val="TextBody"/>
        <w:bidi w:val="0"/>
        <w:spacing w:lineRule="auto" w:line="288" w:before="100" w:after="360"/>
        <w:jc w:val="both"/>
        <w:rPr>
          <w:rFonts w:ascii="Times New Roman;serif" w:hAnsi="Times New Roman;serif"/>
          <w:b w:val="false"/>
          <w:i/>
          <w:color w:val="000000"/>
          <w:sz w:val="24"/>
        </w:rPr>
      </w:pPr>
      <w:r>
        <w:rPr>
          <w:rFonts w:ascii="Times New Roman;serif" w:hAnsi="Times New Roman;serif"/>
          <w:b w:val="false"/>
          <w:i/>
          <w:color w:val="000000"/>
          <w:sz w:val="24"/>
        </w:rPr>
        <w:t xml:space="preserve">Launches OASYS as the gold standard agentic platform to revolutionize the way businesses interact with customers across every channel and touchpoint </w:t>
      </w:r>
    </w:p>
    <w:p>
      <w:pPr>
        <w:pStyle w:val="TextBody"/>
        <w:bidi w:val="0"/>
        <w:spacing w:lineRule="auto" w:line="288" w:before="100" w:after="360"/>
        <w:jc w:val="both"/>
        <w:rPr/>
      </w:pPr>
      <w:r>
        <w:rPr>
          <w:rFonts w:ascii="Times New Roman;serif" w:hAnsi="Times New Roman;serif"/>
          <w:b w:val="false"/>
          <w:color w:val="000000"/>
          <w:sz w:val="24"/>
        </w:rPr>
        <w:t>SANTA CLARA, Calif.--SoundHound AI, Inc. (Nasdaq: SOUN), a global leader in voice and agentic AI, today reported its financial results for the first quarter</w:t>
      </w:r>
      <w:r>
        <w:rPr>
          <w:color w:val="000000"/>
        </w:rPr>
        <w:t xml:space="preserve"> </w:t>
      </w:r>
      <w:r>
        <w:rPr>
          <w:rFonts w:ascii="Times New Roman;serif" w:hAnsi="Times New Roman;serif"/>
          <w:b w:val="false"/>
          <w:color w:val="000000"/>
          <w:sz w:val="24"/>
        </w:rPr>
        <w:t>2026</w:t>
      </w:r>
      <w:r>
        <w:rPr>
          <w:rFonts w:ascii="Arial;sans-serif" w:hAnsi="Arial;sans-serif"/>
          <w:b w:val="false"/>
          <w:color w:val="000000"/>
          <w:sz w:val="24"/>
        </w:rPr>
        <w:t>.</w:t>
      </w:r>
    </w:p>
    <w:p>
      <w:pPr>
        <w:pStyle w:val="TextBody"/>
        <w:bidi w:val="0"/>
        <w:spacing w:lineRule="auto" w:line="276" w:before="0" w:after="0"/>
        <w:jc w:val="both"/>
        <w:rPr>
          <w:color w:val="000000"/>
        </w:rPr>
      </w:pPr>
      <w:r>
        <w:rPr>
          <w:color w:val="000000"/>
        </w:rPr>
        <w:t>“</w:t>
      </w:r>
      <w:r>
        <w:rPr>
          <w:rFonts w:ascii="Times New Roman;serif" w:hAnsi="Times New Roman;serif"/>
          <w:b w:val="false"/>
          <w:i/>
          <w:color w:val="000000"/>
          <w:sz w:val="24"/>
        </w:rPr>
        <w:t xml:space="preserve">SoundHound started the year strong with our top line growing 52%. Excluding the impact of all acquisitions, revenue was up 88% in our core automotive and IoT AI vertical, highlighting incredible demand across all pillars of our business,” said Keyvan Mohajer, CEO and Co-founder of SoundHound AI. “Our launch of OASYS and our planned acquisition of LivePerson will bring the world’s first self-learning agentic AI platform to one of the most robust enterprise footprints in the entire conversational AI sector.”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1D2228"/>
          <w:sz w:val="24"/>
        </w:rPr>
      </w:pPr>
      <w:r>
        <w:rPr>
          <w:rFonts w:ascii="Times New Roman;serif" w:hAnsi="Times New Roman;serif"/>
          <w:b/>
          <w:color w:val="1D2228"/>
          <w:sz w:val="24"/>
        </w:rPr>
        <w:t>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1D2228"/>
          <w:sz w:val="24"/>
        </w:rPr>
        <w:t>First quarter r</w:t>
      </w:r>
      <w:r>
        <w:rPr>
          <w:rFonts w:ascii="Times New Roman;serif" w:hAnsi="Times New Roman;serif"/>
          <w:b w:val="false"/>
          <w:color w:val="000000"/>
          <w:sz w:val="24"/>
        </w:rPr>
        <w:t>eported revenue was $44.2 million, an increase of 52%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First quarter GAAP gross margin was 31.1%; non-GAAP gross margin was 49.7%</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First quarter GAAP net loss was $(25.0) million; non-GAAP net loss was $(26.6)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First quarter adjusted EBITDA was a loss of $(26.7)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First quarter GAAP earnings per share was a loss of $(0.06); non-GAAP earnings per share was a loss of $(0.06)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First quarter expenses included certain non recurring charges such as true up costs from vendors that also impacted both GAAP and non-GAAP gross margin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GAAP results include a gain from the calculated fair value of contingent acquisition liabilities where future earnout shares are marked-to-market on a quarterly basis based on the company’s stock price. Non-GAAP measures exclude this non-operating/non-cash impact. </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i/>
          <w:color w:val="000000"/>
          <w:sz w:val="24"/>
        </w:rPr>
        <w:t>We had a strong start to the year, delivering undeniable value for our end customers across multiple channels and a growing number of industries," said James Hom, CFO and Co-founder of SoundHound AI. "Our rapid innovation positions us for scale while setting us up for massive cost benefits in future years. We are exiting the quarter with a strong balance sheet and are poised to achieve robust growth for the rest of the year."</w:t>
      </w:r>
    </w:p>
    <w:p>
      <w:pPr>
        <w:pStyle w:val="TextBody"/>
        <w:bidi w:val="0"/>
        <w:spacing w:lineRule="auto" w:line="288" w:before="100" w:after="120"/>
        <w:jc w:val="both"/>
        <w:rPr>
          <w:rFonts w:ascii="Times New Roman;serif" w:hAnsi="Times New Roman;serif"/>
          <w:b/>
          <w:color w:val="000000"/>
          <w:sz w:val="26"/>
        </w:rPr>
      </w:pPr>
      <w:r>
        <w:rPr>
          <w:rFonts w:ascii="Times New Roman;serif" w:hAnsi="Times New Roman;serif"/>
          <w:b/>
          <w:color w:val="000000"/>
          <w:sz w:val="26"/>
        </w:rPr>
        <w:t xml:space="preserve">Business Highlights </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SoundHound AI Signs Agreement To Acquire LivePerson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Acquisition will combine SoundHound’s strengths in voice and agentic AI with LivePerson’s digital messaging services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Combined company expects a $500M revenue opportunity, accelerated path to profitability, strong balance sheet, and no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Results in one of the most comprehensive enterprise customer footprints in the conversational AI sector, including 25 of the Fortune 100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2027 revenue range expected to be, at minimum, $350M-$400M, with at least $100M of growable contribution from LivePerson's long-tenured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Expected to close in the second half of 2026, subject to customary regulatory approvals and closing conditions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Launches OASYS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Launched the world’s first self-learning orchestrated agentic AI platform, where AI builds AI</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OASYS allows businesses to do in minutes what once took months by managing the entire agentic AI lifecycle: automatically creating, orchestrating, evaluating, and improving agents over time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The technology marks a fundamental shift in the role of AI from something that must be continuously built and maintained, to a system that actively evolves based on real-world usage</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 xml:space="preserve">Auto, Devices &amp; Voice Commerce: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Multiple TV and auto OEMs integrating SoundHound's Voice Commerce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Signed a new 7-figure commitment with prominent Japanese manufacturer to deploy SoundHound’s voice assistant across vehicles globally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Multinational OEM signed expansion in South America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Signed agreement to integrate SoundHound’s voice AI across Walmart’s TV brand, ONN</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Restaurants, Retail &amp; Consumer Goods: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Major QSR seeing growing ROI with positive results from SoundHound’s drive thru technology - with AI-enabled locations generating more revenue than those not deploying the technology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Increased cross-sell wins among restaurant solutions, and a strong uptick in the adoption of SoundHound’s Voice Insights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Deployed AI solutions with major global fitness apparel brands, representing the majority of the market share in that category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Signed deals 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 national residential and commercial service company specializing in eco-friendly indoor air quality, with over 200 franchise locations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A 450 location water survival and swim school.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Multiple boutique fitness chains, with a total opportunity of 900+ locations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 xml:space="preserve">Banking, Financial Services &amp; Insurance: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Expanded services 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One the world’s largest banks that serves millions of customers, clients and communities in over 100 global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A New York based global financial services platforms company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An American multinational financial services corporation headquartered in Denver, Colorado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 multinational conglomerate corporation that offers a number of products and services across its multiple business groups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One of the 10th largest credit unions in the US operating with over 100 branches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A major American insurance corporation headquartered in Texas and operating in all 50 states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 xml:space="preserve">Renewed with one of the largest insurance companies in the U.S., a Fortune 100 company </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 xml:space="preserve">Utilities, Energy &amp; Telecommunications: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Closed a multi-year renewal with an American retail electricity provider headquartered in Texas, serving both residential and business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Expanded services with a large Kansas-based electric company serving both residential and commercial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Renewed and expanded services with a large telecommunications provider that offers broadband internet, digital television, and computer technical support to customers in 25 states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Healthcare, Pharmaceuticals &amp; Life Sciences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Renewed and added additional services as part of our relationship with Allina Health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Won the business of a specialized U.S. healthcare organization offering care in multiple states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Renewed with a large U.S.-based healthcare network specializing in medical, surgical, and cosmetic dermatology, operating across 14 states in over 150 locations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Technology, Software &amp; IT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Renewed and expanded with a Japanese multinational conglomerate operating across sectors including energy, digital systems, mobility, and industrial infrastructure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 xml:space="preserve">Expanded services into Europe with one of the largest technology companies in the world </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Channel Expansion: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Announced a partnership with Manpower Group bringing AI and automation solutions to large enterprises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Agreed to a partnership with an American multinational corporation that designs, builds, and manages infrastructure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Renewed 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 leading global IT services and consulting company, providing digital transformation, AI, and cloud computing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One of the largest information technology services and consulting companies in the world, headquartered in France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 Japanese-headquartered company that offers IT services, system integration, cloud computing, and information security.</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shd w:fill="FEFEFE" w:val="clear"/>
        </w:rPr>
        <w:t>First Quarter 2026 Financial Measures</w:t>
      </w:r>
      <w:r>
        <w:rPr>
          <w:rFonts w:ascii="Times New Roman;serif" w:hAnsi="Times New Roman;serif"/>
          <w:b w:val="false"/>
          <w:color w:val="000000"/>
          <w:sz w:val="16"/>
        </w:rPr>
        <w:t>1</w:t>
      </w:r>
    </w:p>
    <w:tbl>
      <w:tblPr>
        <w:tblW w:w="9532" w:type="dxa"/>
        <w:jc w:val="left"/>
        <w:tblInd w:w="0" w:type="dxa"/>
        <w:tblLayout w:type="fixed"/>
        <w:tblCellMar>
          <w:top w:w="28" w:type="dxa"/>
          <w:left w:w="28" w:type="dxa"/>
          <w:bottom w:w="28" w:type="dxa"/>
          <w:right w:w="28" w:type="dxa"/>
        </w:tblCellMar>
      </w:tblPr>
      <w:tblGrid>
        <w:gridCol w:w="1260"/>
        <w:gridCol w:w="1107"/>
        <w:gridCol w:w="1112"/>
        <w:gridCol w:w="109"/>
        <w:gridCol w:w="109"/>
        <w:gridCol w:w="109"/>
        <w:gridCol w:w="496"/>
        <w:gridCol w:w="238"/>
        <w:gridCol w:w="238"/>
        <w:gridCol w:w="238"/>
        <w:gridCol w:w="238"/>
        <w:gridCol w:w="245"/>
        <w:gridCol w:w="109"/>
        <w:gridCol w:w="109"/>
        <w:gridCol w:w="109"/>
        <w:gridCol w:w="496"/>
        <w:gridCol w:w="238"/>
        <w:gridCol w:w="238"/>
        <w:gridCol w:w="238"/>
        <w:gridCol w:w="238"/>
        <w:gridCol w:w="245"/>
        <w:gridCol w:w="109"/>
        <w:gridCol w:w="109"/>
        <w:gridCol w:w="109"/>
        <w:gridCol w:w="270"/>
        <w:gridCol w:w="130"/>
        <w:gridCol w:w="130"/>
        <w:gridCol w:w="307"/>
        <w:gridCol w:w="308"/>
        <w:gridCol w:w="541"/>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6"/>
            <w:tcBorders/>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p>
          <w:p>
            <w:pPr>
              <w:pStyle w:val="TableContents"/>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Change</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9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9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4"/>
              </w:rPr>
              <w:t>pp</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pp</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operating income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(22,671)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128,097 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(118)</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(26,688)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(22,172)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income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(25,028)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129,932 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(119)</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(26,554)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(22,331)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income (loss) per share</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7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(0.39)</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75"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40"/>
        <w:ind w:left="0" w:right="0" w:hanging="360"/>
        <w:jc w:val="both"/>
        <w:rPr/>
      </w:pPr>
      <w:r>
        <w:rPr>
          <w:rFonts w:ascii="Times New Roman;serif" w:hAnsi="Times New Roman;serif"/>
          <w:b w:val="false"/>
          <w:color w:val="000000"/>
          <w:sz w:val="14"/>
        </w:rPr>
        <w:t>1)</w:t>
      </w:r>
      <w:r>
        <w:rPr>
          <w:rFonts w:ascii="Times New Roman;serif" w:hAnsi="Times New Roman;serif"/>
          <w:b w:val="false"/>
          <w:color w:val="000000"/>
          <w:sz w:val="14"/>
          <w:shd w:fill="FFFFFF" w:val="clear"/>
        </w:rPr>
        <w:t>Ple</w:t>
      </w:r>
      <w:r>
        <w:rPr>
          <w:rFonts w:ascii="Times New Roman;serif" w:hAnsi="Times New Roman;serif"/>
          <w:b w:val="false"/>
          <w:color w:val="000000"/>
          <w:sz w:val="14"/>
        </w:rPr>
        <w:t xml:space="preserve">ase see tables below for a reconciliation from GAAP to non-GAAP. </w:t>
      </w:r>
    </w:p>
    <w:p>
      <w:pPr>
        <w:pStyle w:val="TextBody"/>
        <w:bidi w:val="0"/>
        <w:spacing w:lineRule="auto" w:line="288" w:before="100" w:after="283"/>
        <w:ind w:left="0" w:right="0" w:hanging="360"/>
        <w:jc w:val="left"/>
        <w:rPr/>
      </w:pPr>
      <w:r>
        <w:rPr>
          <w:rFonts w:ascii="Arial;sans-serif" w:hAnsi="Arial;sans-serif"/>
          <w:b w:val="false"/>
          <w:color w:val="000000"/>
          <w:sz w:val="12"/>
        </w:rPr>
        <w:t>2)</w:t>
      </w:r>
      <w:r>
        <w:rPr>
          <w:rFonts w:ascii="Times New Roman;serif" w:hAnsi="Times New Roman;serif"/>
          <w:b w:val="false"/>
          <w:color w:val="000000"/>
          <w:sz w:val="14"/>
        </w:rPr>
        <w:t>GAAP-only operating loss includes a significant impact from the calculated fair value of contingent acquisition liabilities where future earn-out shares are marked-to-market on a quarterly basis, and with the decrease in stock price compared to the previous quarter the gain associated with this item was $39 million in the first quarter of 2026. Non-GAAP measures exclude this non-operating/non-cash impact.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1D2228"/>
          <w:sz w:val="24"/>
          <w:shd w:fill="FEFEFE" w:val="clear"/>
        </w:rPr>
      </w:pPr>
      <w:r>
        <w:rPr>
          <w:rFonts w:ascii="Times New Roman;serif" w:hAnsi="Times New Roman;serif"/>
          <w:b/>
          <w:color w:val="1D2228"/>
          <w:sz w:val="24"/>
          <w:shd w:fill="FEFEFE" w:val="clear"/>
        </w:rPr>
        <w:t>Liquidity and Cash Flows</w:t>
      </w:r>
    </w:p>
    <w:p>
      <w:pPr>
        <w:pStyle w:val="TextBody"/>
        <w:bidi w:val="0"/>
        <w:spacing w:lineRule="auto" w:line="288" w:before="100" w:after="360"/>
        <w:jc w:val="both"/>
        <w:rPr/>
      </w:pPr>
      <w:r>
        <w:rPr>
          <w:rFonts w:ascii="Times New Roman;serif" w:hAnsi="Times New Roman;serif"/>
          <w:b w:val="false"/>
          <w:color w:val="000000"/>
          <w:sz w:val="24"/>
          <w:shd w:fill="FEFEFE" w:val="clear"/>
        </w:rPr>
        <w:t xml:space="preserve">The company’s total cash and cash equivalents was </w:t>
      </w:r>
      <w:r>
        <w:rPr>
          <w:rFonts w:ascii="Times New Roman;serif" w:hAnsi="Times New Roman;serif"/>
          <w:b w:val="false"/>
          <w:color w:val="000000"/>
          <w:sz w:val="24"/>
        </w:rPr>
        <w:t>$216 million</w:t>
      </w:r>
      <w:r>
        <w:rPr>
          <w:color w:val="000000"/>
          <w:shd w:fill="FEFEFE" w:val="clear"/>
        </w:rPr>
        <w:t xml:space="preserve"> </w:t>
      </w:r>
      <w:r>
        <w:rPr>
          <w:rFonts w:ascii="Times New Roman;serif" w:hAnsi="Times New Roman;serif"/>
          <w:b w:val="false"/>
          <w:color w:val="000000"/>
          <w:sz w:val="24"/>
          <w:shd w:fill="FEFEFE" w:val="clear"/>
        </w:rPr>
        <w:t xml:space="preserve">at </w:t>
      </w:r>
      <w:r>
        <w:rPr>
          <w:rFonts w:ascii="Times New Roman;serif" w:hAnsi="Times New Roman;serif"/>
          <w:b w:val="false"/>
          <w:color w:val="000000"/>
          <w:sz w:val="24"/>
        </w:rPr>
        <w:t>March 31, 2026</w:t>
      </w:r>
      <w:r>
        <w:rPr>
          <w:rFonts w:ascii="Times New Roman;serif" w:hAnsi="Times New Roman;serif"/>
          <w:b w:val="false"/>
          <w:color w:val="000000"/>
          <w:sz w:val="24"/>
          <w:shd w:fill="FEFEFE" w:val="clear"/>
        </w:rPr>
        <w:t xml:space="preserve">, with no debt. </w:t>
      </w:r>
    </w:p>
    <w:p>
      <w:pPr>
        <w:pStyle w:val="TextBody"/>
        <w:bidi w:val="0"/>
        <w:spacing w:lineRule="auto" w:line="288" w:before="100" w:after="160"/>
        <w:jc w:val="both"/>
        <w:rPr>
          <w:rFonts w:ascii="Times New Roman;serif" w:hAnsi="Times New Roman;serif"/>
          <w:b/>
          <w:color w:val="1D2228"/>
          <w:sz w:val="24"/>
          <w:shd w:fill="FEFEFE" w:val="clear"/>
        </w:rPr>
      </w:pPr>
      <w:r>
        <w:rPr>
          <w:rFonts w:ascii="Times New Roman;serif" w:hAnsi="Times New Roman;serif"/>
          <w:b/>
          <w:color w:val="1D2228"/>
          <w:sz w:val="24"/>
          <w:shd w:fill="FEFEFE" w:val="clear"/>
        </w:rPr>
        <w:t>Condensed Cash Flow Statement</w:t>
      </w:r>
    </w:p>
    <w:tbl>
      <w:tblPr>
        <w:tblW w:w="9746" w:type="dxa"/>
        <w:jc w:val="left"/>
        <w:tblInd w:w="0" w:type="dxa"/>
        <w:tblLayout w:type="fixed"/>
        <w:tblCellMar>
          <w:top w:w="28" w:type="dxa"/>
          <w:left w:w="28" w:type="dxa"/>
          <w:bottom w:w="28" w:type="dxa"/>
          <w:right w:w="28" w:type="dxa"/>
        </w:tblCellMar>
      </w:tblPr>
      <w:tblGrid>
        <w:gridCol w:w="1803"/>
        <w:gridCol w:w="1583"/>
        <w:gridCol w:w="1593"/>
        <w:gridCol w:w="109"/>
        <w:gridCol w:w="109"/>
        <w:gridCol w:w="109"/>
        <w:gridCol w:w="496"/>
        <w:gridCol w:w="238"/>
        <w:gridCol w:w="238"/>
        <w:gridCol w:w="518"/>
        <w:gridCol w:w="277"/>
        <w:gridCol w:w="245"/>
        <w:gridCol w:w="109"/>
        <w:gridCol w:w="109"/>
        <w:gridCol w:w="109"/>
        <w:gridCol w:w="480"/>
        <w:gridCol w:w="231"/>
        <w:gridCol w:w="231"/>
        <w:gridCol w:w="502"/>
        <w:gridCol w:w="324"/>
        <w:gridCol w:w="333"/>
      </w:tblGrid>
      <w:tr>
        <w:trPr/>
        <w:tc>
          <w:tcPr>
            <w:tcW w:w="180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Quarter Ended</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2025</w:t>
            </w:r>
          </w:p>
        </w:tc>
      </w:tr>
      <w:tr>
        <w:trPr/>
        <w:tc>
          <w:tcPr>
            <w:tcW w:w="4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7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(26,258)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88"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(19,185)</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(3,060)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(162)</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(3,243)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67,010 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(287)</w:t>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(94)</w:t>
            </w:r>
          </w:p>
        </w:tc>
        <w:tc>
          <w:tcPr>
            <w:tcW w:w="33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71" w:type="dxa"/>
            <w:gridSpan w:val="4"/>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(32,848)</w:t>
            </w:r>
          </w:p>
        </w:tc>
        <w:tc>
          <w:tcPr>
            <w:tcW w:w="2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88" w:type="dxa"/>
            <w:gridSpan w:val="4"/>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47,569</w:t>
            </w:r>
            <w:r>
              <w:rPr>
                <w:color w:val="000000"/>
              </w:rPr>
              <w:t> </w:t>
            </w:r>
          </w:p>
        </w:tc>
        <w:tc>
          <w:tcPr>
            <w:tcW w:w="3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Business Outlook</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SoundHound AI reaffirms its full year 2026 revenue outlook and still expects it to be in a range of $225 - $260 million.</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Additional Information</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For more information please see the company’s SEC filings which can be obtained on the company’s website at investors.soundhound.com. The financial statements will be posted on the website, and will be included when the company files its 8-K. The financial data presented in this press release should be considered preliminary until the company files its 10-Q.</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Conference Call and Webcast</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SoundHound AI will host a live audio conference call and webcast today at 2:00 p.m. Pacific Time/5:00 p.m. Eastern Time. A live webcast and replay will also be accessible at investors.soundhound.com. </w:t>
      </w:r>
    </w:p>
    <w:p>
      <w:pPr>
        <w:pStyle w:val="TextBody"/>
        <w:bidi w:val="0"/>
        <w:spacing w:lineRule="auto" w:line="288" w:before="100" w:after="100"/>
        <w:jc w:val="left"/>
        <w:rPr>
          <w:rFonts w:ascii="Times New Roman;serif" w:hAnsi="Times New Roman;serif"/>
          <w:b/>
          <w:color w:val="000000"/>
          <w:sz w:val="24"/>
          <w:shd w:fill="FEFEFE" w:val="clear"/>
        </w:rPr>
      </w:pPr>
      <w:r>
        <w:rPr>
          <w:rFonts w:ascii="Times New Roman;serif" w:hAnsi="Times New Roman;serif"/>
          <w:b/>
          <w:color w:val="000000"/>
          <w:sz w:val="24"/>
          <w:shd w:fill="FEFEFE" w:val="clear"/>
        </w:rPr>
        <w:t xml:space="preserve">About SoundHound AI </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SoundHound AI is a voice and agentic AI company that enables businesses to deliver natural, end-to-end conversational experiences across digital and physical channels, including phones, kiosks, chat, smart devices, drive-thrus, TVs, in-vehicle, and more. Its agentic platform, OASYS, is a self-learning, orchestrated AI system where organizations can build and deploy conversational AI agents to handle transactions, tasks, and workflows on behalf of customers and employees. Built on proprietary technology backed by 400+ patents and years of AI research, SoundHound serves leading brands across industries including automotive, financial services, healthcare, retail, telecommunications, and more. It powers millions of products and processes billions of interactions annually for enterprise customers worldwide. For more information, visit: www.soundhound.com </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Forward Looking Statements</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 xml:space="preserve">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the anticipated closing of our pending acquisition of LivePerson, and guidance for financial results for 2026 and 2027 giving effect to the acquisition of LivePerson.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our ability to close the acquisition of LivePerson in our expected timeframe or at all, unexpected costs, charges or expenses resulting from our recent acquisitions and our pending acquisition of LivePerson, the ability of our recent acquisitions and, upon closing, our acquisition of LivePerson, to be accretive on the company's financial results,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forward-looking statements, whether as a result of new information, future events or otherwise, except as required by applicable law.</w:t>
      </w:r>
    </w:p>
    <w:p>
      <w:pPr>
        <w:pStyle w:val="TextBody"/>
        <w:bidi w:val="0"/>
        <w:spacing w:lineRule="auto" w:line="288" w:before="100" w:after="16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Non-GAAP Measures of Financial Performance</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As such, the company believes that disclosing non-GAAP financial measures to the readers of its financial statements provides the reader with useful supplemental information that allows for greater transparency in the review of the company’s financial and operational performance.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defines its non-GAAP measures by excluding certain items:</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arrives at non-GAAP gross profit and non-GAAP gross margin by excluding (i) amortization of intangibles (including acquired intangible assets), (ii) stock-based compensation and related payroll taxes, and (iii) acquisition-related costs</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The company arrives at adjusted EBITDA by excluding (i) total other income/(expense), net, (ii) income taxes, (iii) depreciation and amortization expense (including acquired intangible assets), (iv) amortization of capitalized commissions, (v) stock-based compensation and related payroll taxes, (vi) change in fair value of contingent acquisition liabilities, and (vii) acquisition-related costs.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arrives at non-GAAP net loss and non-GAAP net loss per share by excluding (i) depreciation and amortization expense (including acquired intangible assets), (ii) amortization of capitalized commissions, (iii) stock-based compensation and related payroll taxes, (iv) change in fair value of contingent acquisition liabilities, (v) change in fair value of derivative, (vi) acquisition-related costs.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before="0" w:after="0"/>
        <w:jc w:val="left"/>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First Quarter Reconciliation of GAAP Gross Profit to Non-GAAP Gross Profit and GAAP Gross Margin to Non-GAAP Gross Margin</w:t>
      </w:r>
    </w:p>
    <w:tbl>
      <w:tblPr>
        <w:tblW w:w="9627" w:type="dxa"/>
        <w:jc w:val="left"/>
        <w:tblInd w:w="0" w:type="dxa"/>
        <w:tblLayout w:type="fixed"/>
        <w:tblCellMar>
          <w:top w:w="28" w:type="dxa"/>
          <w:left w:w="28" w:type="dxa"/>
          <w:bottom w:w="28" w:type="dxa"/>
          <w:right w:w="28" w:type="dxa"/>
        </w:tblCellMar>
      </w:tblPr>
      <w:tblGrid>
        <w:gridCol w:w="1836"/>
        <w:gridCol w:w="1613"/>
        <w:gridCol w:w="1620"/>
        <w:gridCol w:w="109"/>
        <w:gridCol w:w="109"/>
        <w:gridCol w:w="109"/>
        <w:gridCol w:w="496"/>
        <w:gridCol w:w="238"/>
        <w:gridCol w:w="238"/>
        <w:gridCol w:w="353"/>
        <w:gridCol w:w="353"/>
        <w:gridCol w:w="245"/>
        <w:gridCol w:w="109"/>
        <w:gridCol w:w="109"/>
        <w:gridCol w:w="109"/>
        <w:gridCol w:w="480"/>
        <w:gridCol w:w="231"/>
        <w:gridCol w:w="231"/>
        <w:gridCol w:w="353"/>
        <w:gridCol w:w="353"/>
        <w:gridCol w:w="333"/>
      </w:tblGrid>
      <w:tr>
        <w:trPr/>
        <w:tc>
          <w:tcPr>
            <w:tcW w:w="18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2025</w:t>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gross profit</w:t>
            </w:r>
            <w:r>
              <w:rPr>
                <w:rFonts w:ascii="Times New Roman;serif" w:hAnsi="Times New Roman;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2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13,742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1"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10,618</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4,983 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4,046 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Stock-based compensation and related payroll taxes²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3,090 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145 </w:t>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8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21,960</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68"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14,807</w:t>
            </w: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36.5%</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50.8%</w:t>
            </w:r>
          </w:p>
        </w:tc>
      </w:tr>
    </w:tbl>
    <w:p>
      <w:pPr>
        <w:pStyle w:val="TextBody"/>
        <w:bidi w:val="0"/>
        <w:spacing w:lineRule="auto" w:line="288" w:before="100" w:after="283"/>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16"/>
          <w:shd w:fill="FEFEFE" w:val="clear"/>
        </w:rPr>
        <w:t>G</w:t>
      </w:r>
      <w:r>
        <w:rPr>
          <w:rFonts w:ascii="Times New Roman;serif" w:hAnsi="Times New Roman;serif"/>
          <w:b w:val="false"/>
          <w:color w:val="000000"/>
          <w:sz w:val="16"/>
        </w:rPr>
        <w:t>AAP gross profit is calculated by subtracting the cost of revenues from revenues.</w:t>
      </w:r>
    </w:p>
    <w:p>
      <w:pPr>
        <w:pStyle w:val="TextBody"/>
        <w:bidi w:val="0"/>
        <w:spacing w:lineRule="auto" w:line="288" w:before="100" w:after="283"/>
        <w:ind w:left="0" w:right="0" w:hanging="360"/>
        <w:jc w:val="both"/>
        <w:rPr/>
      </w:pPr>
      <w:r>
        <w:rPr>
          <w:rFonts w:ascii="Times New Roman;serif" w:hAnsi="Times New Roman;serif"/>
          <w:b w:val="false"/>
          <w:color w:val="000000"/>
          <w:sz w:val="16"/>
        </w:rPr>
        <w:t>2)Q1 2026 includes employer payroll taxes that result from stock-based compensation in the amount of</w:t>
      </w:r>
      <w:r>
        <w:rPr>
          <w:color w:val="000000"/>
        </w:rPr>
        <w:t xml:space="preserve"> </w:t>
      </w:r>
      <w:r>
        <w:rPr>
          <w:rFonts w:ascii="Times New Roman;serif" w:hAnsi="Times New Roman;serif"/>
          <w:b w:val="false"/>
          <w:color w:val="000000"/>
          <w:sz w:val="16"/>
        </w:rPr>
        <w:t>$0.2 million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First Quarter Reconciliation of GAAP Net Income (Loss) to Non-GAAP Adjusted EBITDA</w:t>
      </w:r>
    </w:p>
    <w:tbl>
      <w:tblPr>
        <w:tblW w:w="10205" w:type="dxa"/>
        <w:jc w:val="left"/>
        <w:tblInd w:w="0" w:type="dxa"/>
        <w:tblLayout w:type="fixed"/>
        <w:tblCellMar>
          <w:top w:w="28" w:type="dxa"/>
          <w:left w:w="28" w:type="dxa"/>
          <w:bottom w:w="28" w:type="dxa"/>
          <w:right w:w="28" w:type="dxa"/>
        </w:tblCellMar>
      </w:tblPr>
      <w:tblGrid>
        <w:gridCol w:w="1889"/>
        <w:gridCol w:w="1625"/>
        <w:gridCol w:w="1634"/>
        <w:gridCol w:w="109"/>
        <w:gridCol w:w="109"/>
        <w:gridCol w:w="109"/>
        <w:gridCol w:w="482"/>
        <w:gridCol w:w="238"/>
        <w:gridCol w:w="238"/>
        <w:gridCol w:w="592"/>
        <w:gridCol w:w="318"/>
        <w:gridCol w:w="238"/>
        <w:gridCol w:w="109"/>
        <w:gridCol w:w="109"/>
        <w:gridCol w:w="109"/>
        <w:gridCol w:w="467"/>
        <w:gridCol w:w="236"/>
        <w:gridCol w:w="236"/>
        <w:gridCol w:w="512"/>
        <w:gridCol w:w="519"/>
        <w:gridCol w:w="327"/>
      </w:tblGrid>
      <w:tr>
        <w:trPr/>
        <w:tc>
          <w:tcPr>
            <w:tcW w:w="188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2025</w:t>
            </w:r>
          </w:p>
        </w:tc>
      </w:tr>
      <w:tr>
        <w:trPr/>
        <w:tc>
          <w:tcPr>
            <w:tcW w:w="5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8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(25,028)</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3"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129,932</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Total other income (expense), net</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1,559 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(2,654)</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819 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9,966 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7,755 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capitalized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19,952 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17,440 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(39,392)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(176,100)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Acquisition-related expenses</w:t>
            </w: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4,919 </w:t>
            </w:r>
          </w:p>
        </w:tc>
        <w:tc>
          <w:tcPr>
            <w:tcW w:w="2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636 </w:t>
            </w:r>
          </w:p>
        </w:tc>
        <w:tc>
          <w:tcPr>
            <w:tcW w:w="3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86"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(26,688)</w:t>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3" w:type="dxa"/>
            <w:gridSpan w:val="4"/>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(22,172)</w:t>
            </w:r>
          </w:p>
        </w:tc>
        <w:tc>
          <w:tcPr>
            <w:tcW w:w="3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other income (expense), net of $(1.5) million and $2.9 million for the three months ended March 31, 2026 and 2025, respectively.</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2)Q1 2026 includes employer payroll taxes that result from stock-based compensation in the amount of $1.4 million.</w:t>
      </w:r>
    </w:p>
    <w:p>
      <w:pPr>
        <w:pStyle w:val="TextBody"/>
        <w:bidi w:val="0"/>
        <w:spacing w:lineRule="auto" w:line="288" w:before="10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3)Acquisition-related expenses in Q1'26 also include acquisition-related severance expenses and transition expenses resulting from the transition agreements under specific acquisition. Acquisition-related transition expenses were newly added to non-GAAP adjustments in the current period and were not included in the comparative period.</w: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First Quarter Reconciliation of GAAP Net Income (Loss) to Non-GAAP Net Loss and Non-GAAP Net Loss Per Share</w:t>
      </w:r>
    </w:p>
    <w:tbl>
      <w:tblPr>
        <w:tblW w:w="10205" w:type="dxa"/>
        <w:jc w:val="left"/>
        <w:tblInd w:w="0" w:type="dxa"/>
        <w:tblLayout w:type="fixed"/>
        <w:tblCellMar>
          <w:top w:w="28" w:type="dxa"/>
          <w:left w:w="28" w:type="dxa"/>
          <w:bottom w:w="28" w:type="dxa"/>
          <w:right w:w="28" w:type="dxa"/>
        </w:tblCellMar>
      </w:tblPr>
      <w:tblGrid>
        <w:gridCol w:w="2163"/>
        <w:gridCol w:w="1652"/>
        <w:gridCol w:w="1659"/>
        <w:gridCol w:w="109"/>
        <w:gridCol w:w="109"/>
        <w:gridCol w:w="109"/>
        <w:gridCol w:w="392"/>
        <w:gridCol w:w="238"/>
        <w:gridCol w:w="238"/>
        <w:gridCol w:w="576"/>
        <w:gridCol w:w="309"/>
        <w:gridCol w:w="194"/>
        <w:gridCol w:w="109"/>
        <w:gridCol w:w="109"/>
        <w:gridCol w:w="109"/>
        <w:gridCol w:w="382"/>
        <w:gridCol w:w="236"/>
        <w:gridCol w:w="236"/>
        <w:gridCol w:w="499"/>
        <w:gridCol w:w="506"/>
        <w:gridCol w:w="271"/>
      </w:tblGrid>
      <w:tr>
        <w:trPr/>
        <w:tc>
          <w:tcPr>
            <w:tcW w:w="216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March 31, 2025</w:t>
            </w:r>
          </w:p>
        </w:tc>
      </w:tr>
      <w:tr>
        <w:trPr/>
        <w:tc>
          <w:tcPr>
            <w:tcW w:w="5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income (loss) attributable to SoundHound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6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(25,028)</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77"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129,227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7,755 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capitalized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19,952 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(39,392)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(176,100)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Acquisition-related expenses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4,919 </w:t>
            </w:r>
          </w:p>
        </w:tc>
        <w:tc>
          <w:tcPr>
            <w:tcW w:w="1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636 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6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(26,554)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77"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(22,331)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income (loss) per share</w:t>
            </w:r>
            <w:r>
              <w:rPr>
                <w:rFonts w:ascii="Times New Roman;serif" w:hAnsi="Times New Roman;serif"/>
                <w:b/>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(0.06)</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0.33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(0.39)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Non-GAAP net loss per share</w:t>
            </w:r>
            <w:r>
              <w:rPr>
                <w:rFonts w:ascii="Times New Roman;serif" w:hAnsi="Times New Roman;serif"/>
                <w:b/>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(0.06)</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income (loss) per share</w:t>
            </w:r>
            <w:r>
              <w:rPr>
                <w:rFonts w:ascii="Times New Roman;serif" w:hAnsi="Times New Roman;serif"/>
                <w:b/>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0.31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(0.37)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Non-GAAP net loss per share</w:t>
            </w:r>
            <w:r>
              <w:rPr>
                <w:rFonts w:ascii="Times New Roman;serif" w:hAnsi="Times New Roman;serif"/>
                <w:b/>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(0.06)</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00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(0.06)</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1)Q1 2026 includes employer payroll taxes that result from stock-based compensation in the amount of $1.4 million.</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2)Acquisition-related expenses in Q1'26 also include acquisition-related severance expenses and transition expenses resulting from the transition agreements under specific acquisition. Acquisition-related transition expenses were newly added to non-GAAP adjustments in the current period and were not included in the comparative period.</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3)Weighted average common shares outstanding (basic) for the three months ended March 31, 2026 and 2025 were 421,472,827 and 393,893,313,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4)Weighted average common shares outstanding (diluted) for the three months ended March 31, 2026 and 2025 were 421,472,827 and 393,893,313, respectively. Excludes earnings impact from realized portion of contingently issuable shares related to prior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Investors: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Scott Smith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408-724-1498</w:t>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IR@SoundHound.com</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Media: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Fiona McEvoy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415-610-6590</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PR@SoundHound.com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97"/>
        <w:gridCol w:w="2555"/>
        <w:gridCol w:w="2553"/>
        <w:gridCol w:w="166"/>
        <w:gridCol w:w="526"/>
        <w:gridCol w:w="109"/>
        <w:gridCol w:w="109"/>
        <w:gridCol w:w="109"/>
        <w:gridCol w:w="109"/>
        <w:gridCol w:w="170"/>
        <w:gridCol w:w="541"/>
        <w:gridCol w:w="161"/>
      </w:tblGrid>
      <w:tr>
        <w:trPr/>
        <w:tc>
          <w:tcPr>
            <w:tcW w:w="3097"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w:t>
              <w:br/>
              <w:t>2025</w:t>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Current assets: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248,490 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12"/>
              </w:rPr>
              <w:t>Accounts receivable, net of allowances of $2,807 and $2,254 as of March 31, 2026 and December 31, 2025,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32,336 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assets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329,129 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 non-current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Right-of-use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Property and equipment,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Goodwill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Intangible assets,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181,395 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asset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non-current,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29,906 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18,042 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644,951 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LIABILITIES AND 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Current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Finance lease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24,042 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liabilities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73,287 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71,739 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9,540 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184,285 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224,387 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Commitments and contingencies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Stockholders’ equity:</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Series A Preferred Stock, $0.0001 par value; 1,000,000 shares authorized; 0 and 0 shares issued and outstanding, aggregate liquidation preference of $0 and $0 as of March 31, 2026 and December 31, 2025,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A Common Stock, $0.0001 par value; 755,000,000 shares authorized as of March 31, 2026 and December 31, 2025; 393,742,421 and 390,070,691 shares issued and outstanding as of March 31, 2026 and December 31, 2025,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B Common Stock, $0.0001 par value; 44,000,000 shares authorized; 32,535,408 shares issued and outstanding as of March 31, 2026 and December 31, 2025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paid-in capital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1,442,560 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1,420,672 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deficit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(957,066)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Accumulated other comprehensive income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stockholders’ equity</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460,666 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463,786 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 and stockholders’ equity</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644,951 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8330" w:type="dxa"/>
        <w:jc w:val="center"/>
        <w:tblInd w:w="0" w:type="dxa"/>
        <w:tblLayout w:type="fixed"/>
        <w:tblCellMar>
          <w:top w:w="28" w:type="dxa"/>
          <w:left w:w="28" w:type="dxa"/>
          <w:bottom w:w="28" w:type="dxa"/>
          <w:right w:w="28" w:type="dxa"/>
        </w:tblCellMar>
      </w:tblPr>
      <w:tblGrid>
        <w:gridCol w:w="2053"/>
        <w:gridCol w:w="1797"/>
        <w:gridCol w:w="1820"/>
        <w:gridCol w:w="227"/>
        <w:gridCol w:w="796"/>
        <w:gridCol w:w="119"/>
        <w:gridCol w:w="109"/>
        <w:gridCol w:w="109"/>
        <w:gridCol w:w="109"/>
        <w:gridCol w:w="211"/>
        <w:gridCol w:w="826"/>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SoundHound common shareholders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421,472,827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393,893,313</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429,783,201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414,156,455</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9248" w:type="dxa"/>
        <w:jc w:val="center"/>
        <w:tblInd w:w="0" w:type="dxa"/>
        <w:tblLayout w:type="fixed"/>
        <w:tblCellMar>
          <w:top w:w="28" w:type="dxa"/>
          <w:left w:w="28" w:type="dxa"/>
          <w:bottom w:w="28" w:type="dxa"/>
          <w:right w:w="28" w:type="dxa"/>
        </w:tblCellMar>
      </w:tblPr>
      <w:tblGrid>
        <w:gridCol w:w="2461"/>
        <w:gridCol w:w="2158"/>
        <w:gridCol w:w="2175"/>
        <w:gridCol w:w="196"/>
        <w:gridCol w:w="736"/>
        <w:gridCol w:w="109"/>
        <w:gridCol w:w="109"/>
        <w:gridCol w:w="109"/>
        <w:gridCol w:w="109"/>
        <w:gridCol w:w="196"/>
        <w:gridCol w:w="736"/>
        <w:gridCol w:w="154"/>
      </w:tblGrid>
      <w:tr>
        <w:trPr/>
        <w:tc>
          <w:tcPr>
            <w:tcW w:w="246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capitalized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gain/loss from remeasurement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acquisition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provided by (used in)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sales of Class A common stock under the Second Equity Distribution Agreement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financing costs associated with the Second Equity Distribution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contingent earnout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4"/>
        <w:gridCol w:w="2469"/>
        <w:gridCol w:w="2476"/>
        <w:gridCol w:w="196"/>
        <w:gridCol w:w="736"/>
        <w:gridCol w:w="109"/>
        <w:gridCol w:w="109"/>
        <w:gridCol w:w="109"/>
        <w:gridCol w:w="109"/>
        <w:gridCol w:w="196"/>
        <w:gridCol w:w="736"/>
        <w:gridCol w:w="156"/>
      </w:tblGrid>
      <w:tr>
        <w:trPr/>
        <w:tc>
          <w:tcPr>
            <w:tcW w:w="2804"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amounts on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restricted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equivalents shown in the condensed consolidated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to contingent earnout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offering costs reclassified to additional paid-in capital</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software development costs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4311</Words>
  <Characters>25609</Characters>
  <CharactersWithSpaces>29385</CharactersWithSpaces>
  <Paragraphs>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