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5260" w:type="dxa"/>
        <w:tblCellMar>
          <w:top w:w="0" w:type="dxa"/>
          <w:left w:w="0" w:type="dxa"/>
          <w:bottom w:w="0" w:type="dxa"/>
          <w:right w:w="0" w:type="dxa"/>
        </w:tblCellMar>
      </w:tblPr>
      <w:tr>
        <w:trPr>
          <w:trHeight w:val="220"/>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iovanni</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aruso</w:t>
            </w:r>
          </w:p>
        </w:tc>
        <w:tc>
          <w:tcPr>
            <w:tcW w:w="2200" w:type="dxa"/>
            <w:vAlign w:val="bottom"/>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w w:val="94"/>
              </w:rPr>
              <w:t>Direct</w:t>
            </w:r>
            <w:r>
              <w:rPr>
                <w:rFonts w:ascii="Times New Roman" w:cs="Times New Roman" w:eastAsia="Times New Roman" w:hAnsi="Times New Roman"/>
                <w:sz w:val="18"/>
                <w:szCs w:val="18"/>
                <w:color w:val="auto"/>
                <w:w w:val="94"/>
              </w:rPr>
              <w:t>     212.407.4866</w:t>
            </w:r>
          </w:p>
        </w:tc>
        <w:tc>
          <w:tcPr>
            <w:tcW w:w="0" w:type="dxa"/>
            <w:vAlign w:val="bottom"/>
          </w:tcPr>
          <w:p>
            <w:pPr>
              <w:spacing w:after="0"/>
              <w:rPr>
                <w:sz w:val="1"/>
                <w:szCs w:val="1"/>
                <w:color w:val="auto"/>
              </w:rPr>
            </w:pPr>
          </w:p>
        </w:tc>
      </w:tr>
      <w:tr>
        <w:trPr>
          <w:trHeight w:val="212"/>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w:t>
            </w:r>
          </w:p>
        </w:tc>
        <w:tc>
          <w:tcPr>
            <w:tcW w:w="2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Loeb &amp; Loeb LLP</w:t>
            </w:r>
          </w:p>
        </w:tc>
        <w:tc>
          <w:tcPr>
            <w:tcW w:w="22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w w:val="94"/>
              </w:rPr>
              <w:t>Main</w:t>
            </w:r>
            <w:r>
              <w:rPr>
                <w:rFonts w:ascii="Times New Roman" w:cs="Times New Roman" w:eastAsia="Times New Roman" w:hAnsi="Times New Roman"/>
                <w:sz w:val="18"/>
                <w:szCs w:val="18"/>
                <w:color w:val="auto"/>
                <w:w w:val="94"/>
              </w:rPr>
              <w:t>       212.407.4000</w:t>
            </w:r>
          </w:p>
        </w:tc>
        <w:tc>
          <w:tcPr>
            <w:tcW w:w="0" w:type="dxa"/>
            <w:vAlign w:val="bottom"/>
          </w:tcPr>
          <w:p>
            <w:pPr>
              <w:spacing w:after="0"/>
              <w:rPr>
                <w:sz w:val="1"/>
                <w:szCs w:val="1"/>
                <w:color w:val="auto"/>
              </w:rPr>
            </w:pPr>
          </w:p>
        </w:tc>
      </w:tr>
      <w:tr>
        <w:trPr>
          <w:trHeight w:val="220"/>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345 Park Avenue</w:t>
            </w:r>
          </w:p>
        </w:tc>
        <w:tc>
          <w:tcPr>
            <w:tcW w:w="22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w w:val="95"/>
              </w:rPr>
              <w:t>Fax</w:t>
            </w:r>
            <w:r>
              <w:rPr>
                <w:rFonts w:ascii="Times New Roman" w:cs="Times New Roman" w:eastAsia="Times New Roman" w:hAnsi="Times New Roman"/>
                <w:sz w:val="18"/>
                <w:szCs w:val="18"/>
                <w:color w:val="auto"/>
                <w:w w:val="95"/>
              </w:rPr>
              <w:t>          212.937.3943</w:t>
            </w:r>
          </w:p>
        </w:tc>
        <w:tc>
          <w:tcPr>
            <w:tcW w:w="0" w:type="dxa"/>
            <w:vAlign w:val="bottom"/>
          </w:tcPr>
          <w:p>
            <w:pPr>
              <w:spacing w:after="0"/>
              <w:rPr>
                <w:sz w:val="1"/>
                <w:szCs w:val="1"/>
                <w:color w:val="auto"/>
              </w:rPr>
            </w:pPr>
          </w:p>
        </w:tc>
      </w:tr>
      <w:tr>
        <w:trPr>
          <w:trHeight w:val="234"/>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York, NY 10154</w:t>
            </w:r>
          </w:p>
        </w:tc>
        <w:tc>
          <w:tcPr>
            <w:tcW w:w="2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gcaruso@loeb.com</w:t>
            </w:r>
          </w:p>
        </w:tc>
        <w:tc>
          <w:tcPr>
            <w:tcW w:w="0" w:type="dxa"/>
            <w:vAlign w:val="bottom"/>
          </w:tcPr>
          <w:p>
            <w:pPr>
              <w:spacing w:after="0"/>
              <w:rPr>
                <w:sz w:val="1"/>
                <w:szCs w:val="1"/>
                <w:color w:val="auto"/>
              </w:rPr>
            </w:pPr>
          </w:p>
        </w:tc>
      </w:tr>
      <w:tr>
        <w:trPr>
          <w:trHeight w:val="648"/>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Via Edgar</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March 24,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Matthew Crispino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 Woo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468"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 No. 2 to Registration Statement on Form S-4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March 10,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333-262094</w:t>
      </w:r>
    </w:p>
    <w:p>
      <w:pPr>
        <w:spacing w:after="0" w:line="200" w:lineRule="exact"/>
        <w:rPr>
          <w:sz w:val="24"/>
          <w:szCs w:val="24"/>
          <w:color w:val="auto"/>
        </w:rPr>
      </w:pPr>
    </w:p>
    <w:p>
      <w:pPr>
        <w:sectPr>
          <w:pgSz w:w="11900" w:h="16838" w:orient="portrait"/>
          <w:cols w:equalWidth="0" w:num="2">
            <w:col w:w="280" w:space="380"/>
            <w:col w:w="10580"/>
          </w:cols>
          <w:pgMar w:left="320" w:top="468"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Crispino and Ms. Woo:</w:t>
      </w:r>
    </w:p>
    <w:p>
      <w:pPr>
        <w:spacing w:after="0" w:line="22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behalf of our client, Archimedes Tech Spac Partners Co.,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ATSP</w:t>
      </w:r>
      <w:r>
        <w:rPr>
          <w:rFonts w:ascii="Times New Roman" w:cs="Times New Roman" w:eastAsia="Times New Roman" w:hAnsi="Times New Roman"/>
          <w:sz w:val="18"/>
          <w:szCs w:val="18"/>
          <w:color w:val="auto"/>
        </w:rPr>
        <w:t>”), we submit to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this letter setting forth the Company’s response to the comments contained in the Staff’s letter dated March 23, 2022 (the </w:t>
      </w:r>
      <w:r>
        <w:rPr>
          <w:rFonts w:ascii="Times New Roman" w:cs="Times New Roman" w:eastAsia="Times New Roman" w:hAnsi="Times New Roman"/>
          <w:sz w:val="18"/>
          <w:szCs w:val="18"/>
          <w:b w:val="1"/>
          <w:bCs w:val="1"/>
          <w:color w:val="auto"/>
        </w:rPr>
        <w:t>“Comment Letter”</w:t>
      </w:r>
      <w:r>
        <w:rPr>
          <w:rFonts w:ascii="Times New Roman" w:cs="Times New Roman" w:eastAsia="Times New Roman" w:hAnsi="Times New Roman"/>
          <w:sz w:val="18"/>
          <w:szCs w:val="18"/>
          <w:color w:val="auto"/>
        </w:rPr>
        <w:t xml:space="preserve">) regarding the Company’s Registration Statement on Form S-4 (the </w:t>
      </w:r>
      <w:r>
        <w:rPr>
          <w:rFonts w:ascii="Times New Roman" w:cs="Times New Roman" w:eastAsia="Times New Roman" w:hAnsi="Times New Roman"/>
          <w:sz w:val="18"/>
          <w:szCs w:val="18"/>
          <w:b w:val="1"/>
          <w:bCs w:val="1"/>
          <w:color w:val="auto"/>
        </w:rPr>
        <w:t>“Form S-4”</w:t>
      </w:r>
      <w:r>
        <w:rPr>
          <w:rFonts w:ascii="Times New Roman" w:cs="Times New Roman" w:eastAsia="Times New Roman" w:hAnsi="Times New Roman"/>
          <w:sz w:val="18"/>
          <w:szCs w:val="18"/>
          <w:color w:val="auto"/>
        </w:rPr>
        <w:t>).</w:t>
      </w:r>
    </w:p>
    <w:p>
      <w:pPr>
        <w:spacing w:after="0" w:line="17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is today filing via EDGAR Amendment No. 3 to the Form S-4 (“</w:t>
      </w:r>
      <w:r>
        <w:rPr>
          <w:rFonts w:ascii="Times New Roman" w:cs="Times New Roman" w:eastAsia="Times New Roman" w:hAnsi="Times New Roman"/>
          <w:sz w:val="18"/>
          <w:szCs w:val="18"/>
          <w:b w:val="1"/>
          <w:bCs w:val="1"/>
          <w:color w:val="auto"/>
        </w:rPr>
        <w:t>Amendment No. 3</w:t>
      </w:r>
      <w:r>
        <w:rPr>
          <w:rFonts w:ascii="Times New Roman" w:cs="Times New Roman" w:eastAsia="Times New Roman" w:hAnsi="Times New Roman"/>
          <w:sz w:val="18"/>
          <w:szCs w:val="18"/>
          <w:color w:val="auto"/>
        </w:rPr>
        <w:t>”), which reflects the Company’s responses to the comments received from the Staff and certain updated information. For ease of reference, each comment contained in the Comment Letter is printed below and is followed by the Company’s response. All page references in the responses set forth below refer to the page numbers in the Registration Statement.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2 to Registration Statement on Form S-4</w:t>
      </w:r>
    </w:p>
    <w:p>
      <w:pPr>
        <w:spacing w:after="0" w:line="225" w:lineRule="exact"/>
        <w:rPr>
          <w:sz w:val="24"/>
          <w:szCs w:val="24"/>
          <w:color w:val="auto"/>
        </w:rPr>
      </w:pPr>
    </w:p>
    <w:p>
      <w:pPr>
        <w:ind w:right="31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 of SoundHound Factors Affecting Our Operating Results, page 148</w:t>
      </w:r>
    </w:p>
    <w:p>
      <w:pPr>
        <w:spacing w:after="0" w:line="155" w:lineRule="exact"/>
        <w:rPr>
          <w:sz w:val="24"/>
          <w:szCs w:val="24"/>
          <w:color w:val="auto"/>
        </w:rPr>
      </w:pPr>
    </w:p>
    <w:p>
      <w:pPr>
        <w:jc w:val="both"/>
        <w:ind w:left="660" w:hanging="652"/>
        <w:spacing w:after="0" w:line="26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note your revised disclosure in response to prior comment 3 explaining what you consider to be customer retention. You indicate that you consider revenue to be recurring if your customer contract does not terminate the relationship and you continue to provide the customer with the same or other services in the subsequent year. Please refrain from referring to this revenue as recurring when it appears that you are describing customer retention.</w:t>
      </w:r>
    </w:p>
    <w:p>
      <w:pPr>
        <w:spacing w:after="0" w:line="176" w:lineRule="exact"/>
        <w:rPr>
          <w:sz w:val="24"/>
          <w:szCs w:val="24"/>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discussion of the Factors Affecting Our Operating Results has been revised on page 148 of Amendment No. 3 in response to the Staff’s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comment.</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page 151</w:t>
      </w:r>
    </w:p>
    <w:p>
      <w:pPr>
        <w:spacing w:after="0" w:line="225" w:lineRule="exact"/>
        <w:rPr>
          <w:sz w:val="20"/>
          <w:szCs w:val="20"/>
          <w:color w:val="auto"/>
        </w:rPr>
      </w:pPr>
    </w:p>
    <w:p>
      <w:pPr>
        <w:jc w:val="both"/>
        <w:ind w:left="660" w:hanging="652"/>
        <w:spacing w:after="0" w:line="268"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your discussion of the changes in revenue by geographic location, you refer to the overall trend of international growth in Germany. However, we note that the increase in revenue in Germany was due to a one-time contract modification to end a distinct professional service contract prior to completion. Please clarify your disclosure.</w:t>
      </w:r>
    </w:p>
    <w:p>
      <w:pPr>
        <w:spacing w:after="0" w:line="17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disclosure regarding international revenue growth has been revised on page 152 of Amendment No. 3 in response to the Staff’s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Unaudited Pro Forma Condensed Combined Financial Information, page 162</w:t>
      </w:r>
    </w:p>
    <w:p>
      <w:pPr>
        <w:spacing w:after="0" w:line="225" w:lineRule="exact"/>
        <w:rPr>
          <w:sz w:val="20"/>
          <w:szCs w:val="20"/>
          <w:color w:val="auto"/>
        </w:rPr>
      </w:pPr>
    </w:p>
    <w:p>
      <w:pPr>
        <w:ind w:left="660" w:hanging="652"/>
        <w:spacing w:after="0" w:line="286"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you have assumed maximum redemptions. Tell us how you determined you will meet the minimum cash requirements provided in the merger agreement based on the balance of pro forma cash assuming maximum redemptions.</w:t>
      </w:r>
    </w:p>
    <w:p>
      <w:pPr>
        <w:spacing w:after="0" w:line="154" w:lineRule="exact"/>
        <w:rPr>
          <w:rFonts w:ascii="Times New Roman" w:cs="Times New Roman" w:eastAsia="Times New Roman" w:hAnsi="Times New Roman"/>
          <w:sz w:val="18"/>
          <w:szCs w:val="18"/>
          <w:b w:val="1"/>
          <w:bCs w:val="1"/>
          <w:color w:val="auto"/>
        </w:rPr>
      </w:pPr>
    </w:p>
    <w:p>
      <w:pPr>
        <w:jc w:val="both"/>
        <w:ind w:left="6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disclosures regarding the maximum redemption scenario have been revised on page 164 and 173 of Amendment No. 3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to the Staff’s comment. Please note that, as per the disclosures, the calculation for the minimum cash condition only considers 1) the amount of cash available in the trust account after deducting any redemptions and 2) the $111.0 million of PIPE Investments. Therefore, in the maximum redemption scenario, where the amount of cash available in the trust account will be $0, the Company will still receive the $111.0 million of PIPE investments, which will satisfy the minimum cash requirement.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call me at 212 407-4866 if you would like additional information with respect to any of the foregoing. 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Sincerely,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Giovanni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Giovanni Caruso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 Loeb &amp; Loeb LLP</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2022-05-08T21:44:13Z</dcterms:created>
  <dcterms:modified xsi:type="dcterms:W3CDTF">2022-05-08T21:44:13Z</dcterms:modified>
</cp:coreProperties>
</file>