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SOUNDHOUND AI,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86-1286799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2093 Philadelphia Pike #1968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Claymont, DE 19703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362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SOUN</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Warrants, each exercisable for one share of</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SOUNW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 Common Stock at a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26, 2022 (the “Closing Date”), the registrant consummated its previously announced business combination (the “Closing”) pursuant to that certain Merger Agreement dated as of November 15, 2021 (the “Merger Agreement”), by and among Archimedes Tech SPAC Partners Co.,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As a result of the Merger, the registrant owns 100% of the outstanding common stock of SoundHound, Inc. In connection with the closing of the Business Combination, the registrant changed its name from “Archimedes Tech SPAC Partners Co.” to “SoundHound AI, Inc.” In connection with the Closing, the Common Stock of ATSP was redesignated as Class A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(i) references to “we,” “us,” “our,” and the “Company” refer to SoundHound AI, Inc., a Delaware corporation, and its consolidated subsidiaries, including SoundHound, Inc., a Delaware corporation, following the Closing, (ii) references to “SH” refer to SoundHound, Inc., (iii) references to “ATSP” refer to Archimedes Tech SPAC Partners Co., a Delaware corporation, prior to the Closing and (iv) references to the “registrant” refer to ATSP, which was renamed SoundHound AI., Inc. on the Closing Date. All references herein to the “Board” refer to the board of directors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Terms used in this Current Report on Form 8-K (this “Report”) but not defined herein, or for which definitions are not otherwise incorporated by reference herein, shall have the meaning given to such terms in the Proxy Statement Solicitation (as defined below) in the section entitled “Frequently Used Terms” beginning on page 1 thereof, and such definitions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of Securities and Merger Consideration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the Closing, each share of Class A common stock of SH and each share of preferred stock of SH was converted into the right to receive 5.5562 shares of Class A common stock of the registrant (“Class A Common Stock”), and each share of Class B common stock of SH was converted into the right to receive 5.5562 shares of Class B common stock of the registrant (“Class B Common Stock”). Each share of Class A Common Stock is entitled to one vote per share and each share of Class B Common Stock is entitled to ten votes per share.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material terms and conditions of the Merger Agreement are described in greater detail in the Company’s definitive proxy statement/prospectus/consent solicitation (the “Proxy Statement”) filed with the Securities and Exchange Commission (the “SEC”) pursuant to Rule 424(b)</w:t>
      </w:r>
    </w:p>
    <w:p>
      <w:pPr>
        <w:ind w:firstLine="8"/>
        <w:spacing w:after="0" w:line="260" w:lineRule="auto"/>
        <w:tabs>
          <w:tab w:leader="none" w:pos="25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of 1933, as amended, on April 8, 2022, in the section entitled “Proposal 1 – The Business Combination Proposal – The Merger Agreement” beginning on page 81, which information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Merger Agreement, ATSP entered into subscription agreements (collectively, the “Subscription Agreements”) with certain accredited investors (the “Subscribers”) pursuant to which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Company’s public stockholders at the time of the Closing, except that the PIPE Shares were not entitled to any redemption rights and have not as yet been registered with the SEC. The sale of PIPE Shares was consummated concurrently with the Closing.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Merger Agreement and the Subscription Agreements are summaries only and are qualified in their entirety by the full text of the Merger Agreement and the form of Subscription Agreement, copies of which are attached hereto as Exhibit 2.1 and Exhibit 10.1, respectively,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Contemporaneously with the execution and delivery of the Merger Agreement, (i) certain stockholders of ATSP, SH and ATSP entered into the Parent Support Agreements; (ii) certain stockholders of SH, SH and ATSP entered into the Company Support Agreements; and (iii) certain key SH stockholders entered into Lock-Up Agreements, each of which became effective as of the Closing Date, and copies of which are filed as Exhibits 10.2, 10.3, and 10.4, respectively, to this Report, and are incorporated herein by reference.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 Agreements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the Company entered into indemnity agreements with each of its directors and executive officers and certain other officers of the Company. Each indemnity agreement provides for indemnification and advancement by the Company of certain expenses and costs relating to claims, suits or proceedings arising from service to the Company or, at its request, service to other entities, as officers or directors to the maximum extent permitted by applicable law.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indemnity agreements does not purport to be complete and is qualified in its entirety by the terms and conditions of the indemnity agreements, the form of which is attached hereto as Exhibit 10.10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Closing, the Company entered into an Amended and Restated Registration Rights Agreement with certain stockholders of ATSP with respect to the shares of Class A Common Stock they owned at the Closing, and with certain SH stockholders who are affiliates of the Company following the Closing, with respect to the Merger Consideration Shares after the Closing. The terms of the Amended and Restated Registration Rights Agreement are described in the section of the Proxy Statement entitled “Proposal 1 – The Business Combination Proposal – Certain Related Agreements” beginning on page 87, which information is incorporated herein by reference.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Registration Rights Agreement is qualified in its entirety by the full text of the Amended and Restated Registration Rights Agreement, the form of which is filed as Exhibit 10.5 hereto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Warrant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26, 2022, in connection with the Closing, the Company entered into an amended and restated warrant agreement (the “Amended and Restated Warrant Agreement”) by and between ATSP and Continental Stock Transfer &amp; Trust Company, a New York limited purpose trust company, in order to amend the terms of the Company’s private warrants to provide that the private warrants are identical to the terms of the public warrants that were included as part of the units sold in ATSP’s initial public offering.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Amended and Restated Warrant Agreement is attached hereto as Exhibit 4.1 and incorporated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set forth in the “Introductory Note” above is incorporated into this Item 2.01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26, 2022, the Business Combination was approved by the Company’s stockholders at a special meeting thereof (the “Special Meeting”), held in lieu of the 2022 annual meeting of the Company’s stockholders. Holders of an aggregate of 12,767,950 shares of Class A common stock of ATSP sold in ATSP’s initial public offering (the “</w:t>
      </w:r>
      <w:r>
        <w:rPr>
          <w:rFonts w:ascii="Times New Roman" w:cs="Times New Roman" w:eastAsia="Times New Roman" w:hAnsi="Times New Roman"/>
          <w:sz w:val="18"/>
          <w:szCs w:val="18"/>
          <w:u w:val="single" w:color="auto"/>
          <w:color w:val="auto"/>
        </w:rPr>
        <w:t>public shares</w:t>
      </w:r>
      <w:r>
        <w:rPr>
          <w:rFonts w:ascii="Times New Roman" w:cs="Times New Roman" w:eastAsia="Times New Roman" w:hAnsi="Times New Roman"/>
          <w:sz w:val="18"/>
          <w:szCs w:val="18"/>
          <w:color w:val="auto"/>
        </w:rPr>
        <w:t>”) exercised their right to have such shares redeemed for a pro rata portion of the trust account holding the proceeds from ATSP’s initial public offering, calculated as of two (2) business days prior to the date of the Special Meeting, which was $10.00 per share, or $127,679,500 in the aggregate.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and customary adjustments set forth therein, the aggregate merger consideration paid by ATSP to the SH security holders in connection with the Business Combination was an amount equal to $2,000,000,000, with outstanding SH stock options and warrants assumed by the Company included on a net exercise basis. The merger consideration included both cash consideration and consideration in the form of newly issued Class A Common Stock and Class B Common Stock.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Business Combination, each share of SH common stock outstanding immediately prior to the effective time of the Business Combination (including shares of SH preferred stock immediately prior to the Closing) was converted into the right to receive approximately 180,510,660 shares of the Company’s common stock, consisting of 140,114,060 shares of Class A Common Stock and 40,396,600 shares of Class B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Immediately following consummation of the Business Combination, including the redemption of public shares as described above and the consummation of the PIPE Investment, there were 156,107,110 shares of the Company’s Class A Common Stock and 40,396,600 shares of the Company’s Class B Common Stock, issued and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and warrants commenced trading on the Nasdaq Global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under the symbols “SOUN” and “SOUNW,” respectively, on April 28, 2022. The continued listing of the Company’s securities on Nasdaq is subject to Nasdaq’s ongoing review of the Company’s satisfaction of the applicable listing criteria.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an aggregate of $127,679,500 was paid from the Company’s trust account to holders that properly exercised their right to have public shares redeemed, and the remaining balance immediately prior to the Closing of approximately $5,356,628 remained in the trust account. The remaining amount in the trust account was used to fund expenses incurred by SH and ATSP in connection with the Business Combination, after payment of deferred underwriting commissions in connection with ATSP’s initial public offering, and will be used for general corporate purposes of the Company following the Business Combination.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outstanding founder shares issued by ATSP will continue to be subject to the transfer restrictions applicable to such shares, and certain stockholders of SH have agreed to lock-up provisions with respect to the shares of the Company held by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FORM 10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Closing, the Company was a shell company (as defined in Rule 12b-2 under the Securities Exchange Act of 1934, as amended (the “Exchange Act”)) with no operations. The Company was, formed as a vehicle to effect a business combination with one or more operating businesses. After the Closing, the Company became a holding company whose operating assets consist of the operating assets of SH and its subsidiaries.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Report, including the information incorporated herein by reference, contains “forward-looking statements” within the meaning of Section 27A of the Securities Act and Section 21E of the Securities Exchange Act of 1934, as amended. These forward-looking statements relate to expectations for future financial performance, business strategies or expectations for the Company’s business. Specifically, forward-looking statements may include statements preceded by, followed by or that include the words “anticipate,” “believe,” “continue,” “could,” “estimate,” “expect,” “intends,” “may,” “might,” “plan,” “possible,” “potential,” “predict,” “project,” “should,” “would” and similar expressions.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management’s current expectations, forecasts and assumptions, and involve a number of judgments, risks and uncertainties. Accordingly, forward-looking statements should not be relied upon as representing the Company’s views as of any subsequent date. The Company does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a number of known and unknown risks and uncertainties, the Company’s actual results or performance may be materially different from those expressed or implied by these forward-looking statements. Some factors that could cause actual results to differ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Company’s listing on Nasdaq following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financing or complete acquisitions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disrupts current plans and operations as a result of the announcement and consummation of the transactions;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success in retaining or recruiting, or changes required in, its officers, key employees or directors following the Business Combination;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 which may be affected by, among other things, competition and the ability of the combined business to grow and manage growth profitably;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and financial performance of the Company, including market conditions and global and economic factors beyond the Company’s control, including supply chain considerations;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Company following consummation of the Business Combination;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and related changes in base interest rates and significant market volatility on the Company’s business, our industry and the global economy;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continuing COVID-19 pandemic on the Company’s business;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or incorporated by reference in this Report, including those set forth in the section of the Proxy Statement entitled “Risk Factors” beginning on page 40.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 entitled “Information About SoundHound” beginning on page 129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section of the Proxy Statement entitled “Risk Factors” beginning on page 40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Historical Financial and 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 entitled “Selected Historical Consolidated Financial Data of SoundHound” beginning on page 37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sections of the Proxy Statement entitled “Management’s Discussion and Analysis of Financial Condition and Results of Operations of SoundHound” beginning on page 144,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principal executive office is located at 5400 Betsy Ross Drive, Santa Clara, CA 95054.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common stock as of the Closing Date by:</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percentage of beneficial ownership is based on 196,503,710 shares of Company common stock issued and outstanding as of the Closing Date, which calculation includes (i) 156,107,110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SEC rules, shares of our common stock which may be acquired upon exercise of stock options or warrants which are currently exercisable or which become exercisable within 60 days of the date of the Closing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w w:val="98"/>
              </w:rPr>
              <w:t>Beneficial Ownership Table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0"/>
        </w:trPr>
        <w:tc>
          <w:tcPr>
            <w:tcW w:w="4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45"/>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Owners</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Class</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r>
      <w:tr>
        <w:trPr>
          <w:trHeight w:val="216"/>
        </w:trPr>
        <w:tc>
          <w:tcPr>
            <w:tcW w:w="4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833,435</w:t>
            </w: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16,639,064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James Hom</w:t>
            </w: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5,173,780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4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9"/>
                <w:szCs w:val="29"/>
                <w:color w:val="auto"/>
                <w:vertAlign w:val="superscript"/>
              </w:rPr>
              <w:t>(1)</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919,751</w:t>
            </w: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R. Ball</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Dr. Seyed Majid Emami</w:t>
            </w: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666,748</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18,583,756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Zubin Irani</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9"/>
                <w:szCs w:val="29"/>
                <w:color w:val="auto"/>
                <w:vertAlign w:val="superscript"/>
              </w:rPr>
              <w:t>(2)</w:t>
            </w: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1,508,000</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9"/>
                <w:szCs w:val="29"/>
                <w:color w:val="auto"/>
                <w:vertAlign w:val="superscript"/>
              </w:rPr>
              <w:t>(3)</w:t>
            </w:r>
          </w:p>
        </w:tc>
        <w:tc>
          <w:tcPr>
            <w:tcW w:w="14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839,219</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All directors and executive officers as a group (10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6"/>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individuals)</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12,041,153</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40,396,600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4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Global Catalyst Partners III, L.P. </w:t>
            </w:r>
            <w:r>
              <w:rPr>
                <w:rFonts w:ascii="Times New Roman" w:cs="Times New Roman" w:eastAsia="Times New Roman" w:hAnsi="Times New Roman"/>
                <w:sz w:val="29"/>
                <w:szCs w:val="29"/>
                <w:color w:val="auto"/>
                <w:vertAlign w:val="superscript"/>
              </w:rPr>
              <w:t>(4)</w:t>
            </w:r>
          </w:p>
        </w:tc>
        <w:tc>
          <w:tcPr>
            <w:tcW w:w="14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35,188,205</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securities held by Marcus Family Trust, dated 7/8/04, of which Larry Marcus is a trustee. Mr. Marcus disclaims beneficial ownership of these shares except to the extent of any pecuniary interest he may have therein. Does not include securities held of record by Walden Sprout Opportunities Fund-A, LLC. Because Larry Marcus is one of three managing members of such Fund, he is not deemed to be a beneficial owner of the securities held by such Fund. Mr. Marcus’s business address is 2105 Woodside Rd, Woodside, CA 94062.</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757,037 shares subject to options that are exercisable within 60 days.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839,219 shares subject to options that are exercisable within 60 days.</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Information with respect to the Company’s directors and executive officers immediately after the Closing, including biographical information regarding these individuals, is set forth in the Proxy Statement in the section entitled “Directors and Executive Officers of the Combined Company after the Business Combination” beginning on page 193, which information is incorporated herein by reference.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Dr. Eric Ball, James Hom, Larry Marcus, Dr. Keyvan Mohajer and Diana Sroka were elected by the Company’s stockholders at the Special Meeting to serve as directors of the Company, effective upon consummation of the Business Combination, with a term expiring at the Company’s 2023 annual meeting of stockholders and until their successors shall have been elected and qualified, or until their earlier death, resignation or removal. The Board has one class of directors, with each director being elected in each year and serving a one-year term. At each annual general meeting of stockholders, the successors to the directors whose terms then expire will be elected to serve from the time of election and qualification until the next annual meeting following their election.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Committees of the Board of Directors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standing committees of Company’s Board consists of an Audit Committee, a Compensation Committee, and a Nominating and Corporate Governance Committee. The composition of each committee following the Business Combination is set forth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Audit Committee has been established in accordance with Section 3(a)(58)(A) of the Exchange Act and consists of Dr. Ball, Mr. Marcus and Ms. Sroka, each of whom is an independent director and is “financially literate” as defined under the Nasdaq listing standards. Dr. Ball, will initially serve as chair of the Audit Committee. The Company’s Board has determined that Dr. Ball, qualifies as an “audit committee financial expert,” as defined under rules and regulations of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Compensation Committee consists of Mr. Marcus and Dr. Ball, each of whom is an independent director under Nasdaq’s listing standards, and Mr. Marcus will initially serve as chair of the Compensation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Nominating and Corporate Governance Committee consists of Mr. Marcus, and Dr. Ball, each of whom is an independent director under Nasdaq’s listing standards, and Mr. Marcus will initially serve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guidelines for selecting nominees, including nominees who will permit the Continuing Company to comply with applicable California and Nasdaq diversity standards, are specified in the Nominating and Corporate Governance Committee Charter.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the Closing Date, the following persons were appointed to serve as the Company’s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Office</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Keyvan Mohajer</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James Hom</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Products</w:t>
            </w:r>
          </w:p>
        </w:tc>
      </w:tr>
      <w:tr>
        <w:trPr>
          <w:trHeight w:val="216"/>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Michael Zagorsek</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Operating Officer</w:t>
            </w: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Nitesh Sharan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Timothy Stonehocker</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Technology Officer</w:t>
            </w:r>
          </w:p>
        </w:tc>
      </w:tr>
      <w:tr>
        <w:trPr>
          <w:trHeight w:val="216"/>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Zubin Irani</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Majid Emami</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Vice President, Engineering</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Closing, each of the Company’s executive officers prior to the Closing resigned from his or her respective position as an executive officer of the Company, in each case effective as of the effective time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executive officers currently serves, or in the past year has served, as a member of the board of directors or compensation committee of any entity that has one or more executive officers serving on the Company’s Board.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of the Company’s named executive officers who served before the consummation of the Business Combination is described in the Proxy Statement in the section entitled “2021 Summary Compensation Table” and “Outstanding Equity Awards at Fiscal Year End” beginning on pages 185 and 190, respectively, which information is incorporated herein by reference.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2022, the stockholders of the Company approved the SoundHound AI, Inc. 2022 Incentive Award Plan (the “2022 Incentive Plan”), which become effective upon the Closing. The material terms of the 2022 Incentive Plan are described in the Proxy Statement in the section entitled “Proposal 4 – The Incentive Plan Proposal” beginning on page 107, which information is incorporated herein by reference. The Company has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on April 26, 2022, the stockholders of the Company approved SoundHound AI, Inc. 2022 Employee Stock Purchase Plan (the “ESPP”), which become effective upon the Closing. The material terms of the 2022 Incentive Plan are described in the Proxy Statement in the section entitled “Proposal 5 – The ESPP Proposal” beginning on page 113, which information is incorporated herein by reference.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description of the compensation of the Company’s directors before the consummation of the Business Combination is set forth in the Proxy Statement in the section entitled “ATSP’s Directors and Executive Officers—Executive Officers and Director Compensation” and “Director Compensation” beginning on pages 177 and 191, respectively, and that information is incorporated herein by reference.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the Company intends to adopt a new independent director compensation policy which will be designed to provide competitive compensation necessary to attract and retain high quality non-employee directors, to encourage ownership of Company stock to further align their interests with those of our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section of the Proxy Statement entitled “Certain Relationships and Related Transactions” beginning on page 214 and the information set forth under the heading “Amended and Restated Registration Rights Agreement” in Item 1.01 of this Report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 listing standards require that a majority of the members of the board of directors be independent. An “independent director” is defined generally as a person other than an officer or employee of a company or its subsidiaries or any other individual having a relationship which, in the opinion of the board of directors of such company, would interfere with the director’s exercise of independent judgment in carrying out the responsibilities of a director.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has three “independent directors” as defined in the Nasdaq listing standards and applicable SEC rules and as determined by the board of directors using its business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the section of the Proxy Statement entitled “Information About SoundHound – Legal Proceedings” on page 141, which information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regarding holders of the Company’s securities is set forth under “Description of the Company’s Securities” below.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Closing, on April 28, 2022, the Class A Common Stock and publicly traded warrants began trading on Nasdaq under the symbols “SOUN” and “SOUNW,” respectively. The warrants may be delisted from Nasdaq if there is not a sufficient number of round lot holders within 15 days after the consummation of the Business Combination, and if delisted, may be quoted on the OTC Bulletin Board or OTC Pink, an inter-dealer automated quotation system for equity securities that is not a national securities exchange. The public units of the Company automatically separated into the component securities upon consummation of the Business Combination and, as a result, no longer trade as a separate security.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not paid any cash dividends on its shares of its common stock to date. The payment of cash dividends in the future will be dependent upon our revenues and earnings, if any, capital requirements and general financial condition. The payment of any dividends will be within the discretion of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set forth below under Item 3.02 of this Report concerning the issuance and sale by the Company of certain unregistered securities,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Company’s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authorized 500,000,000 shares of capital stock, consisting of (a) 455,000,000 shares of Class A Common Stock, par value $0.0001 per share, (b) 44,000,000 shares of Class B Common Stock, par value $0.0001 per share, and (c) 1,000,000 shares of preferred stock, par value $0.0001 per share. The outstanding shares of the Company’s common stock are fully paid and non-assessable. As of the Closing Date, there were 156,107,110 shares of Class A Common Stock outstanding held of record by approximately 39 stockholders, 40,396,600 shares of Class B Common Stock outstanding held of record by three stockholders, no shares of preferred stock outstanding, and 3,532,984 warrants outstanding held of record by three stockholders. Such holder numbers do not include The Depository Trust Company participants or beneficial owners holding shares through nominee names.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Merger Agreement, the Company has assumed all options and restricted stock units of SH that were outstanding but unexercised or not settled at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Report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2.01 of this Report is incorporated herein by reference.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Supplementary Data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9.01 of this Report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Closing, the Company consummated the PIPE Investment.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Closing Date, the Company filed the Second Amended and Restated Certificate of Incorporation of the Company (the “A&amp;R Certificate”) with the Secretary of State of the State of Delaware. The material terms of the A&amp;R Certificate and the general effect upon the rights of holders of the Company’s capital stock are described in the sections of the Proxy Statement entitled “Proposal 2 – The Charter Amendment Proposal,” beginning on page 103, which information is incorporated herein by reference. A copy of the A&amp;R Certificate is filed as Exhibit 3.1 to this Current Report on Form 8-K and is incorporated herein by reference.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upon the Closing, pursuant to the terms of the Merger Agreement, the Company amended and restated its bylaws. A copy of the Company’s Amended and Restated Bylaws is filed as Exhibit 3.2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26, 2022, the Audit Committee dismissed UHY LLP (“UHY”), the Company’s independent registered public accounting firm. UHY’s report on ATSP’s financial statements as of December 31, 2021 and 2020, and for the year ended December 31, 2021 and the period from September 15, 2020 (inception) through December 31, 2020, contained an emphasis of a matter for going concern, but otherwise did not contain any adverse opinion or disclaimer of opinion, nor were they qualified or modified as to uncertainty, audit scope or accounting principles.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period from September 15, 2020 (inception) through December 31, 2021, there were no: (i) disagreements with UHY on any matter of accounting principles or practices, financial statement disclosures or audit scope or procedures, which disagreements if not resolved to UHY’s satisfaction would have caused UHY to make reference to the subject matter of the disagreement in connection with its report or (ii) reportable events as defined in Item 304(a)(1)(v) of Regulation S-K.</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provided UHY with a copy of the disclosures made by the Company in response to this Item 4.01 and has requested that UHY furnish the Company with a letter addressed to the SEC stating whether it agrees with the statements made by the registrant in response to Item 304(a) and, if not, stating the respects in which it does not agree. A letter from UHY is attached as Exhibit 16.1 to this Report.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26, 2022, the Audit Committee of the Board approved the engagement of Armanino LLP (“Armanino”) as the Company’s independent registered public accounting firm to audit the Company’s consolidated financial statements for the year ending December 31, 2022, effective immediately.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period from September 15, 2020 (inception) through December 31, 2021, neither ATSP, nor any party on behalf of ATSP, consulted Armanino regarding either (i) the application of accounting principles to a specified transaction, either completed or proposed, or the type of audit opinion that might be rendered on ATSP’s financial statements, and no written report or oral advice was provided to ATSP by Armanino that was an important factor considered by ATSP in reaching a decision as to any accounting, auditing or financial reporting issue, or (ii) any matter that was either the subject of a disagreement or a reportable event, each as defined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Changes in Control of the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the “Introductory Note” and in Item 2.01 of this Current Report on Form 8-K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Information with respect to the Company’s directors and executive officers before and after the consummation of the Business Combination is set forth in the Proxy Statement in the sections entitled “ATSP’s Directors and Officers” beginning on page 177, “Directors and Officers of the Combined Company After the Business Combination” beginning on page 193, and “Proposal 7 – The Directors Proposal” beginning on page 119, which are incorporated herein by reference.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regarding the Company’s officers and directors set forth under the headings “Directors and Executive Officers” and “Executive Compensation” in Item 2.01 of this Report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“Director Compensation” in Item 2.01 of this Current Report on Form 8-K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3.03 of this Report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5.06 Change in Shell Company Status.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which fulfilled the definition of an “initial business combination” as required by the Company’s Amended and Restated Certificate of Incorporation, the Company ceased to be a shell company upon the Closing. The material terms of the Business Combination are described in the section of the Proxy Statement entitled “Proposal 1 – The Business Combination Proposal” beginning on page 81, which information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27, 2022, the parties issued a joint press release announcing the completion of the Business Combination, a copy of which is furnished as Exhibit 99.1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businesses acquired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SoundHound, Inc. as of December 31, 2021 and 2020 and for the years then ended are included in the Proxy Statement beginning at page F-25 and are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and statements of operations of the Company as of December 31, 2021 is filed as Exhibit 99.2 to this Current Report on Form 8-K and is incorporated by reference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Exhibits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40" w:type="dxa"/>
            <w:vAlign w:val="bottom"/>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3"/>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Incorporated by Reference</w:t>
            </w:r>
          </w:p>
        </w:tc>
      </w:tr>
      <w:tr>
        <w:trPr>
          <w:trHeight w:val="184"/>
        </w:trPr>
        <w:tc>
          <w:tcPr>
            <w:tcW w:w="11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80" w:type="dxa"/>
            <w:vAlign w:val="bottom"/>
            <w:gridSpan w:val="20"/>
          </w:tcPr>
          <w:p>
            <w:pPr>
              <w:ind w:left="200"/>
              <w:spacing w:after="0"/>
              <w:rPr>
                <w:sz w:val="20"/>
                <w:szCs w:val="20"/>
                <w:color w:val="auto"/>
              </w:rPr>
            </w:pPr>
            <w:r>
              <w:rPr>
                <w:rFonts w:ascii="Times New Roman" w:cs="Times New Roman" w:eastAsia="Times New Roman" w:hAnsi="Times New Roman"/>
                <w:sz w:val="18"/>
                <w:szCs w:val="18"/>
                <w:color w:val="auto"/>
              </w:rPr>
              <w:t>Description</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Form</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Exhibit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Filing Date</w:t>
            </w:r>
          </w:p>
        </w:tc>
      </w:tr>
      <w:tr>
        <w:trPr>
          <w:trHeight w:val="216"/>
        </w:trPr>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Merger Agreement dated as of November 15, 2021 by and among Archimedes</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Borders>
              <w:bottom w:val="single" w:sz="8" w:color="CCEEFF"/>
            </w:tcBorders>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w:t>
            </w:r>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32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8"/>
              </w:rPr>
            </w:pPr>
            <w:hyperlink r:id="rId30">
              <w:r>
                <w:rPr>
                  <w:rFonts w:ascii="Times New Roman" w:cs="Times New Roman" w:eastAsia="Times New Roman" w:hAnsi="Times New Roman"/>
                  <w:sz w:val="18"/>
                  <w:szCs w:val="18"/>
                  <w:color w:val="0000EE"/>
                  <w:w w:val="98"/>
                </w:rPr>
                <w:t>Tech SPAC Partners Co., ATSPC Merger Sub, Inc. and SoundHound, Inc.</w:t>
              </w:r>
            </w:hyperlink>
          </w:p>
        </w:tc>
        <w:tc>
          <w:tcPr>
            <w:tcW w:w="520" w:type="dxa"/>
            <w:vAlign w:val="bottom"/>
            <w:tcBorders>
              <w:bottom w:val="single" w:sz="8" w:color="CCEEFF"/>
            </w:tcBorders>
            <w:gridSpan w:val="7"/>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574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9"/>
              </w:rPr>
              <w:t>Second Amended and Restated Certificate of Incorporation of SoundHound AI,</w:t>
            </w:r>
          </w:p>
        </w:tc>
        <w:tc>
          <w:tcPr>
            <w:tcW w:w="100" w:type="dxa"/>
            <w:vAlign w:val="bottom"/>
            <w:gridSpan w:val="2"/>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Inc.</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7"/>
                <w:szCs w:val="17"/>
                <w:color w:val="auto"/>
              </w:rPr>
            </w:pPr>
          </w:p>
        </w:tc>
        <w:tc>
          <w:tcPr>
            <w:tcW w:w="58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Bylaws of SoundHound AI, Inc.</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404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Amended and Restated Warrant Agreement.</w:t>
            </w:r>
          </w:p>
        </w:tc>
        <w:tc>
          <w:tcPr>
            <w:tcW w:w="1800" w:type="dxa"/>
            <w:vAlign w:val="bottom"/>
            <w:tcBorders>
              <w:top w:val="single" w:sz="8" w:color="CCEEFF"/>
            </w:tcBorders>
            <w:gridSpan w:val="11"/>
          </w:tcPr>
          <w:p>
            <w:pPr>
              <w:spacing w:after="0"/>
              <w:rPr>
                <w:sz w:val="15"/>
                <w:szCs w:val="15"/>
                <w:color w:val="auto"/>
              </w:rPr>
            </w:pPr>
          </w:p>
        </w:tc>
        <w:tc>
          <w:tcPr>
            <w:tcW w:w="10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58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Parent Support Agreement dated as of November 15, 2021 by and</w:t>
              </w:r>
            </w:hyperlink>
          </w:p>
        </w:tc>
        <w:tc>
          <w:tcPr>
            <w:tcW w:w="102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w:t>
            </w:r>
          </w:p>
        </w:tc>
      </w:tr>
      <w:tr>
        <w:trPr>
          <w:trHeight w:val="20"/>
        </w:trPr>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gridSpan w:val="2"/>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60" w:type="dxa"/>
            <w:vAlign w:val="bottom"/>
            <w:tcBorders>
              <w:bottom w:val="single" w:sz="8" w:color="0000EE"/>
              <w:right w:val="single" w:sz="8" w:color="CCEEFF"/>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among Archimedes Tech SPAC Partners Co, SoundHound, Inc. and certain</w:t>
              </w:r>
            </w:hyperlink>
          </w:p>
        </w:tc>
        <w:tc>
          <w:tcPr>
            <w:tcW w:w="380" w:type="dxa"/>
            <w:vAlign w:val="bottom"/>
            <w:tcBorders>
              <w:bottom w:val="single" w:sz="8" w:color="CCEEFF"/>
            </w:tcBorders>
            <w:gridSpan w:val="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stockholders of Archimedes Tech SPAC Partners Co.</w:t>
              </w:r>
            </w:hyperlink>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Form of Company Support Agreement dated as of November 15, 2021 by and</w:t>
              </w:r>
            </w:hyperlink>
          </w:p>
        </w:tc>
        <w:tc>
          <w:tcPr>
            <w:tcW w:w="102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among Archimedes Tech SPAC Partners Co., SoundHound, Inc. and certain</w:t>
              </w:r>
            </w:hyperlink>
          </w:p>
        </w:tc>
        <w:tc>
          <w:tcPr>
            <w:tcW w:w="160" w:type="dxa"/>
            <w:vAlign w:val="bottom"/>
            <w:tcBorders>
              <w:top w:val="single" w:sz="8" w:color="0000EE"/>
            </w:tcBorders>
          </w:tcPr>
          <w:p>
            <w:pPr>
              <w:spacing w:after="0"/>
              <w:rPr>
                <w:sz w:val="17"/>
                <w:szCs w:val="17"/>
                <w:color w:val="auto"/>
              </w:rPr>
            </w:pPr>
          </w:p>
        </w:tc>
        <w:tc>
          <w:tcPr>
            <w:tcW w:w="220" w:type="dxa"/>
            <w:vAlign w:val="bottom"/>
            <w:gridSpan w:val="5"/>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gridSpan w:val="2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stockholders of SoundHound, Inc.</w:t>
              </w:r>
            </w:hyperlink>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58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of PIPE Subscription Agreement.</w:t>
              </w:r>
            </w:hyperlink>
          </w:p>
        </w:tc>
        <w:tc>
          <w:tcPr>
            <w:tcW w:w="102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w:t>
            </w:r>
          </w:p>
        </w:tc>
      </w:tr>
      <w:tr>
        <w:trPr>
          <w:trHeight w:val="237"/>
        </w:trPr>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Lock-Up Agreement.</w:t>
              </w:r>
            </w:hyperlink>
          </w:p>
        </w:tc>
        <w:tc>
          <w:tcPr>
            <w:tcW w:w="102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3"/>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November 16,</w:t>
            </w: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15"/>
                <w:szCs w:val="15"/>
                <w:color w:val="auto"/>
              </w:rPr>
            </w:pPr>
          </w:p>
        </w:tc>
        <w:tc>
          <w:tcPr>
            <w:tcW w:w="564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Amended and Rested Registration Rights Agreement, dated April 26,</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Borders>
              <w:bottom w:val="single" w:sz="8" w:color="CCEEFF"/>
            </w:tcBorders>
            <w:gridSpan w:val="3"/>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November 16,</w:t>
            </w:r>
          </w:p>
        </w:tc>
      </w:tr>
      <w:tr>
        <w:trPr>
          <w:trHeight w:val="196"/>
        </w:trPr>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4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2022, by and between SoundHound AI, Inc. and certain stockholders of</w:t>
              </w:r>
            </w:hyperlink>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16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SoundHound AI, Inc</w:t>
              </w:r>
              <w:r>
                <w:rPr>
                  <w:rFonts w:ascii="Times New Roman" w:cs="Times New Roman" w:eastAsia="Times New Roman" w:hAnsi="Times New Roman"/>
                  <w:sz w:val="18"/>
                  <w:szCs w:val="18"/>
                  <w:color w:val="000000"/>
                </w:rPr>
                <w:t>.</w:t>
              </w:r>
            </w:hyperlink>
          </w:p>
        </w:tc>
        <w:tc>
          <w:tcPr>
            <w:tcW w:w="680" w:type="dxa"/>
            <w:vAlign w:val="bottom"/>
            <w:tcBorders>
              <w:top w:val="single" w:sz="8" w:color="CCEEFF"/>
            </w:tcBorders>
            <w:gridSpan w:val="9"/>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SoundHound AI, Inc. 2022 Incentive Award Plan.</w:t>
              </w:r>
            </w:hyperlink>
          </w:p>
        </w:tc>
        <w:tc>
          <w:tcPr>
            <w:tcW w:w="102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Proxy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Annex D</w:t>
            </w: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37"/>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5840" w:type="dxa"/>
            <w:vAlign w:val="bottom"/>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SoundHound AI, Inc. 2022 Employee Stock Purchase Plan.</w:t>
              </w:r>
            </w:hyperlink>
          </w:p>
        </w:tc>
        <w:tc>
          <w:tcPr>
            <w:tcW w:w="102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7"/>
              </w:rPr>
              <w:t>Proxy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rPr>
              <w:t>Annex E</w:t>
            </w:r>
          </w:p>
        </w:tc>
        <w:tc>
          <w:tcPr>
            <w:tcW w:w="1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8, 2022</w:t>
            </w:r>
          </w:p>
        </w:tc>
      </w:tr>
      <w:tr>
        <w:trPr>
          <w:trHeight w:val="237"/>
        </w:trPr>
        <w:tc>
          <w:tcPr>
            <w:tcW w:w="1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0000EE"/>
            </w:tcBorders>
            <w:shd w:val="clear" w:color="auto" w:fill="CCEEFF"/>
          </w:tcPr>
          <w:p>
            <w:pPr>
              <w:spacing w:after="0"/>
              <w:rPr>
                <w:sz w:val="20"/>
                <w:szCs w:val="20"/>
                <w:color w:val="auto"/>
              </w:rPr>
            </w:pPr>
          </w:p>
        </w:tc>
        <w:tc>
          <w:tcPr>
            <w:tcW w:w="7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Statement</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Form of Restricted Stock Unit Agreement.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Stock Option Award Agreement.</w:t>
            </w:r>
          </w:p>
        </w:tc>
        <w:tc>
          <w:tcPr>
            <w:tcW w:w="2840" w:type="dxa"/>
            <w:vAlign w:val="bottom"/>
            <w:tcBorders>
              <w:bottom w:val="single" w:sz="8" w:color="CCEEFF"/>
            </w:tcBorders>
            <w:gridSpan w:val="1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Form of Indemnity Agreement.</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Letter from UHY, LLP.</w:t>
            </w:r>
          </w:p>
        </w:tc>
        <w:tc>
          <w:tcPr>
            <w:tcW w:w="4160" w:type="dxa"/>
            <w:vAlign w:val="bottom"/>
            <w:tcBorders>
              <w:bottom w:val="single" w:sz="8" w:color="CCEEFF"/>
            </w:tcBorders>
            <w:gridSpan w:val="2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5"/>
                <w:szCs w:val="15"/>
                <w:color w:val="auto"/>
              </w:rPr>
            </w:pPr>
          </w:p>
        </w:tc>
        <w:tc>
          <w:tcPr>
            <w:tcW w:w="58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Company.</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April 27, 2022.</w:t>
            </w:r>
          </w:p>
        </w:tc>
        <w:tc>
          <w:tcPr>
            <w:tcW w:w="3220" w:type="dxa"/>
            <w:vAlign w:val="bottom"/>
            <w:tcBorders>
              <w:bottom w:val="single" w:sz="8" w:color="CCEEFF"/>
            </w:tcBorders>
            <w:gridSpan w:val="1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522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Statements of the</w:t>
            </w:r>
          </w:p>
        </w:tc>
        <w:tc>
          <w:tcPr>
            <w:tcW w:w="620" w:type="dxa"/>
            <w:vAlign w:val="bottom"/>
            <w:gridSpan w:val="8"/>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Company.</w:t>
            </w:r>
          </w:p>
        </w:tc>
        <w:tc>
          <w:tcPr>
            <w:tcW w:w="5100" w:type="dxa"/>
            <w:vAlign w:val="bottom"/>
            <w:gridSpan w:val="25"/>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9" w:lineRule="exact"/>
        <w:rPr>
          <w:sz w:val="20"/>
          <w:szCs w:val="20"/>
          <w:color w:val="auto"/>
        </w:rPr>
      </w:pPr>
    </w:p>
    <w:p>
      <w:pPr>
        <w:ind w:left="1260" w:right="4520" w:hanging="1252"/>
        <w:spacing w:after="0" w:line="282"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7" w:lineRule="exact"/>
        <w:rPr>
          <w:sz w:val="20"/>
          <w:szCs w:val="20"/>
          <w:color w:val="auto"/>
        </w:rPr>
      </w:pPr>
    </w:p>
    <w:p>
      <w:pPr>
        <w:ind w:left="460" w:hanging="452"/>
        <w:spacing w:after="0" w:line="250"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furnish supplementally to the SEC a copy of any omitted schedule or exhibit upon the request of the SEC in accordance with Item 601(b)(2) of Regulation S-K.</w:t>
      </w:r>
    </w:p>
    <w:p>
      <w:pPr>
        <w:spacing w:after="0" w:line="1"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May 2, 2022</w:t>
      </w:r>
      <w:r>
        <w:rPr>
          <w:sz w:val="20"/>
          <w:szCs w:val="20"/>
          <w:color w:val="auto"/>
        </w:rPr>
        <w:tab/>
      </w:r>
      <w:r>
        <w:rPr>
          <w:rFonts w:ascii="Times New Roman" w:cs="Times New Roman" w:eastAsia="Times New Roman" w:hAnsi="Times New Roman"/>
          <w:sz w:val="17"/>
          <w:szCs w:val="17"/>
          <w:b w:val="1"/>
          <w:bCs w:val="1"/>
          <w:color w:val="auto"/>
        </w:rPr>
        <w:t>SoundHound AI,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3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Pursuant to Sections 242 and 245 of the</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Archimedes Tech SPAC Partners Co., a corporation existing under the laws of the State of Delaware (the “Corporation”), by its Chief Executive Officer, hereby certifies as follows:</w:t>
      </w:r>
    </w:p>
    <w:p>
      <w:pPr>
        <w:spacing w:after="0" w:line="162" w:lineRule="exact"/>
        <w:rPr>
          <w:sz w:val="20"/>
          <w:szCs w:val="20"/>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“Archimedes Tech SPAC Partners Co.”</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September 15, 2020. The first Amended and Restated Certificate of Incorporation of the Corporation was filed in the office of the Secretary of State of the State of Delaware on March 10, 2021 (the “First Amended and Restated Certificate”)</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“Second Amended and Restated Certificate”) restates, integrates and amends the provisions of the First Amended and Restated Certificate.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was duly adopted by written consent of the directors and stockholders of the Corporation in accordance with the applicable provisions of Sections 141(f), 228, 242 and 245 of the General Corporation Law of the State of Delaware (“DGCL”).</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NAME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The name of the corporation is SoundHound AI, Inc. (hereinafter sometimes referred to as the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OFFICE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registered office of the Corporation is to be located at c/o Corporation Service Company, 251 Little Falls Drive, in the City of Wilmington, County of New Castle, State of Delaware, 19808. The name of its registered agent at that address is Corporation Service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AND POWERS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purpose of the Corporation shall be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4.1 Total Authorized</w:t>
      </w:r>
      <w:r>
        <w:rPr>
          <w:rFonts w:ascii="Times New Roman" w:cs="Times New Roman" w:eastAsia="Times New Roman" w:hAnsi="Times New Roman"/>
          <w:sz w:val="18"/>
          <w:szCs w:val="18"/>
          <w:color w:val="auto"/>
        </w:rPr>
        <w:t xml:space="preserve"> The total number of shares of all classes of stock that the Corporation has authority to issue is 500,000,000 shares, consisting of: 455,000,000 shares of Class A Common Stock, $0.0001 par value per share (“Class A Common Stock”), 44,000,000 shares of Class B Common Stock, $0.0001 par value per share (“Class B Common Stock” and collectively with the Class A Common Stock, the “Common Stock”) and 1,000,000 shares of Preferred Stock, $0.0001 par value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4.2. Section 242(b)(2) Opt-Out</w:t>
      </w:r>
      <w:r>
        <w:rPr>
          <w:rFonts w:ascii="Times New Roman" w:cs="Times New Roman" w:eastAsia="Times New Roman" w:hAnsi="Times New Roman"/>
          <w:sz w:val="18"/>
          <w:szCs w:val="18"/>
          <w:color w:val="auto"/>
        </w:rPr>
        <w:t xml:space="preserve"> The number of authorized shares of Class A Common Stock or Class B Common Stock may be increased or decreased (but not below the number of shares thereof then outstanding) by the affirmative vote of the holders of capital stock representing a majority of the voting power of all the then- outstanding shares of capital stock of the Corporation entitled to vote thereon, irrespective of the provisions of Section 242(b)(2) of the General Corporation Law, and no vote of the holders of the Class A Common Stock or Class B Common Stock voting separately as a class shall be required therefor.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4.3 Preferred Stock</w:t>
      </w:r>
      <w:r>
        <w:rPr>
          <w:rFonts w:ascii="Times New Roman" w:cs="Times New Roman" w:eastAsia="Times New Roman" w:hAnsi="Times New Roman"/>
          <w:sz w:val="18"/>
          <w:szCs w:val="18"/>
          <w:color w:val="auto"/>
        </w:rPr>
        <w:t xml:space="preserve"> The Corporation’s Board of Directors (the “Board”) is authorized, subject to any limitations prescribed by the law of the State of Delaware, by resolution or resolutions adopted from time to time, to provide for the issuance of shares of Preferred Stock in one or more series, and, by filing a certificate of designation pursuant to the applicable law of the State of Delaware (the “Certificate of Designation”), to establish from time to time the number of shares to be included in each such series,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a majority of the voting power of all the then-outstanding shares of capital stock of the Corporation entitled to vote thereon, without a separate vote of the holders of the Preferred Stock or any series thereof, irrespective of the provisions of Section 242(b)(2) of the General Corporation Law, unless a vote of any such holders is required pursuant to the terms of any Certificate of Designation designating a series of Preferred Stock.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4.4 Preferred Stock – Powers of the Board</w:t>
      </w:r>
      <w:r>
        <w:rPr>
          <w:rFonts w:ascii="Times New Roman" w:cs="Times New Roman" w:eastAsia="Times New Roman" w:hAnsi="Times New Roman"/>
          <w:sz w:val="18"/>
          <w:szCs w:val="18"/>
          <w:color w:val="auto"/>
        </w:rPr>
        <w:t xml:space="preserve"> Except as otherwise expressly provided in any Certificate of Designation designating any series of Preferred Stock pursuant to the foregoing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 any new series of Preferred Stock may be designated, fixed and determined as provided herein by the Board without approval of the holders of Common Stock or the holders of Preferred Stock, or any series thereof, and (b)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4.5 Rights of Class A Common Stock and Class B Common Stock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4.5.1</w:t>
      </w:r>
      <w:r>
        <w:rPr>
          <w:rFonts w:ascii="Times New Roman" w:cs="Times New Roman" w:eastAsia="Times New Roman" w:hAnsi="Times New Roman"/>
          <w:sz w:val="18"/>
          <w:szCs w:val="18"/>
          <w:color w:val="auto"/>
        </w:rPr>
        <w:t xml:space="preserve"> Except as otherwise provided in this Second Amended and Restated Certificate or required by applicable law, shares of Class A Common Stock and Class B Common Stock shall have the same rights and powers, rank equally (including as to dividends and distributions, and upon any liquidation, dissolution or winding up of the Corporation), share ratably and be identical in all respects and as to all matters.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4.5.2</w:t>
      </w:r>
      <w:r>
        <w:rPr>
          <w:rFonts w:ascii="Times New Roman" w:cs="Times New Roman" w:eastAsia="Times New Roman" w:hAnsi="Times New Roman"/>
          <w:sz w:val="18"/>
          <w:szCs w:val="18"/>
          <w:color w:val="auto"/>
        </w:rPr>
        <w:t xml:space="preserve"> Except as otherwise expressly provided by this Second Amended and Restated Certificate or as provided by law, the holders of shares of Class A Common Stock and Class B Common Stock shall (a) at all times vote together as a single class on all matters (including the election of directors) submitted to a vote of the stockholders of the Corporation, (b) be entitled to notice of any stockholders’ meeting in accordance with the Bylaws of the Corporation (the “Bylaws”) and (c) be entitled to vote upon such matters and in such manner as may be provided by applicable law; provided, however, that, except as otherwise required by law, holders of shares of Class A Common Stock and Class B Common Stock shall not be entitled to vote on any amendment to this Second Amended and Restated Certificate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Second Amended and Restated Certificate (including any Certificate of Designation relating to any series of Preferred Stock). Except as otherwise expressly provided herein or required by applicable law, each holder of Class A Common Stock shall have the right to one (1) vote per share of Class A Common Stock held of record by such holder as of the applicable record date and each holder of Class B Common Stock shall have the right to ten (10) votes per share of Class B Common Stock held of record by such holder as of the applicable record date.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4.5.3</w:t>
      </w:r>
      <w:r>
        <w:rPr>
          <w:rFonts w:ascii="Times New Roman" w:cs="Times New Roman" w:eastAsia="Times New Roman" w:hAnsi="Times New Roman"/>
          <w:sz w:val="18"/>
          <w:szCs w:val="18"/>
          <w:color w:val="auto"/>
        </w:rPr>
        <w:t xml:space="preserve"> Shares of Class A Common Stock and Class B Common Stock shall be treated equally, identically and ratably, on a per share basis, with respect to any dividends or distributions as may be declared and paid from time to time by the Board out of any assets of the Corporation legally available therefor; provided, however, that in the event a dividend is paid in the form of shares of Class A Common Stock or Class B Common Stock (or rights to acquire such shares), then holders of Class A Common Stock shall receive shares of Class A Common Stock (or rights to acquire such shares, as the case may be) and holders of Class B Common Stock shall receive shares of Class B Common Stock (or rights to acquire such shares, as the case may be), with holders of shares of Class A Common Stock and Class B Common Stock receiving, on a per share basis, an identical number of shares of Class A Common Stock or Class B Common Stock, as applicable. Notwithstanding the foregoing, the Board may pay or make a disparate dividend or distribution per share of Class A Common Stock or Class B Common Stock (whether in the amount of such dividend or distribution payable per share, the form in which such dividend or distribution is payable, the timing of the payment, or otherwise) if such disparate dividend or distribution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5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4.5.4</w:t>
      </w:r>
      <w:r>
        <w:rPr>
          <w:rFonts w:ascii="Times New Roman" w:cs="Times New Roman" w:eastAsia="Times New Roman" w:hAnsi="Times New Roman"/>
          <w:sz w:val="18"/>
          <w:szCs w:val="18"/>
          <w:color w:val="auto"/>
        </w:rPr>
        <w:t xml:space="preserve"> Shares of Class A Common Stock or Class B Common Stock may not be subdivided, combined or reclassified unless the shares of the other class are concurrently therewith proportionately subdivided, combined or reclassified in a manner that maintains the same proportionate equity ownership between the holders of the outstanding Class A Common Stock and Class B Common Stock on the record date for such subdivision, combination or reclassification; provided, however, that shares of one such class may be subdivided, combined or reclassified in a different or disproportionate manner if such subdivision, combination or reclassification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4.5.5</w:t>
      </w:r>
      <w:r>
        <w:rPr>
          <w:rFonts w:ascii="Times New Roman" w:cs="Times New Roman" w:eastAsia="Times New Roman" w:hAnsi="Times New Roman"/>
          <w:sz w:val="18"/>
          <w:szCs w:val="18"/>
          <w:color w:val="auto"/>
        </w:rPr>
        <w:t xml:space="preserve"> Subject to any preferential or other rights of any holders of Preferred Stock then outstanding, upon the liquidation, dissolution or winding up of the Corporation, whether voluntary or involuntary, holders of Class A Common Stock and Class B Common Stock will be entitled to receive ratably all assets of the Corporation available for distribution to its stockholders unless disparate or different treatment of the shares of each such class with respect to distributions upon any such liquidation, dissolution or winding up is approved in advance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4.5.6</w:t>
      </w:r>
      <w:r>
        <w:rPr>
          <w:rFonts w:ascii="Times New Roman" w:cs="Times New Roman" w:eastAsia="Times New Roman" w:hAnsi="Times New Roman"/>
          <w:sz w:val="18"/>
          <w:szCs w:val="18"/>
          <w:color w:val="auto"/>
        </w:rPr>
        <w:t xml:space="preserve"> In the case of any distribution or payment in respect of the shares of Class A Common Stock or Class B Common Stock upon the merger or consolidation of the Corporation with or into any other entity, or in the case of any other transaction having an effect on stockholders substantially similar to that resulting from a merger or consolidation, such distribution or payment shall be made ratably on a per share basis among the holders of the Class A Common Stock and Class B Common Stock as a single class; provided, however, that shares of one such class may receive different or disproportionate distributions or payments in connection with such merger, consolidation or other transaction if (a) the only difference in the per share distribution to the holders of the Class A Common Stock and Class B Common Stock is that any securities distributed to the holder of a share Class B Common Stock have ten (10) times the voting power of any securities distributed to the holder of a share of Class A Common Stock, or (b) such merger, consolidation or other transaction is approved by the affirmative vote of the holders of a majority of the voting power of all the then-outstanding shares of Class A Common Stock and the affirmative vote of the holders of a majority of the voting power of all the then-outstanding shares of Class B Common Stock, each voting separately as a class.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4.6 Conversion of Class B Common Stock</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4.6.1</w:t>
      </w:r>
      <w:r>
        <w:rPr>
          <w:rFonts w:ascii="Times New Roman" w:cs="Times New Roman" w:eastAsia="Times New Roman" w:hAnsi="Times New Roman"/>
          <w:sz w:val="18"/>
          <w:szCs w:val="18"/>
          <w:color w:val="auto"/>
        </w:rPr>
        <w:t xml:space="preserve"> Each share of Class B Common Stock shall be convertible into one (1) fully paid and nonassessable share of Class A Common Stock at the option of the holder thereof at any time upon written notice to the Corporation. Before any holder of Class B Common Stock shall be entitled to convert any of such holder’s shares of such Class B Common Stock into shares of Class A Common Stock, such holder shall deliver an instruction, duly signed and authenticated in accordance with any procedures set forth in the Bylaws or any policies of the Corporation then in effect, at the principal corporate office of the Corporation or of any transfer agent for the Class B Common Stock, and shall give written notice to the Corporation at its principal corporate office of such holder’s election to convert the same and shall state therein the name or names in which the shares of Class A Common Stock issuable on conversion thereof are to be registered on the books of the Corporation. The Corporation shall, as soon as practicable thereafter, register on the Corporation’s books ownership of the number of shares of Class A Common Stock to which such record holder of Class B Common Stock, or to which the nominee or nominees of such record holder, shall be entitled as aforesaid. Such conversion shall be deemed to have occurred immediately prior to the close of business on the date such notice of the election to convert is received by the Corporation or, if the notice of conversion specifies a different future effective time, including a time determined by the happening of a future event, such conversion shall be deemed to have occurred at such time, or on the happening of such event, and the person or persons entitled to receive the shares of Class A Common Stock issuable upon such conversion shall be treated for all purposes as the record holder or holders of such shares of Class A Common Stock as of such time.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4.6.2 Automatic and Mandatory 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4.6.2.1</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a Transfer (as defined below) of such share of Class B Common Stock, other than a Permitted Transfer (as defined below).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4.6.2.2</w:t>
      </w:r>
      <w:r>
        <w:rPr>
          <w:rFonts w:ascii="Times New Roman" w:cs="Times New Roman" w:eastAsia="Times New Roman" w:hAnsi="Times New Roman"/>
          <w:sz w:val="18"/>
          <w:szCs w:val="18"/>
          <w:color w:val="auto"/>
        </w:rPr>
        <w:t xml:space="preserve"> Subject to earlier conversion pursuant to Section 4.6.2.3 of this Second Amended and Restated Certificate, each share of Class B Common Stock held by a Founder other than the Co-Founder/CEO, and such Founder’s respective Permitted Transferees (other than Permitted Transferees that are other Founders or their Permitted Transferees), shall automatically, without further action by the Corporation or the holder thereof, be converted into one (1) fully paid and nonassessable share of Class A Common Stock, upon the earliest to occur of: (a) the date fixed by the Board that is no more than one hundred eighty (180) days following the date that such Founder’s employment with the Corporation is terminated for Cause; (b) the date that such Founder’s employment by the Corporation ceases as a result of his resignation (other than for Good Reason or in connection with changes of such Founder’s roles and responsibilities that are approved by the Board); and (c) the date that is twelve (12) months after the death or Permanent Disability of such Founder. For the avoidance of doubt, an event giving rise to the conversion of the Class B Common Stock held by Mr. Emami and his Permitted Transferees, or by Mr. Hom and his Permitted Transferees, shall not affect the Class B Common Stock held by the other person, or the other person’s Permitted Transferees.</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4.6.2.3</w:t>
      </w:r>
      <w:r>
        <w:rPr>
          <w:rFonts w:ascii="Times New Roman" w:cs="Times New Roman" w:eastAsia="Times New Roman" w:hAnsi="Times New Roman"/>
          <w:sz w:val="18"/>
          <w:szCs w:val="18"/>
          <w:color w:val="auto"/>
        </w:rPr>
        <w:t xml:space="preserve"> Each share of Class B Common Stock shall automatically, without further action by the Corporation or the holder thereof, be converted into one (1) fully paid and nonassessable share of Class A Common Stock, upon the Final Conversion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4.7 Definitions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“Cause” shall mean the Corporation’s termination of a Founder’s employment as a result of: (a) the Founder’s commission of, or participation in, an act of fraud, embezzlement or any willful and material dishonesty against the Corporation; (b) Founder’s commission of, or participation in, an act of theft or misappropriation of property, information or other assets against the Corporation which results in or could reasonably be expected to result in material loss, damage or injury to the Corporation and its subsidiaries, their goodwill, business or reputation; (c) the Founder’s unauthorized use or disclosure of any proprietary information or trade secrets of the Corporation or any other party to whom the Founder owes an obligation of nondisclosure as a result of the Founder’s relationship with the Corporation; (d) the Founder’s indictment, conviction, guilty plea, no contest plea, or similar plea for any felony or any crime that results in or could reasonably be expected to result in material loss, damage or injury to the Corporation and its subsidiaries, their goodwill, business or reputation; (e) the Founder’s use of alcohol or drugs that materially interferes with his ability to perform his material duties and responsibilities to the Corporation, or that results in, or could reasonably be expected to result in, material loss, damage or injury to the Corporation and/or its subsidiaries, their goodwill, business or reputation; (f) the Founder’s material breach of a material policy of the Corporation, or material breach of a policy of the Corporation that results in or could reasonably be expected to result in material loss, damage or injury to the Corporation and/or its subsidiaries, their goodwill, business or reputation; (g) the Founder’s material breach of any of his obligations under his employment agreement with the Corporation, or any other material agreement entered into by and between the Founder and the Corporation, in each case, as in effect from time to time; (h) the Founder’s repeated insubordination, or refusal (other than as a result of disability) to carry out or follow specific reasonable and lawful instructions, duties or assignments given by the Board which are consistent with his position with the Corporation or (i) the Founder’s neglect or persistent unsatisfactory performance of the Founder’s duties; provided that, for clauses (a)-(i) above, the Corporation delivers written notice to the Founder of the condition giving rise to Cause within ninety (90) days after the Corporation knows of any such occurrence (other than knowledge of the Corporation attributable solely to the knowledge of the Founder). As used in Section 4.6.2.2 and the definition of “Final Conversion Date” in this Second Amended and Restated Certificate, the date of a termination for Cause shall be the date that is thirty (30) days after written notice by the Corporation to a Founder of a termination for Cause if the Founder shall have failed to cure or remedy such matter, if curable, within such thirty (30) day period. In the event that the basis for Cause is not curable, then such thirty (30) day cure period shall not be required, and the date of such termination shall be the date the Corporation delivers notice of such termination for Cause.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8"/>
          <w:szCs w:val="18"/>
          <w:color w:val="auto"/>
        </w:rPr>
        <w:t>“CEO” shall mean the Chief Executive Officer of the Corporation.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“Co-Founder/CEO” shall mean Dr. Keyvan Mohajer.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“Effectiveness Date” shall mean the date of the filing of this Second Amended and Restated Certificate.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“Final Conversion Date” shall mean the earliest to occur of the following:</w:t>
      </w:r>
    </w:p>
    <w:p>
      <w:pPr>
        <w:spacing w:after="0" w:line="225" w:lineRule="exact"/>
        <w:rPr>
          <w:sz w:val="20"/>
          <w:szCs w:val="20"/>
          <w:color w:val="auto"/>
        </w:rPr>
      </w:pPr>
    </w:p>
    <w:p>
      <w:pPr>
        <w:ind w:left="1420" w:hanging="332"/>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more than 180 days following the date that the employment of the Co-Founder/CEO as CEO is terminated by the Corporation for Cause;</w:t>
      </w:r>
    </w:p>
    <w:p>
      <w:pPr>
        <w:spacing w:after="0" w:line="161" w:lineRule="exact"/>
        <w:rPr>
          <w:rFonts w:ascii="Times New Roman" w:cs="Times New Roman" w:eastAsia="Times New Roman" w:hAnsi="Times New Roman"/>
          <w:sz w:val="18"/>
          <w:szCs w:val="18"/>
          <w:color w:val="auto"/>
        </w:rPr>
      </w:pPr>
    </w:p>
    <w:p>
      <w:pPr>
        <w:ind w:left="1420" w:right="20" w:hanging="332"/>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the employment of the Co-Founder/CEO as CEO ceases as a result of his resignation (other than for Good Reason or in connection with changes to his roles and responsibilities that are approved by the Board);</w:t>
      </w:r>
    </w:p>
    <w:p>
      <w:pPr>
        <w:spacing w:after="0" w:line="161" w:lineRule="exact"/>
        <w:rPr>
          <w:rFonts w:ascii="Times New Roman" w:cs="Times New Roman" w:eastAsia="Times New Roman" w:hAnsi="Times New Roman"/>
          <w:sz w:val="18"/>
          <w:szCs w:val="18"/>
          <w:color w:val="auto"/>
        </w:rPr>
      </w:pPr>
    </w:p>
    <w:p>
      <w:pPr>
        <w:ind w:left="1420" w:hanging="332"/>
        <w:spacing w:after="0"/>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twelve (12) months following the death or Permanent Disability of the Co- Founder/CEO;</w:t>
      </w:r>
    </w:p>
    <w:p>
      <w:pPr>
        <w:spacing w:after="0" w:line="225" w:lineRule="exact"/>
        <w:rPr>
          <w:rFonts w:ascii="Times New Roman" w:cs="Times New Roman" w:eastAsia="Times New Roman" w:hAnsi="Times New Roman"/>
          <w:sz w:val="18"/>
          <w:szCs w:val="18"/>
          <w:color w:val="auto"/>
        </w:rPr>
      </w:pPr>
    </w:p>
    <w:p>
      <w:pPr>
        <w:ind w:left="1420" w:right="20" w:hanging="332"/>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later of (i) the date that is six (6) months following the Separation Date and (ii) the ten (10)-year anniversary of the Effectiveness Date;</w:t>
      </w:r>
    </w:p>
    <w:p>
      <w:pPr>
        <w:spacing w:after="0" w:line="161" w:lineRule="exact"/>
        <w:rPr>
          <w:rFonts w:ascii="Times New Roman" w:cs="Times New Roman" w:eastAsia="Times New Roman" w:hAnsi="Times New Roman"/>
          <w:sz w:val="18"/>
          <w:szCs w:val="18"/>
          <w:color w:val="auto"/>
        </w:rPr>
      </w:pPr>
    </w:p>
    <w:p>
      <w:pPr>
        <w:jc w:val="both"/>
        <w:ind w:left="1420" w:hanging="332"/>
        <w:spacing w:after="0" w:line="266"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fixed by the Board that is no less than sixty-one (61) days and no more than one hundred eighty (180) days following the date on which the outstanding shares of Class B Common Stock represent less than five percent (5%) of the then outstanding shares of Class A Common Stock and Class B Common Stock in the aggregate; and</w:t>
      </w:r>
    </w:p>
    <w:p>
      <w:pPr>
        <w:spacing w:after="0" w:line="175" w:lineRule="exact"/>
        <w:rPr>
          <w:rFonts w:ascii="Times New Roman" w:cs="Times New Roman" w:eastAsia="Times New Roman" w:hAnsi="Times New Roman"/>
          <w:sz w:val="18"/>
          <w:szCs w:val="18"/>
          <w:color w:val="auto"/>
        </w:rPr>
      </w:pPr>
    </w:p>
    <w:p>
      <w:pPr>
        <w:ind w:left="1420" w:hanging="332"/>
        <w:spacing w:after="0" w:line="282" w:lineRule="auto"/>
        <w:tabs>
          <w:tab w:leader="none" w:pos="14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the holders of a majority of the then outstanding shares of Class B Common Stock, voting as a separate class, or in the affirmative written election executed by the holders of a majority of the then outstanding shares of Class B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“Founders” shall mean Keyvan Mohajer, Majid Emami and James Hom. A “Founder” shall mean an individual Founder.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 Reason” shall mean the occurrence of any of the following events, without the express written consent of a Founder: (a) the Corporation’s material breach of any of its obligations under its employment agreement with the Founder, as in effect from time to time; (b) any material adverse change in the Founder’s duties or authority or responsibilities, or the assignment of duties or responsibilities to the Founder materially inconsistent with his position; (c) any material reduction in the Founder’s annual base salary or annual target bonuses / incentives (other than across-the-board reductions affecting similarly situated employees, officers, advisors, consultants or other service providers of the Corporation or any of its subsidiaries); (d) the Corporation requires the Founder to relocate to a facility or location that increases his one-way commute by more than fifty (50) miles from the location at which he was working immediately prior to the required relocation; or (e) the failure of a successor to the Corporation to assume the Corporation’s obligations under the Founder’s employment agreement with the Corporation; provided that for clauses (a)-(e) above, the Founder (i) has not approved any such occurrence in his capacity as a stockholder, director, officer, employee or otherwise and (ii) has given written notice to the Corporation of the condition giving rise to Good Reason within ninety (90) days after any such occurrence. As used in Section 4.6.2.2 and the definition of “Final Conversion Date” in this Second Amended and Restated Certificate, the date of a resignation for “Good Reason” shall be the date (c) that is thirty (30) days after written notice by a Founder to the Corporation of an alleged condition giving rise to a resignation for Good Reason if the Corporation shall have failed to cure or remedy such matter, if curable, within such thirty (30) day period. In the event that the basis for Good Reason is not curable, then such thirty (30) day cure period shall not be required, and the date of such resignation shall be the date the Founder delivers such notice.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“Parent” of an entity shall mean any entity that directly or indirectly owns or controls a majority of the voting power of the voting securities of such entity.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“Permitted IRA” shall mean an Individual Retirement Account, as defined in Section 408(a) of the Internal Revenue Code (the “Code”), or a pension, profit sharing, stock bonus or other type of plan or trust of which a Qualified Stockholder is a participant or beneficiary and which satisfies the requirements for qualification under Section 401 of the Code; provided, however, that in each case such Qualified Stockholder has sole dispositive power and exclusive Voting Control with respect to the shares of Class B Common Stock held in such account, plan or trust.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“Permanent Disability” shall mean a permanent and total disability such that the applicable Founder is unable to engage in any substantial gainful activity by reason of any medically determinable physical or mental impairment which would reasonably be expected to result in death within twelve (12) months or which has lasted or would reasonably be expected to last for a continuous period of not less than twelve (12) months as determined by a licensed medical practitioner.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“Permitted Entity” shall mean with respect to a Qualified Stockholder: (a) a corporation in which such Qualified Stockholder directly, or indirectly through one or more Permitted Entities, owns shares with sufficient Voting Control in the corporation, or otherwise has legally enforceable rights, such that the Qualified Stockholder retains sole dispositive power and exclusive Voting Control with respect to the shares of Class B Common Stock held by such corporation; (b) a partnership in which such Qualified Stockholder directly, or indirectly through one or more Permitted Entities, owns partnership interests with sufficient Voting Control in the partnership, or otherwise has legally enforceable rights, such that the Qualified Stockholder retains sole dispositive power and exclusive Voting Control with respect to the shares of Class B Common Stock held by such partnership; or (c) a limited liability company in which such Qualified Stockholder directly, or indirectly through one or more Permitted Entities, owns membership or limited liability company interests with sufficient Voting Control in the limited liability company, or otherwise has legally enforceable rights, such that the Qualified Stockholder retains sole dispositive power and exclusive Voting Control with respect to the shares of Class B Common Stock held by such limited liability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“Permitted Transfer” shall mean, and be restricted to, any Transfer of a share of Class B Common Stock: (a) by a Qualified Stockholder to (i) any Permitted Trust of such Qualified Stockholder, (ii) any Permitted IRA of such Qualified Stockholder, and (iii) any Permitted Entity of such Qualified Stockholder; (b) by a Permitted Trust, Permitted IRA or Permitted Entity of such Qualified Stockholder to (i) such Qualified Stockholder, or (ii) any other Permitted Trust, Permitted IRA or Permitted Entity of such Qualified Stockholder; or (c) by a Qualified Stockholder or a Permitted Trust, Permitted IRA or Permitted Entity of such Qualified Stockholder to another Qualified Stockholder or the Permitted Trust, Permitted IRA or Permitted Entity of such other Qualified Stockholder.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Transferee” shall mean a transferee of shares of Class B Common Stock received in a Permitted Transfer.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“Permitted Trust” shall mean with respect to a Qualified Stockholder: (a) a trust for the benefit of such Qualified Stockholder and for the benefit of no other person so long as the Transfer to such trust does not involve any payment of cash, securities, property or other consideration (other than an interest in such trust) to such Qualified Stockholder; (b) a trust for the benefit of such Qualified Stockholder and/or persons other than such Qualified Stockholder so long as such Qualified Stockholder has sole dispositive power and exclusive Voting Control with respect to the shares of Class B Common Stock held by such trust and the Transfer to such trust does not involve any payment of cash, securities, property or other consideration (other than an interest in such trust) to such Qualified Stockholder; or (c) a trust under the terms of which such Qualified Stockholder has retained a “qualified interest” within the meaning of §2702(b)(1) of the Code or a reversionary interest so long as such Qualified Stockholder has sole dispositive power and exclusive Voting Control with respect to the shares of Class B Common Stock held by such trust.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“Qualified Stockholder” shall mean: (a) any of the Founders and (b) a Permitted Transferee.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“Separation Date” the date that both of the following conditions are met: (1) the Co-Founder/CEO no longer serves as the CEO and (2) the Co-Founder/CEO no longer serves as a member of the Board.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“Transfer” of a share of Class B Common Stock shall mean any sale, assignment, transfer, conveyance, pledge,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“Transfer” within the meaning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a revocable proxy to officers or directors of the Corporation at the request of the Board in connection with actions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solely with stockholders who are holders of Class B Common Stock that (i) is disclosed either in a Schedule 13D filed with the Securities and Exchange Commission or in writing to the Secretary of the Corporation, (ii) either has a term not exceeding one (1) year or is terminable by the holder of the shares subject thereto at any time and (iii) does not involve any payment of cash, securities, property or other consideration to the holder of the shares subject thereto other than the mutual promise to vote shares in a designated manner;</w:t>
      </w:r>
    </w:p>
    <w:p>
      <w:pPr>
        <w:spacing w:after="0" w:line="18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 voting trust, agreement or arrangement (with or without granting a proxy) pursuant to a written agreement to which the Corporation is a party;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Voting Control over such pledged shares; provided, however, that a foreclosure on such shares or other similar action by the pledgee shall constitute a Transfer unless such foreclosure or similar action qualifies as a Permitted Transfer;</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as of the Effectiveness Date or at any time after the Effectiveness Date,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 (including a Transfer by operation of law pursuant to a qualified domestic order or in connection with a divorce settlement or any other court order);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merger or consolidation of the Corporation with or into any other entity, or in the case of any other transaction having an effect on stockholders substantially similar to that resulting from a merger or consolidation, that has been approved by the Board, the entering into a support, voting, tender or similar agreement or arrangement (in each case, with or without the grant of a proxy) that has also been approved by the Board.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Transfer shall also be deemed to have occurred with respect to a share of Class B Common Stock beneficially held by (i) an entity that is a Permitted Trust, Permitted IRA or Permitted Entity, as of such time that there occurs any act or circumstance that causes such entity to no longer be a Permitted Trust, Permitted IRA, Permitted Entity or if there occurs a Transfer on a cumulative basis, from and after the Effectiveness Date, of a majority of the voting power of the voting securities of such entity or any direct or indirect Parent of such entity, or (ii) an entity that is a Qualified Stockholder, as of such time that there occurs a Transfer on a cumulative basis, from and after the Effectiveness Date, of a majority of the voting power of the voting securities of such entity or any direct or indirect Parent of such entity.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Control” shall mean, with respect to a share of Class B Common Stock, the exclusive power to vote or direct the voting of such share by proxy, voting agreement or otherwise.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In the event any shares of Class B Common Stock are converted into shares of Class A Common Stock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shares of Class B Common Stock so converted shall be retired and shall not be reissued by the Corporation.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if the date on which any share of Class B Common Stock is converted into Class A Common Stock pursuant to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occurs after the record date for the determination of the holders of Class B Common Stock entitled to receive any dividend or distribution to be paid on the shares of Class B Common Stock, the holder of such shares of Class B Common Stock as of such record date will be entitled to receive such dividend or distribution on such payment date; provided, however, that, notwithstanding any other provision of this Second Amended and Restated Certificate, to the extent that any such dividend or distribution is payable in shares of Class B Common Stock, such dividend or distribution shall be deemed to have been declared, and shall be payable in, shares of Class A Common Stock and no shares of Class B Common Stock shall be issued in payment thereof.</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The Corporation shall at all times reserve and keep available, out of its authorized and unissued shares of Class A Common Stock, solely for the purpose of effecting conversions of shares of Class B Common Stock into Class A Common Stock, such number of duly authorized shares of Class A Common Stock as shall from time to time be sufficient to effect the conversion of all then-outstanding shares of Class B Common Stock. If at any time the number of authorized and unissued shares of Class A Common Stock shall not be sufficient to effect the conversion of all then-outstanding shares of Class B Common Stock, the Corporation shall promptly take such corporate action as may be necessary to increase its authorized but unissued shares of Class A Common Stock to such number of shares as shall be sufficient for such purpose, including, without limitation, obtaining the requisite stockholder approval of any necessary amendment to this Second Amended and Restated Certificate. All shares of Class A Common Stock which are so issuable shall, when issued, be duly and validly issued, fully paid and non-assessable shares. The Corporation shall take all such action as may be necessary to ensure that all such shares of Class A Common Stock may be so issued without violation of any applicable law or regulation.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The Corporation may, from time to time, establish such policies and procedures, not in violation of applicable law or this Second Amended and Restated Certificate or the Bylaws, relating to the administration of the conversion of shares of the Class B Common Stock into shares of Class A Common Stock as it may deem necessary or advisable. If the Corporation has reason to believe that a Transfer that is not a Permitted Transfer has occurred, the Corporation may request that the purported transferor furnish affidavits or other evidence to the Corporation as it reasonably deems necessary to determine whether a Transfer that is not a Permitted Transfer has occurred, and if such transferor does not within ten (10) days after the date of such request furnish sufficient (as determined in good faith by the Board) evidence to the Corporation (in the manner provided in the request) to enable the Corporation to determine that no such Transfer has occurred, any such shares of Class B Common Stock, to the extent not previously converted, shall be automatically converted into shares of Class A Common Stock and such conversion shall thereupon be registered on the books and records of the Corporation. In connection with any action of stockholders taken at a meeting, the stock ledger of the Corporation shall be presumptive evidence as to who are the stockholders entitled to vote in person or by proxy at any meeting of stockholders and the classes of shares held by each such stockholder and the number of shares of each class held by such stockholder.</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number of Directors of the Corporation shall be fixed solely and exclusively by resolution duly adopted from time to time by the Board of Directors. At each annual meeting of stockholders, Directors elected to succeed those Directors whose terms expire shall be elected for a term of office to expire at the succeeding annual meeting of stockholders after their election. Except as the DGCL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including unfilled vacancies resulting from the removal of directors for cause, may be filled only by the vote of a majority of the remaining directors then in office, although less than a quorum (as defined in the Bylaws), or by the sole remaining director.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all directors shall hold office until the expiration of their respective terms of office and until their successors shall have been elected and qualified, or until their earlier death, resignation or removal.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xml:space="preserve"> Election of directors need not be by ballot unless the Bylaws so provide.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5.2.2</w:t>
      </w:r>
      <w:r>
        <w:rPr>
          <w:rFonts w:ascii="Times New Roman" w:cs="Times New Roman" w:eastAsia="Times New Roman" w:hAnsi="Times New Roman"/>
          <w:sz w:val="18"/>
          <w:szCs w:val="18"/>
          <w:color w:val="auto"/>
        </w:rPr>
        <w:t xml:space="preserve"> The directors in their discretion may submit any contract or act for approval or ratification at any annual meeting of the stockholders or at any special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unless a higher vote is required by applicable law,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7"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the State of Delaware, of this Second Amended and Restated Certificate, and to any bylaws from time to time made by the stockholders; provided, however, that no bylaw so made shall invalidate any prior act of the directors which would have been valid if such bylaw had not been made.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5.3 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directors may be removed either for or without cause, by the affirmative vote of the holders a majority of the voting power of the then-outstanding shares of capital stock of the Corporation entitled to vote generally in the election of directors, voting together as a single class.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5.4 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5.5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and notwithstanding anything to the contrary herein,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furtherance and not in limitation of the powers conferred by law, subject to any limitations contained in this Second Amended and Restated Certificate, the Board is expressly authorized to make, alter and repeal the Bylaws, but any Bylaws adopted by the Board may be adopted, amended, altered or repealed by the stockholders entitled to vote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however, that no Bylaws hereafter adopted by the stockholders shall invalidate any prior act of the Board that would have been valid if such Bylaws had not been adopted.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 ACTION BY WRITTEN CONSENT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7.1 Meetings</w:t>
      </w:r>
      <w:r>
        <w:rPr>
          <w:rFonts w:ascii="Times New Roman" w:cs="Times New Roman" w:eastAsia="Times New Roman" w:hAnsi="Times New Roman"/>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to call a special meeting is hereby specifically denied.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7.2 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7.3 Action by Written Consent</w:t>
      </w:r>
      <w:r>
        <w:rPr>
          <w:rFonts w:ascii="Times New Roman" w:cs="Times New Roman" w:eastAsia="Times New Roman" w:hAnsi="Times New Roman"/>
          <w:sz w:val="18"/>
          <w:szCs w:val="18"/>
          <w:color w:val="auto"/>
        </w:rPr>
        <w:t>. Unless otherwise provided in the Bylaws, any action required or permitted to be taken by the stockholders of the Corporation must be effected by a duly called annual or special meeting of such stockholders and may not be effected by written consent of the stockholders.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INDEMNIFICATION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Corporation,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COMPROMISE OR ARRANGEMENT</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OF SECOND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10.1 Amendments</w:t>
      </w:r>
      <w:r>
        <w:rPr>
          <w:rFonts w:ascii="Times New Roman" w:cs="Times New Roman" w:eastAsia="Times New Roman" w:hAnsi="Times New Roman"/>
          <w:sz w:val="17"/>
          <w:szCs w:val="17"/>
          <w:color w:val="auto"/>
        </w:rPr>
        <w:t xml:space="preserve">. The Corporation reserves the right at any time and from time to time to amend, alter, change or repeal any provision contained in this Second Amended and Restated Certificate (including any Preferred Stock Designation), in the manner now or hereafter prescribed by this Second Amended and Restated Certificate and the DGCL, and, except as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all rights, preferences and privileges herein conferred upon stockholders, directors or any other persons by and pursuant to this Second Amended and Restated Certificate in its present form or as hereafter amended are granted subject to the rights reserved in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Notwithstanding anything to the contrary contained in this Second Amended and Restated Certificate, and notwithstanding that a lesser percentage may be permitted from time to time by applicable law, no provision of </w:t>
      </w:r>
      <w:r>
        <w:rPr>
          <w:rFonts w:ascii="Times New Roman" w:cs="Times New Roman" w:eastAsia="Times New Roman" w:hAnsi="Times New Roman"/>
          <w:sz w:val="17"/>
          <w:szCs w:val="17"/>
          <w:u w:val="single" w:color="auto"/>
          <w:color w:val="auto"/>
        </w:rPr>
        <w:t>Article IV, 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 Article VI, Section 7.1, Section 7.3, 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may be altered, amended or repealed in any respect, nor may any provision or bylaw inconsistent therewith be adopted, unless, in addition to any other vote required by this Second Amended and Restated Certificate or otherwise required by law, such alteration, amendment, repeal or adoption is approved by the affirmative vote of the holders of at least a majority of the voting power of the outstanding shares of capital stock of the Corporation entitled to vote generally in the election of directors, voting together as a single class.</w:t>
      </w:r>
    </w:p>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11.1 Forum</w:t>
      </w:r>
      <w:r>
        <w:rPr>
          <w:rFonts w:ascii="Times New Roman" w:cs="Times New Roman" w:eastAsia="Times New Roman" w:hAnsi="Times New Roman"/>
          <w:sz w:val="18"/>
          <w:szCs w:val="18"/>
          <w:color w:val="auto"/>
        </w:rPr>
        <w:t xml:space="preserve">. Subject to the last sentence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11.2 Consent to Jurisdiction</w:t>
      </w:r>
      <w:r>
        <w:rPr>
          <w:rFonts w:ascii="Times New Roman" w:cs="Times New Roman" w:eastAsia="Times New Roman" w:hAnsi="Times New Roman"/>
          <w:sz w:val="18"/>
          <w:szCs w:val="18"/>
          <w:color w:val="auto"/>
        </w:rPr>
        <w:t xml:space="preserve">. If any action the subject matter of which is within the scope of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immediately above (an “FSC Enforcement Action”) and (ii) having service of process made upon such stockholder in any such FSC Enforcement Action by service upon such stockholder's counsel in the Foreign Action as agent for such stockholder.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11.3 Severability</w:t>
      </w:r>
      <w:r>
        <w:rPr>
          <w:rFonts w:ascii="Times New Roman" w:cs="Times New Roman" w:eastAsia="Times New Roman" w:hAnsi="Times New Roman"/>
          <w:sz w:val="18"/>
          <w:szCs w:val="18"/>
          <w:color w:val="auto"/>
        </w:rPr>
        <w:t xml:space="preserve">. If any provision or provisions of this Second Amended and Restated Certificate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Second Amended and Restated Certificate (including, without limitation, each portion of any sentence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12.1 Corporate Opportunity</w:t>
      </w:r>
      <w:r>
        <w:rPr>
          <w:rFonts w:ascii="Times New Roman" w:cs="Times New Roman" w:eastAsia="Times New Roman" w:hAnsi="Times New Roman"/>
          <w:sz w:val="18"/>
          <w:szCs w:val="18"/>
          <w:color w:val="auto"/>
        </w:rPr>
        <w:t>. The doctrine of corporate opportunity, or any other analogous doctrine, shall not apply with respect to the Corporation or any of its officers or directors in circumstances where the application of any such doctrine would conflict with any fiduciary duties or contractual obligations they may have as of the date of this Second Amended and Restated Certificate or in the future. In addition to the foregoing, unless the Corporation and a director or officer of the Corporation otherwise agree in writing, the doctrine of corporate opportunity shall not apply to any other corporate opportunity with respect to any of the directors or officers of the Corporation unless such corporate opportunity is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Second Amended and Restated Certificate of Incorporation to be signed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as of the 26th day of April, 2022.</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229"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N. Cannon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SoundHound AI, Inc. (the “Corporation”) in the State of Delaware shall be established and maintained at 251 Little Falls Drive, Wilmington, Delaware 19808, County of New Castle and Corporation Service Company shall be the registered agent of the corporation in charge thereof.</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of the Corporation (the “Board of Directors”) may from time to time determine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STOCKHOLDERS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Place of Meetings</w:t>
      </w:r>
      <w:r>
        <w:rPr>
          <w:rFonts w:ascii="Times New Roman" w:cs="Times New Roman" w:eastAsia="Times New Roman" w:hAnsi="Times New Roman"/>
          <w:sz w:val="18"/>
          <w:szCs w:val="18"/>
          <w:color w:val="auto"/>
        </w:rPr>
        <w:t>. All meetings of the stockholders shall be held at such time and place, either within or without the State of Delaware, as shall be designated from time to time by the Board of Directors and stated in the notice of the meeting or in a duly executed waiver of notice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The annual meeting of stockholders shall be held on such date and at such time as may be fixed by the Board of Directors and stated in the notice of the meeting, for the purpose of electing directors and for the transaction of only such other business as is properly brought before the meeting in accordance with these Bylaws (the “Bylaws”).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Written notice of an annual meeting stating the place, date and hour of the meeting, shall be given to each stockholder entitled to vote at such meeting not less than ten (10) nor more than sixty (60) days before the date of the annual meeting.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be properly brought before the annual meeting, business must be either (i) 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w:t>
      </w:r>
    </w:p>
    <w:p>
      <w:pPr>
        <w:spacing w:after="0" w:line="5" w:lineRule="exact"/>
        <w:rPr>
          <w:sz w:val="20"/>
          <w:szCs w:val="20"/>
          <w:color w:val="auto"/>
        </w:rPr>
      </w:pPr>
    </w:p>
    <w:p>
      <w:pPr>
        <w:jc w:val="both"/>
        <w:ind w:firstLine="8"/>
        <w:spacing w:after="0" w:line="251"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 (i) the name and record address of the stockholder and (ii) the class, series and number of shares of capital stock of the Corporation which are beneficially owned by the stockholder. Notwithstanding anything 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stockholders, for any purpose or purposes, may only be called as prescribed by statute or by the Certificate of Incorporation of the Corporation (the “Certificate of Incorporation”). Such request shall state the purpose or purposes of the proposed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provided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shall be limited to the purposes stated in the notice.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a majority of the voting power of the capital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holders of a majority of the votes entitled to be cast by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shall be given to each stockholder entitled to vote at the meeting.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Chairman of the Board of Directors shall act as chairman of meetings of the stockholders. The Board of Directors may designate any other officer or director of the Corporation to act as chairman of any meeting in the absence of the Chairman of the Board of Directors, and the Board of Directors may further provide for determining who shall act as chairman of any stockholders meeting in the absence of the Chairman of the Board of Directors and such designee.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Secretary of the Corporation shall act as secretary of all meetings of the stockholders, but in the absence of the Secretary the presiding officer may appoint any other person to act as secretary of any meeting.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Unless otherwise required by law, the Certificate of Incorporation or these Bylaws, any question (other than the election of directors) brought before any meeting of stockholders shall be decided by the vote of the holders of a majority of the stock represented and entitled to vote thereat. At all meetings of stockholders for the election of directors, a plurality of the votes cast shall be sufficient to elect. Each stockholder represented at a meeting of stockholders shall be entitled to cast one vote for each share of the capital stock entitled to vote thereat held by such stockholder, unless otherwise provided by the Certificate of Incorporation. Each stockholder entitled to vote at a meeting of stockholders or to express consent or dissent to corporate action in writing without a meeting may authorize any person or persons to act for him by proxy. All proxies shall be executed in writing and shall be filed with the Secretary of the Corporation not later than the day on which exercised. No proxy shall be voted or acted upon after three (3) years from its date, unless the proxy provides for a longer period. The Board of Directors, in its discretion, or the officer of the Corporation presiding at a meeting of stockholders, in his or her discretion, may require that any votes cast at such meeting shall be cast by written ballot.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Action of Stockholders Without Meeting</w:t>
      </w:r>
      <w:r>
        <w:rPr>
          <w:rFonts w:ascii="Times New Roman" w:cs="Times New Roman" w:eastAsia="Times New Roman" w:hAnsi="Times New Roman"/>
          <w:sz w:val="18"/>
          <w:szCs w:val="18"/>
          <w:color w:val="auto"/>
        </w:rPr>
        <w:t>. Unless otherwise provided by the Certificate of Incorporation or by resolution of the Board of Directors, no action required to be taken at any annual or special meeting of stockholders, or any action which may be taken at any annual or special meeting of such stockholders, may be taken without a meeting, If action without a meeting is provided by the Certificate of Incorporation or by resolution of the Bard of Directors, such action may be taken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Voting List</w:t>
      </w:r>
      <w:r>
        <w:rPr>
          <w:rFonts w:ascii="Times New Roman" w:cs="Times New Roman" w:eastAsia="Times New Roman" w:hAnsi="Times New Roman"/>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showing the address of each stockholder and the class and number of shares registered in the name of each stockholder. Such list shall be open to the examination of any stockholder, for any purpose germane to the meeting, during ordinary business hours, for a period of at least ten (10) days prior to the election, either at a place within the city, town or village where the election is to be held, which place shall be specified in the notice of the meeting, or, if not specified, at the place where said meeting is to be held. The list shall be produced and kept at the time and place of election during the whole time thereof, and may be inspected by any stockholder of the Corporation who is present.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Stock Ledger</w:t>
      </w:r>
      <w:r>
        <w:rPr>
          <w:rFonts w:ascii="Times New Roman" w:cs="Times New Roman" w:eastAsia="Times New Roman" w:hAnsi="Times New Roman"/>
          <w:sz w:val="18"/>
          <w:szCs w:val="18"/>
          <w:color w:val="auto"/>
        </w:rPr>
        <w:t>. The stock ledger of the Corporation shall be the only evidence as to who are the stockholders entitled to examine the stock ledger, the list required by Section 8 of this Article II or the books of the Corporation, or to vote in person or by proxy at any meeting of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the stockholders, including one at which directors are to be elected, may be adjourned for such periods as the presiding officer of the meeting or the stockholders present in person or by proxy and entitled to vote shall direct.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Any transaction questioned in any stockholders’ derivative suit, or any other suit to enforce alleged rights of the Corporation or any of its stockholders, on the ground of lack of authority, defective or irregular execution, adverse interest of any director, officer or stockholder, nondisclosure, miscomputation or the application of improper principles or practices of accounting may be approved, ratified and confirmed before or after judgment by the Board of Directors or by the holders of Common Stock and, if so approved, ratified or confirmed, shall have the same force and effect as if the questioned transaction had been originally duly authorized, and said approval, ratification or confirmation shall be binding upon the Corporation and all of its stockholders and shall constitute a bar to any claim or execution of any judgment in respect of such questioned transaction.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The election of directors and any other vote by ballot at any meeting of the stockholders shall be supervised by at least one inspector. Such inspectors shall be appointed by the Board of Directors in advance of the meeting. If the inspector so appointed shall refuse to serve or shall not be present, such appointment shall be made by the officer presiding at the</w:t>
      </w:r>
    </w:p>
    <w:p>
      <w:pPr>
        <w:spacing w:after="0" w:line="17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u w:val="single" w:color="auto"/>
          <w:color w:val="auto"/>
        </w:rPr>
        <w:t>DIRECTORS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Powers; Number; Qualifications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may be otherwise provided by law or in the Certificate of Incorporation. The number of directors which shall constitute the Board of Directors shall be not less than one (1) nor more than nine (9). The exact number of directors shall be fixed from time to time, within the limits specified in this Article III Section 1 or in the Certificate of Incorporation, by the Board of Directors. Directors need not be stockholders of the Corporation. The Board may be divided into Classes as more fully described in the Certificate of Incorporation.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Election; Term of Office; Resignation; Removal; Vacancies</w:t>
      </w:r>
      <w:r>
        <w:rPr>
          <w:rFonts w:ascii="Times New Roman" w:cs="Times New Roman" w:eastAsia="Times New Roman" w:hAnsi="Times New Roman"/>
          <w:sz w:val="18"/>
          <w:szCs w:val="18"/>
          <w:color w:val="auto"/>
        </w:rPr>
        <w:t>. Each director shall hold office as prescribed by the Certificate of Incorporation. Unless otherwise provided in the Certificate of Incorporation, vacancies and newly created directorships resulting from any increase in the authorized number of directors or from any other cause may be filled by a majority of the directors then in office, although less than a quorum, or by a sole remaining director and each director so chosen shall hold office until the next election of the class for which such director shall have been chosen, and until his or her successor shall be elected and qualified, or until such director’s earlier resignation, removal from office, death or incapacity.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Nominations</w:t>
      </w:r>
      <w:r>
        <w:rPr>
          <w:rFonts w:ascii="Times New Roman" w:cs="Times New Roman" w:eastAsia="Times New Roman" w:hAnsi="Times New Roman"/>
          <w:sz w:val="18"/>
          <w:szCs w:val="18"/>
          <w:color w:val="auto"/>
        </w:rPr>
        <w:t>. Unless otherwise provided in the Certificate of Incorporation or any Certificate of Designation (as defined in the Certificate of Incorporation), nominations of persons for election to the Board of Directors of the Corporation at a meeting of stockholders of the Corporation may be made at such meeting by or at the direction of the Board of Directors, by any committee or persons appointed by the Board of Directors or by any stockholder of the Corporation entitled to vote for the election of directors at the meeting who complies with the notice procedures set forth in this Article III, Section 3.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w:t>
      </w:r>
    </w:p>
    <w:p>
      <w:pPr>
        <w:spacing w:after="0" w:line="5" w:lineRule="exact"/>
        <w:rPr>
          <w:sz w:val="20"/>
          <w:szCs w:val="20"/>
          <w:color w:val="auto"/>
        </w:rPr>
      </w:pPr>
    </w:p>
    <w:p>
      <w:pPr>
        <w:jc w:val="both"/>
        <w:ind w:firstLine="8"/>
        <w:spacing w:after="0" w:line="251" w:lineRule="auto"/>
        <w:tabs>
          <w:tab w:leader="none" w:pos="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Board of Directors may hold meetings, both regular and special, either within or without the State of Delaware. The first meeting of each newly elected Board of Directors shall be held immediately after and at the same place as the meeting of the stockholders at which it is elected and no notice of such meeting shall be necessary to the newly elected directors in order to legally constitute the meeting, provided a quorum shall be present. Regular meetings of the Board of Directors may be held without notice at such time and place as shall from time to time be determined by the Board of Directors. Special meetings of the Board of Directors may be called by the Chairman of the Board of Directors, the Chief Executive Officer or a majority of the entire Board of Directors. Notice thereof stating the place, date and hour of the meeting shall be given to each director either by mail not less than forty-eight (48) hours before the date of the meeting, by telephone, facsimile, telegram or e-mail on twenty-four (24) hours notice, or on such shorter notice as the person or persons calling such meeting may deem necessary or appropriate in the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Except as may be otherwise specifically provided by law, the Certificate of Incorporation or these Bylaws, at all meetings of the Board of Directors or any committee thereof, a majority of the entire Board of Directors or such committee, as the case may be, shall constitute a quorum for the transaction of business and the act of a majority of the directors present at any meeting at which there is a quorum shall be the act of the Board of Directors. If a quorum shall not be present at any meeting of the Board of Directors or of any committee thereof, a majority of the directors present thereat may adjourn the meeting from time to time, without notice other than announcement at the meeting, until a quorum shall be present.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6 Organization of Meetings</w:t>
      </w:r>
      <w:r>
        <w:rPr>
          <w:rFonts w:ascii="Times New Roman" w:cs="Times New Roman" w:eastAsia="Times New Roman" w:hAnsi="Times New Roman"/>
          <w:sz w:val="18"/>
          <w:szCs w:val="18"/>
          <w:color w:val="auto"/>
        </w:rPr>
        <w:t>. The Board of Directors shall elect one of its members to be Chairman of the Board of Directors. The Chairman of the Board of Directors shall lead the Board of Directors in fulfilling its responsibilities as set forth in these By-Laws, including its responsibility to oversee the performance of the Corporation, and shall determine the agenda and perform all other duties and exercise all other powers which are or from time to time may be delegated to him or her by the Board of Directors.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Meetings of the Board of Directors shall be presided over by the Chairman of the Board of Directors, or in his or her or her absence, by the Chief Executive Officer, or in the absence of the Chairman of the Board of Directors and the Chief Executive Officer by such other person as the Board of Directors may designate or the members present may select.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Actions of Board of Directors Without Meeting</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of such committee, as the case may be, consent thereto in writing or by electronic transmission, and the writing or writings or electronic transmission or transmissions are filled with the minutes of proceedings of the Board of Directors or committee.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Removal of Directors by Stockholders</w:t>
      </w:r>
      <w:r>
        <w:rPr>
          <w:rFonts w:ascii="Times New Roman" w:cs="Times New Roman" w:eastAsia="Times New Roman" w:hAnsi="Times New Roman"/>
          <w:sz w:val="18"/>
          <w:szCs w:val="18"/>
          <w:color w:val="auto"/>
        </w:rPr>
        <w:t>. The entire Board of Directors or any individual Director may be removed from office with or without cause by a vote of a majority of the voting power of the holders of the outstanding shares then entitled to vote at an election of directors. Notwithstanding the foregoing, if the Corporation’s board is classified, stockholders may effect such removal only for cause. In case the Board of Directors or any one or more Directors be so removed, new Directors may be elected at the same time for the unexpired portion of the full term of the Director or Directors so removed.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may resign at any time by submitting his or her written resignation to the Board of Directors or Secretary of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by law and in the resolution of the Board of Directors establishing such committee,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expressly so provides, no such committee shall have the power or authority to declare a dividend or to authorize the issuance of stock or to adopt a certificate of ownership and merger. Each committee shall keep regular minutes of its meetings and report the same to the Board of Directors when required.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or these Bylaws, the Board shall have the authority to fix the compensation of directors, including for service on a committee of the Board, and may be paid either a fixed sum (in cash or other form of consideration) for attendance at each meeting of the Board or other compensation as director.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such payment shall preclude any director from serving the Corporation in any other capacity and receiving compensation therefor. Members of special or standing committees may be allowed like compensation for attending committee meetings.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Interested Directors</w:t>
      </w:r>
      <w:r>
        <w:rPr>
          <w:rFonts w:ascii="Times New Roman" w:cs="Times New Roman" w:eastAsia="Times New Roman" w:hAnsi="Times New Roman"/>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her or their votes are counted for such purpose, if (i) the material facts as to his, her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Meetings by Means of Conference Telephone</w:t>
      </w:r>
      <w:r>
        <w:rPr>
          <w:rFonts w:ascii="Times New Roman" w:cs="Times New Roman" w:eastAsia="Times New Roman" w:hAnsi="Times New Roman"/>
          <w:sz w:val="18"/>
          <w:szCs w:val="18"/>
          <w:color w:val="auto"/>
        </w:rPr>
        <w:t>. Members of the Board of Directors or any committee designed by the Board of Directors may participate in a meeting of the Board of Directors or of a committee of the Board of Directors by means of conference telephone or similar communications equipment by means of which all persons participating in the meeting can hear each other, and participation in a meeting pursuant to this subsection shall constitute presence in person at such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officers of the Corporation shall be elected or appointed by the Board of Directors and may consist of: a Chairman of the Board, Vice Chairman of the Board, Chief Executive Officer, President, Chief Financial Officer, Secretary and Treasurer. The Board of Directors, in its discretion, may also elect or appoint one or more Vice Presidents (including Executive Vice Presidents and Senior Vice Presidents), Assistant Secretaries, Assistant Treasurers, a Controller and such other officers as in the judgment of the Board of Directors may be necessary or desirable.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 Any number of offices may be held by the same person and more than one person may hold the same office, unless otherwise prohibited by law, the Certificate of Incorporation or these Bylaws. The officers of the Corporation need not be stockholders of the Corporation or residents of the State of Delaware, nor need such officers be directors of the Corporation.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Except as otherwise provided in this Article IV,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18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Voting Securities Owned by the Corporation</w:t>
      </w:r>
      <w:r>
        <w:rPr>
          <w:rFonts w:ascii="Times New Roman" w:cs="Times New Roman" w:eastAsia="Times New Roman" w:hAnsi="Times New Roman"/>
          <w:sz w:val="17"/>
          <w:szCs w:val="17"/>
          <w:color w:val="auto"/>
        </w:rPr>
        <w:t>. Powers of attorney, proxies, waivers of notice of meeting, consents and other instruments relating to securities owned by the Corporation may be executed in the name of and on behalf of the Corporation by the Chief Executive Officer, President or any Vice President, and any such officer may, in the name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powers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shall preside when present at all meetings of the stockholders and the Board. The Chairman of the Board shall have general supervision and control of the acquisition activities of the Corporation subject to the ultimate authority of the Board, and shall be responsible for the execution of the policies of the Board with respect to such matters.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Subject to the provisions of these Bylaws and to the direction of the Board of Directors, the Chief Executive Officer shall have ultimate authority for decisions relating to the general management and control of the affairs and business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At the request of the Chief Executive Officer, or in the absence of the Chief Executive Officer, or in the event of his or her inability or refusal to act, the President shall perform the duties of the Chief Executive Officer, and when so acting, shall have all the powers of and be subject to all the restrictions upon such office. The President shall perform such other duties and have such other powers as the Board of Directors from time to time may prescribe.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have general supervision, direction and control of the financial affairs of the Corporation and shall perform such other duties and exercise such other powers which are or from time to time may be delegated to him or her by the Board of Directors or these Bylaws, all in accordance with basic policies as established by and subject to the oversight of the Board of Directors. In the absence of a named Treasurer, the Chief Financial Officer shall also have the powers and duties of the Treasurer as hereinafter set forth and shall be authorized and empowered to sign as Treasurer in any case where such officer’s signature is required.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At the request of the Chief Executive Officer or the President or in the absence of the Chief Executive Officer or the President, or in the event of his or her inability or refusal to act, the Vice President or the Vice Presidents if there is more than one (in the order designated by the Board of Directors) shall perform the duties of the Chief Executive Officer or the President, as applicable, and when so acting, shall have all the powers of and be subject to all the restrictions upon such office. Each Vice President shall perform such other duties and have such other powers as the Board of Directors from time to time may prescribe. If there be no Vice President, the Board of Directors shall designate the officer of the Corporation who, in the absence of the Chief Executive Officer or the President or in the event of the inability or refusal of such officer to act, shall perform the duties of such office, and when so acting, shall have all the powers of and be subject to all the restrictions upon such office.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the Secretary shall be. If the Secretary shall be unable or shall refuse to cause to be given notice of all meetings of the stockholders and special meetings of the Board of Directors, then any Assistant Secretary shall perform such actions. If there be no Assistant Secretary, then the Board of Directors or the Chief Executive Officer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or her signature. The Secretary shall see that all books, reports, statements, certificates and other documents and records required by law to be kept or filed are properly kept or filed, as the case may be.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Except as may be otherwise provided in these Bylaws, Assistant Secretaries, if there be any, shall perform such duties and have such powers as from time to time may be assigned to them by the Board of Directors, the Chief Executive Officer, the President, any Vice President, if there be one, or the Secretary, and in the absence of the Secretary or in the event of his or her disability or refusal to act, shall perform the duties of the Secretary, and when so acting, shall have all the powers of and be subject to all the restrictions upon the Secretary.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or her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Controller</w:t>
      </w:r>
      <w:r>
        <w:rPr>
          <w:rFonts w:ascii="Times New Roman" w:cs="Times New Roman" w:eastAsia="Times New Roman" w:hAnsi="Times New Roman"/>
          <w:sz w:val="18"/>
          <w:szCs w:val="18"/>
          <w:color w:val="auto"/>
        </w:rPr>
        <w:t>.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Chief Executive Officer, the President or any Vice President of the Corporation may prescribe.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The Board of Directors shall have the power to fill any vacancies in any office occurring from whatever reason.</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officer may resign at any time by submitting his or her written resignation to the Corporation. Such resignation shall take effect at the time of its receipt by the Corporation, unless another time be fixed in the resignation, in which case it shall become effective at the time so fixed. The acceptance of a resignation shall not be required to make it effective.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provisions of any employment agreement approved by the Board of Directors, any officer of the Corporation may be removed at any time, with or without cause, by the Board of Directors.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Form of Certificates</w:t>
      </w:r>
      <w:r>
        <w:rPr>
          <w:rFonts w:ascii="Times New Roman" w:cs="Times New Roman" w:eastAsia="Times New Roman" w:hAnsi="Times New Roman"/>
          <w:sz w:val="18"/>
          <w:szCs w:val="18"/>
          <w:color w:val="auto"/>
        </w:rPr>
        <w:t>. The shares of stock in the Corporation may be certificated or uncertificated, subject to the sole discretion of the Board of Directors and the requirements of the DGCL.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 (a) the Chairman of the Board, Chief Executive Officer, the President or a Vice President and (b) the Treasurer, an Assistant Treasurer, the Secretary or an Assistant Secretary of the Corporation. Any or all the signatures on the certificate may be a facsimile. . In case an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Lost Certificates</w:t>
      </w:r>
      <w:r>
        <w:rPr>
          <w:rFonts w:ascii="Times New Roman" w:cs="Times New Roman" w:eastAsia="Times New Roman" w:hAnsi="Times New Roman"/>
          <w:sz w:val="18"/>
          <w:szCs w:val="18"/>
          <w:color w:val="auto"/>
        </w:rPr>
        <w:t>. The Board of Directors may direct a new stock certificate or certificates to be issued in place of any stock certificate or certificates theretofore issued by the Corporation alleged to have been lost, stolen or destroyed, upon the making of an affidavit of that fact by the person claiming the certificate of stock to be lost, stolen or destroyed. When authorizing such issue of a new stock certificate, the Board of Directors may, in its discretion and as a condition precedent to the issuance thereof, require the owner of such lost, stolen or destroyed certificate, or his or her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Stock of the Corporation shall be transferable in the manner prescribed by law and in these Bylaws. Transfers of certificated stock shall be made on the books of the Corporation only by the person named in the certificate or by such person’s attorney lawfully constituted in writing and upon the surrender of the certificate therefor, which shall be canceled before a new certificate shall be issued. Transfers of uncertificated stock shall be made on the books of the Corporation only by the person then registered on the books of the Corporation as the owner of such shares or by such person’s attorney lawfully constituted in writing and written instruction to the Corporation containing such information as the Corporation or its agents may prescribe. No transfer of uncertificated stock shall be valid as against the Corporation for any purpose until it shall have been entered in the stock records of the Corporation by an entry showing from and to whom transferred. The Corporation shall have no duty to inquire into adverse claims with respect to any stock transfer unless (a) the Corporation has received a written notification of an adverse claim at a time and in a manner which affords the Corporation a reasonable opportunity to act on it prior to the issuance of a new, reissued or re-registered share certificate, in the case of certificated stock, or entry in the stock record books of the Corporation, in the case of uncertificated stock, and the notification identifies the claimant, the registered owner and the issue of which the share or shares is a part and provides an address for communications directed to the claimant; or (b) the Corporation has required and obtained, with respect to a fiduciary, a copy of a will, trust, indenture, articles of co-partnership, Bylaws or other controlling instruments, for a purpose other than to obtain appropriate evidence of the appointment or incumbency of the fiduciary, and such documents indicate, upon reasonable inspection, the existence of an adverse claim. The Corporation may discharge any duty of inquiry by any reasonable means, including notifying an adverse claimant by registered or certified mail at the address furnished by him or, if there be no such address, at his or her residence or regular place of business that the security has been presented for registration of transfer by a named person, and that the transfer will be registered unless within thirty days from the date of mailing the notification, either (a) an appropriate restraining order, injunction or other process issues from a court of competent jurisdiction; or (b) an indemnity bond, sufficient in the Corporation’s judgment to protect the Corporation and any transfer agent, registrar or other agent of the Corporation involved from any loss which it or they may suffer by complying with the adverse claim, is filed with the Corporation.</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Fixing Record Date</w:t>
      </w:r>
      <w:r>
        <w:rPr>
          <w:rFonts w:ascii="Times New Roman" w:cs="Times New Roman" w:eastAsia="Times New Roman" w:hAnsi="Times New Roman"/>
          <w:sz w:val="18"/>
          <w:szCs w:val="18"/>
          <w:color w:val="auto"/>
        </w:rPr>
        <w:t>. In order that the Corporation may determine the stockholders entitled to notice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is adopted by the Board of Directors, and which record date shall not be more than sixty (60) nor less than ten (10) days before the date of such meeting, nor more than ten (10) days after the date upon which the resolution fixing the record date of action with a meeting is adopted by the Board of Directors, nor more than sixty (60) days prior to any other action. If no record date is fixed:</w:t>
      </w:r>
    </w:p>
    <w:p>
      <w:pPr>
        <w:spacing w:after="0" w:line="189" w:lineRule="exact"/>
        <w:rPr>
          <w:sz w:val="20"/>
          <w:szCs w:val="20"/>
          <w:color w:val="auto"/>
        </w:rPr>
      </w:pPr>
    </w:p>
    <w:p>
      <w:pPr>
        <w:jc w:val="both"/>
        <w:ind w:left="660" w:firstLine="644"/>
        <w:spacing w:after="0" w:line="266" w:lineRule="auto"/>
        <w:tabs>
          <w:tab w:leader="none" w:pos="15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firstLine="644"/>
        <w:spacing w:after="0" w:line="282" w:lineRule="auto"/>
        <w:tabs>
          <w:tab w:leader="none" w:pos="15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entitled to express consent to corporate action in writing without a meeting, when no prior action by the Board of Directors is necessary, shall be the first date on which a signed written consent is delivered to the Corporation.</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determining stockholders for any other purpose shall be at the close of business on the day on which the Board of Directors adopts the resolution relating thereto.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Prior to due presentment for transfer of any share or shares, the Corporation shall treat the registered owner thereof as the person exclusively entitled to vote, to receive notifications and to all other benefits of ownership with respect to such share or shares, and shall not be bound to recognize any equitable or other claim to or interest in such share or shares on the part of any other person, whether or not it shall have express or other notice thereof, except as otherwise provided by the laws of the State Delaware.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Form of Notice</w:t>
      </w:r>
      <w:r>
        <w:rPr>
          <w:rFonts w:ascii="Times New Roman" w:cs="Times New Roman" w:eastAsia="Times New Roman" w:hAnsi="Times New Roman"/>
          <w:sz w:val="18"/>
          <w:szCs w:val="18"/>
          <w:color w:val="auto"/>
        </w:rPr>
        <w:t>. Notices to directors and stockholders other than notices to directors of special meetings of the board of Directors which may be given by any means stated in Article III, Section 4, shall be in writing and delivered personally or mailed to the directors or stockholders at their addresses appearing on the books of the corporation. Notice by mail shall be deemed to be given at the time when the same shall be mailed. Notice to directors may also be given by telegram.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under the provisions of law or the Certificate of Incorporation or by these Bylaws of the Corporation, a written waiver, signed by the person or persons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OF DIRECTORS AND OFFICERS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7.1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or her conduct was unlawful.</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7.2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7.3 To the extent that a director, officer, employee or agent of the Corporation has been successful on the merits or otherwise in defense of any action, suit or proceeding referred to in Sections 1 or 2 of this Article, or in defense of any claim, issue or matter therein, he shall be indemnified against expenses (including attorneys’ fees) actually and reasonably incurred by him or her in connection therewith.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7.4 Any indemnification under sections 1 or 2 of this Article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such section. Such determination shall be made:</w:t>
      </w:r>
    </w:p>
    <w:p>
      <w:pPr>
        <w:spacing w:after="0" w:line="176" w:lineRule="exact"/>
        <w:rPr>
          <w:sz w:val="20"/>
          <w:szCs w:val="20"/>
          <w:color w:val="auto"/>
        </w:rPr>
      </w:pPr>
    </w:p>
    <w:p>
      <w:pPr>
        <w:ind w:left="660" w:firstLine="644"/>
        <w:spacing w:after="0" w:line="282" w:lineRule="auto"/>
        <w:tabs>
          <w:tab w:leader="none" w:pos="15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action, suit or proceeding, or</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5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even if obtainable a quorum of disinterested directors so directs, by independent legal counsel in a written opinion, or</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7.5 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Such expenses (including attorneys’ fees) incurred by other employees and agents may be so paid upon such terms and conditions, if any, as the Board of Directors deems appropriate.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7.6 The indemnification and advancement of expenses provided by, or granted pursuant to the other sections of this Article shall not be deemed exclusive of any other rights to which those seeking indemnification or advancement of expenses may be entitled under the Certificate of Incorporation or under any bylaw, agreement, vote of stockholders or disinterested directors or otherwise, both as to action in his or her official capacity and as to action in another capacity while holding such office. 7.7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this Article.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7.8 For purposes of this Article,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with respect to the resulting or surviving Corporation as he would have with respect to such constituent Corporation of its separate existence had continued.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7.9 For purposes of this Article,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The indemnification and advancement of expenses provided by, or granted pursuant to, this Article shall, unless otherwise provided when authorized or ratified, continue as to a person who has ceased to be a director, officer, employee or agent and shall inure to the benefit of the heirs, executors and administrators of such a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7.11 No director or officer of the Corporation shall be personally liable to the Corporation or to any stockholder of the Corporation for monetary damages for breach of fiduciary duty as a director or officer, provided that this provision shall not limit the liability of a director or officer (i) for any breach of the director’s or the officer’s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or officer derived an improper personal benefit.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Reliance on Books and Records</w:t>
      </w:r>
      <w:r>
        <w:rPr>
          <w:rFonts w:ascii="Times New Roman" w:cs="Times New Roman" w:eastAsia="Times New Roman" w:hAnsi="Times New Roman"/>
          <w:sz w:val="18"/>
          <w:szCs w:val="18"/>
          <w:color w:val="auto"/>
        </w:rPr>
        <w:t>. Each Director, each member of any committee designated by the Board of Directors, and each officer of the Corporation, shall, in the performance of his or her duties, be fully protected in relying in good faith upon the books of account or other records of the Corporation, including reports made to the Corporation by any of its officers, by an independent certified public accountant, or by an appraiser selected with reasonable care.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Maintenance and Inspection of Records</w:t>
      </w:r>
      <w:r>
        <w:rPr>
          <w:rFonts w:ascii="Times New Roman" w:cs="Times New Roman" w:eastAsia="Times New Roman" w:hAnsi="Times New Roman"/>
          <w:sz w:val="18"/>
          <w:szCs w:val="18"/>
          <w:color w:val="auto"/>
        </w:rPr>
        <w:t>. The Corporation shall, either at its principal executive office or at such place or places as designated by the Board of Directors, keep a record of its stockholders listing their names and addresses and the class and number of shares held by each stockholder, a copy of these by-laws, as may be amended to date, minute books, accounting books and other records.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such records maintained by the Corporation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the provisions of the Delaware General Corporation Law. When records are kept in such manner, a clearly legible paper form produced from or by means of the information storage device or method shall be admissible in evidence, and accepted for all other purposes, to the same extent as an original paper form accurately portrays the record.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executive office.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Inspection by Directors</w:t>
      </w:r>
      <w:r>
        <w:rPr>
          <w:rFonts w:ascii="Times New Roman" w:cs="Times New Roman" w:eastAsia="Times New Roman" w:hAnsi="Times New Roman"/>
          <w:sz w:val="18"/>
          <w:szCs w:val="18"/>
          <w:color w:val="auto"/>
        </w:rPr>
        <w:t>. Any director shall have the right to examine the Corporation’s stock ledger, a list of its stockholders, and its other books and records for a purpose reasonably related to his or her position as a director.</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the provisions of the Certificate of Incorporation, if any, dividends upon the capital stock of the Corporation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Checks</w:t>
      </w:r>
      <w:r>
        <w:rPr>
          <w:rFonts w:ascii="Times New Roman" w:cs="Times New Roman" w:eastAsia="Times New Roman" w:hAnsi="Times New Roman"/>
          <w:sz w:val="18"/>
          <w:szCs w:val="18"/>
          <w:color w:val="auto"/>
        </w:rPr>
        <w:t>. All checks or demands for money and notes of the Corporation shall be signed by such officer or officers or such other persons as the Board of Directors may from time to time designate.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as determined by the Board of Directors. If the Board of Directors shall fail to do so, the Chief Executive Officer shall fix the fiscal year.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in any manner reproduced.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Certificate of Incorporation, the original or other Bylaws may be adopted, amended or repealed by the stockholders entitled to vote thereon at any regular or special meeting or, if the Certificate of Incorporation so provides, by the Board of Directors. The fact that such power has been so conferred upon the Board of Directors shall not divest the stockholders of the power nor limit their power to adopt, amend or repeal Bylaws.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Interpretation of Bylaws</w:t>
      </w:r>
      <w:r>
        <w:rPr>
          <w:rFonts w:ascii="Times New Roman" w:cs="Times New Roman" w:eastAsia="Times New Roman" w:hAnsi="Times New Roman"/>
          <w:sz w:val="18"/>
          <w:szCs w:val="18"/>
          <w:color w:val="auto"/>
        </w:rPr>
        <w:t>. All words, terms and provisions of these Bylaws shall be interpreted and defined by and in accordance with the General Corporation Law of the State of Delaware, as amended, and as amended from time to time hereafter.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WARRANT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AMENDED AND RESTATED WARRANT AGREEMENT is made as of April 26, 2022 between Archimedes Tech SPAC Partners Co., a Delaware corporation, with offices at 2093 Philadelphia Pike #1968, Claymont, DE 19703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Continental Stock Transfer &amp; Trust Company, a New York corporation, with offices at 1 State Street, New York, New York 10004 (“</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the Company consummated a public offering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xml:space="preserve">”) of 13,300,000 units (including the partial exercise of the underwriters’ over-allotment option), each unit (the “Public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comprised of (i) one subunit (the “Public Subunits”), consisting of one share of common stock of the 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one-quarter of one warrant (the “Public Warrants”), and (ii) one-quarter of one Public Warrant, where each whole Public Warrant entitles the holder to purchase one share of Common Stock at a price of $11.50 per share, subject to adjustment as described herein, and, in connection therewith, issued and delivered 3,325,000 Public Warrants to the public investors in connection with the Public Offering and another 3,325,000 Public Warrants that were contained within the Public Subunits issued and delivered upon the consummation of the Business Combination;</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certain Registration Statements on Form S-1, Nos. 333-253108 and 333-254114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for the registration, under the Securities Act of 1933, as amended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of, among other securities, the Public Warrants;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Archimedes Tech SPAC Sponsors LLC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EarlyBirdCapital, Inc. (“</w:t>
      </w:r>
      <w:r>
        <w:rPr>
          <w:rFonts w:ascii="Times New Roman" w:cs="Times New Roman" w:eastAsia="Times New Roman" w:hAnsi="Times New Roman"/>
          <w:sz w:val="18"/>
          <w:szCs w:val="18"/>
          <w:u w:val="single" w:color="auto"/>
          <w:color w:val="auto"/>
        </w:rPr>
        <w:t>EarlyBirdCapita</w:t>
      </w:r>
      <w:r>
        <w:rPr>
          <w:rFonts w:ascii="Times New Roman" w:cs="Times New Roman" w:eastAsia="Times New Roman" w:hAnsi="Times New Roman"/>
          <w:sz w:val="18"/>
          <w:szCs w:val="18"/>
          <w:color w:val="auto"/>
        </w:rPr>
        <w:t>l”) purchased an aggregate of 416,000 units (the “Private Units”) upon consummation of the Public Offering , each Private Unit consisting of (i) one subunit (the “Private Subunits”), consisting of one share of Common Stock and one-quarter of one warrant (the “Private Warrants”), and (ii) one-quarter of one Private Warrant, where each whole Private Warrant entitles the holder to purchase one share of Common Stock at a price of $11.50 per share, subject to adjustment as described 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Company may issue up to an additional 150,000 units (the “</w:t>
      </w:r>
      <w:r>
        <w:rPr>
          <w:rFonts w:ascii="Times New Roman" w:cs="Times New Roman" w:eastAsia="Times New Roman" w:hAnsi="Times New Roman"/>
          <w:sz w:val="18"/>
          <w:szCs w:val="18"/>
          <w:u w:val="single" w:color="auto"/>
          <w:color w:val="auto"/>
        </w:rPr>
        <w:t>Working Capital Units</w:t>
      </w:r>
      <w:r>
        <w:rPr>
          <w:rFonts w:ascii="Times New Roman" w:cs="Times New Roman" w:eastAsia="Times New Roman" w:hAnsi="Times New Roman"/>
          <w:sz w:val="18"/>
          <w:szCs w:val="18"/>
          <w:color w:val="auto"/>
        </w:rPr>
        <w:t>”) at a price of $10.00 per Working Capital Unit in satisfaction of certain working capital loans made by the Sponsor, the Company’s officers, directors, and initial stockholders and their affiliates, each consisting of (i) one subunit, consisting of one share of Common Stock and one-quarter of one warrant (the “Working Capital Warrants”), and (ii) one-quarter of one Working Capital Warrant, where each whole Working Capital Warrant entitles the holder to purchase one share of Common Stock at a price of $11.50 per share, subject to adjustment as described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following consummation of the Public Offering, the Company may issue additional warrants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and together with the Public Warrants, Private Warrants, and Working Capital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in connection with, or following the consummation by the Company of, a Business Combination (defined below);</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and the Warrant Agent entered into that certain Warrant Agreement, dated as of March 10, 2021 (the “Original Agreement”), to provide for the form and provisions of the Warrants, the terms upon which they shall be issued and exercised, and the respective rights, limitation of rights, and immunities of the Company, the Warrant Agent, and the holders of the Warrants;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Warrant Agent desire to amend and restate the Original Agreement in its entirety pursuant to Section 9.8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that the Original Agreement is hereby amended and restated in its entirety by this Agreement and further agree as follows:</w:t>
      </w:r>
    </w:p>
    <w:p>
      <w:pPr>
        <w:spacing w:after="0" w:line="378" w:lineRule="exact"/>
        <w:rPr>
          <w:sz w:val="20"/>
          <w:szCs w:val="20"/>
          <w:color w:val="auto"/>
        </w:rPr>
      </w:pPr>
    </w:p>
    <w:p>
      <w:pPr>
        <w:ind w:firstLine="8"/>
        <w:spacing w:after="0" w:line="282" w:lineRule="auto"/>
        <w:tabs>
          <w:tab w:leader="none" w:pos="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Each Warrant shall be issued in registered form only, shall be in substantially the form of Exhibit A hereto, the provisions of which are incorporated herein and shall be signed by, or bear the facsimile signature of, the Chairman of the Board of Directors, Chief Executive Officer or other principal officer of the Company and shall bear a facsimile of the Company’s seal.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anything herein to the contrary, any Warrant, or portion thereof, may be issued as part of, and be represented by, a Unit, and any Warrant may be issued in uncertificated or book-entry form through the Warrant Agent and/or the facilities of The Depository Trust Company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or other book-entry depositary system, in each case as determined by the Board of Directors of the Company or by an authorized committee thereof. Any Warrant so issued shall have the same terms, force and effect as a certificated Warrant that has been duly countersigned by the Warrant Agent in accordance with the terms of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Except with respect to uncertificated Warrants as described above, unless and until countersigned by the Warrant Agent pursuant to this Agreement, a Warrant shall be invalid and of no effect and may not be exercised by the holder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is then registered in the Warrant Register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The Public Subunits and Public Warrants comprising the Public Units shall not be separately transferable until the</w:t>
      </w:r>
    </w:p>
    <w:p>
      <w:pPr>
        <w:spacing w:after="0" w:line="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the prospectus or, if such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is not on a day, other than Saturday, Sunday or federal holiday, on which banks in New York City are generally open for normal business (a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then on the immediately succeeding Business Day following such date, or earlier with the consent of EarlyBirdCapital (the “Representative”), but in no event shall the Representative allow separate trading of the securities comprising the Units until (i) the Company has filed a Current Report on Form 8-K which includes an audited balance sheet reflecting the receipt by the Company of the gross proceeds of the Public Offering including the proceeds received by the Company from the exercise of the underwriters’ over-allotment option in the Public Offering, if the over-allotment option is exercised prior to the filing of the Form 8-K, and (ii) the Company has issued a press release and has filed a Current Report on Form 8-K announcing when such separate trading shall begin (the “</w:t>
      </w:r>
      <w:r>
        <w:rPr>
          <w:rFonts w:ascii="Times New Roman" w:cs="Times New Roman" w:eastAsia="Times New Roman" w:hAnsi="Times New Roman"/>
          <w:sz w:val="18"/>
          <w:szCs w:val="18"/>
          <w:u w:val="single" w:color="auto"/>
          <w:color w:val="auto"/>
        </w:rPr>
        <w:t>Detachment Date</w:t>
      </w:r>
      <w:r>
        <w:rPr>
          <w:rFonts w:ascii="Times New Roman" w:cs="Times New Roman" w:eastAsia="Times New Roman" w:hAnsi="Times New Roman"/>
          <w:sz w:val="18"/>
          <w:szCs w:val="18"/>
          <w:color w:val="auto"/>
        </w:rPr>
        <w:t>”). The shares of Common Stock and Public Warrants comprising the Public Subunits that have not been redeemed by the holders at the time of the Company’s initial Business Combination shall automatically separate upon the consummation of the Company’s initial Business Combination (the “Separation Date”).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Attributes of Private Warrants and Working Capital Warrants</w:t>
      </w:r>
      <w:r>
        <w:rPr>
          <w:rFonts w:ascii="Times New Roman" w:cs="Times New Roman" w:eastAsia="Times New Roman" w:hAnsi="Times New Roman"/>
          <w:sz w:val="18"/>
          <w:szCs w:val="18"/>
          <w:color w:val="auto"/>
        </w:rPr>
        <w:t>. The Private Warrants and Working Capital Warrants will be identical to the Public Warrants.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Post-IPO Warrants</w:t>
      </w:r>
      <w:r>
        <w:rPr>
          <w:rFonts w:ascii="Times New Roman" w:cs="Times New Roman" w:eastAsia="Times New Roman" w:hAnsi="Times New Roman"/>
          <w:sz w:val="18"/>
          <w:szCs w:val="18"/>
          <w:color w:val="auto"/>
        </w:rPr>
        <w:t>. The Post-IPO Warrants, when and if issued, shall have the same terms and be in the same form as the Public Warrants except as may be agreed upon by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Company shall not issue fractional Warrants other than as part of the Units, each of which is comprised of one Subunit and one-quarter of one whole Warrant or as part of the Subunits, each of which is comprised of one share of Common Stock and one-quarter of one whole Warrant. If, upon the detachment of Warrants from the Units, Subunits or otherwise, a holder of Warrants would be entitled to receive a fractional Warrant, the Company shall round down to the nearest whole number the number of Warrants to be issued to such 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whole Warrant shall, when countersigned by the Warrant Agent (except with respect to uncertificated Warrants), entitle the registered holder thereof, subject to the provisions of such Warrant and of this Agreement, to purchase from the Company the number of shares of Common Stock stated therein, at the price of $11.50 per share, subject to the adjustments provided in Section 4 hereof and in the last sentence of this Section 3.1. The term “Warrant Price” as used in this Agreement refers to the price per share at which the shares of Common Stock may be purchased at the time a Warrant is exercised. The Company in its sole discretion may lower the Warrant Price at any time prior to the Expiration Date (as defined below) for a period of not less than twenty (20) Business Days; provided, that the Company shall provide at least twenty (20) days’ prior written notice of such reduction to registered holders of the Warrants and, provided further that any such reduction shall be applied consistently to all of the Warrants.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30 days after the consummation by the Company of a merger, share exchange, asset acquisition, stock purchase, recapitalization, reorganization or other similar business combination with one or more businesses or entities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Combination</w:t>
      </w:r>
      <w:r>
        <w:rPr>
          <w:rFonts w:ascii="Times New Roman" w:cs="Times New Roman" w:eastAsia="Times New Roman" w:hAnsi="Times New Roman"/>
          <w:sz w:val="18"/>
          <w:szCs w:val="18"/>
          <w:color w:val="auto"/>
        </w:rPr>
        <w:t>”) (as described more fully in the Registration Statement), and terminating at 5:00 p.m., New York City time on the earlier to occur of (i) five years from the consummation of a Business Combination, (ii) the Redemption Date as provided in Section 6.2 of this Agreement and (iii) the liquidation of the Company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period of time from the date the Warrants will first become exercisable until the expiration of the Warrants shall hereafter be referred to as the “Exercise Period.” Except with respect to the right to receive the Redemption Price (as set forth in Section 6 hereunder), as applicable, each Warrant not exercised on or before the Expiration Date shall become void, and all rights thereunder and all rights in respect thereof under this Agreement shall cease at the close of business on the Expiration Date. The Company in its sole discretion may extend the duration of the Warrants by delaying the Expiration Date; provided, however, that the Company will provide at least twenty (20) days’ prior written notice of any such extension to registered holders and, provided further that any such extension shall be applied consistently to all of the Warrants.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in the Borough of Manhattan, City and State of New York, with the subscription form, as set forth in the Warrant, duly executed, and by paying in full the Warrant Price for each share of Common Stock as to which the Warrant is exercised and any and all applicable taxes due in connection with the exercise of the Warrant, as follows: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540" w:hanging="236"/>
        <w:spacing w:after="0"/>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good certified check or good bank draft payable to the order of the Warrant Agent or wire transfer;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redemption pursuant to Section 6 hereof in which the Company’s management has elected to force all holders of Warrants to exercise such Warrants on a “cashless basis,” by surrendering the Warrants for that number of shares of Common Stock equal to the quotient obtained by dividing (x) the product of the number of shares of Common Stock underlying the Warrants, multiplied by the difference between the Warrant Price and the “Fair Market Value” (defined below) by (y) the Fair Market Value. Solely for purposes of this Section 3.3.1(b), the “Fair Market Value” shall mean the average last reported sale price of the Common Stock for the five (5) trading days ending on the third trading day prior to the date on which the notice of redemption is sent to holders of the Warrants pursuant to Section 6 hereof; or</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registration statement required by Section 7.4 hereof is not effective and current within ninety (90) days after the closing of a Business Combination, by surrendering such Warrants for that number of shares of Common Stock equal to the quotient obtained by dividing</w:t>
      </w:r>
    </w:p>
    <w:p>
      <w:pPr>
        <w:jc w:val="both"/>
        <w:ind w:firstLine="8"/>
        <w:spacing w:after="0" w:line="253"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the number of shares of Common Stock underlying the Warrants, multiplied by the difference between the exercise price of the Warrants and the “Fair Market Value” by (y) the Fair Market Value; provided, however, that no cashless exercise shall be permitted unless the Fair Market Value is equal to or higher than the exercise price. Solely for purposes of this Section 3.3.1(c), the “Fair Market Value” shall mean the average reported last sale price of the Common Stock for the five (5) trading days ending on the trading day prior to the date of exercise.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Issuance of Shares of Common Stock</w:t>
      </w:r>
      <w:r>
        <w:rPr>
          <w:rFonts w:ascii="Times New Roman" w:cs="Times New Roman" w:eastAsia="Times New Roman" w:hAnsi="Times New Roman"/>
          <w:sz w:val="18"/>
          <w:szCs w:val="18"/>
          <w:color w:val="auto"/>
        </w:rPr>
        <w:t>. As soon as practicable after the exercise of any Warrant and the clearance of the funds in payment of the Warrant Price (if any), the Company shall issue to the registered holder of such Warrant a certificate or certificates, or book entry position, for the number of shares of Common Stock to which he, she or it is entitled, registered in such name or names as may be directed by him, her or it, and if such Warrant shall not have been exercised in full, a new countersigned Warrant, or book entry position, for the number of shares as to which such Warrant shall not have been exercised. Notwithstanding the foregoing, in no event will the Company be required to net cash settle the Warrant exercise. No Warrant shall be exercisable for cash and the Company shall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 in the immediately preceding sentence is not satisfied with respect to a Warrant, the holder of such Warrant shall not be entitled to exercise such Warrant for cash and such Warrant may have no value and expire worthless, in which case the purchaser of a Unit containing such Warrants shall have paid the full purchase price for the Unit solely for the shares of Common Stock underlying such Unit. Warrants may not be exercised by, or securities issued to, any registered holder in any state in which such exercise would be unlawful.</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Common Stock issued upon the proper exercise of a Warrant in conformity with this Agreement shall be validly issued, fully paid and nonassessable.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book entry position or certificate for shares of Common Stock is issued shall for all purposes be deemed to have become the holder of record of such shares on the date on which the Warrant, or book entry position representing such Warrant, was surrendered and payment of the Warrant Price was made, irrespective of the date of delivery of such certificate, except that, if the date of such surrender and payment is a date when the share transfer books of the Company or book entry system of the Warrant Agent are closed, such person shall be deemed to have become the holder of such shares at the close of business on the next succeeding date on which the share transfer books or book entry system are open.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A holder of a Warrant may notify the Company in writing in the event it elects to be subject to the provisions contained in this subsection 3.3.5; however, no holder of a Warrant shall be subject to this subsection 3.3.5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9.8%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stock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 (3) 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206"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Stock Dividends; Split Ups</w:t>
      </w:r>
      <w:r>
        <w:rPr>
          <w:rFonts w:ascii="Times New Roman" w:cs="Times New Roman" w:eastAsia="Times New Roman" w:hAnsi="Times New Roman"/>
          <w:sz w:val="18"/>
          <w:szCs w:val="18"/>
          <w:color w:val="auto"/>
        </w:rPr>
        <w:t>. If after the date hereof, and subject to the provisions of Section 4.6 below, the number of outstanding shares of Common Stock is increased by a stock dividend payable in shares of Common Stock, or by a split up of shares of Common Stock, or other similar event, then, on the effective date of such stock dividend, split up or similar event, the number of shares of Common Stock issuable on exercise of each Warrant shall be increased in proportion to such increase in outstanding shares of Common Stock.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shall be decreased in proportion to such decrease in outstanding shares of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are outstanding and unexpired, shall pay a dividend or make a distribution in cash, securities or other assets to the holders of the shares of Common Stock or other shares of the Company’s capital stock into which the Warrants are convertible (an “</w:t>
      </w:r>
      <w:r>
        <w:rPr>
          <w:rFonts w:ascii="Times New Roman" w:cs="Times New Roman" w:eastAsia="Times New Roman" w:hAnsi="Times New Roman"/>
          <w:sz w:val="18"/>
          <w:szCs w:val="18"/>
          <w:u w:val="single" w:color="auto"/>
          <w:color w:val="auto"/>
        </w:rPr>
        <w:t>Extraordinary Dividend</w:t>
      </w:r>
      <w:r>
        <w:rPr>
          <w:rFonts w:ascii="Times New Roman" w:cs="Times New Roman" w:eastAsia="Times New Roman" w:hAnsi="Times New Roman"/>
          <w:sz w:val="18"/>
          <w:szCs w:val="18"/>
          <w:color w:val="auto"/>
        </w:rPr>
        <w:t>”), then the Warrant Price shall be decreased, effective immediately after the effective date of such Extraordinary Dividend, by the amount of cash and the fair market value (as determined by the Company’s Board of Directors, in good faith) of any securities or other assets paid in respect of such Extraordinary Dividend divided by all outstanding shares of the Company at such time (whether or not any shareholders waived their right to receive such dividend); provided, however, that none of the following shall be deemed an Extraordinary Dividend for purposes of this provision: (a) any adjustment described in subsection 4.1 above, (b) any cash dividends or cash distributions which, when combined on a per share basis with all other cash dividends and cash distributions paid on the Common Stock during the 365-day period ending on the date of declaration of such dividend or distribution does not exceed $0.50 per share (taking into account all of the outstanding shares of the Company at such time (whether or not any shareholders waived their right to receive such dividend) and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but only with respect to the amount of the aggregate cash dividends or cash distributions equal to or less than $0.50, (c) any payment to satisfy the conversion rights of the holders of the Public Subunits in connection with a proposed initial Business Combination or certain amendments to the Company’s Amended and Restated Certificate of Incorporation (as described in the Registration Statement) or</w:t>
      </w:r>
    </w:p>
    <w:p>
      <w:pPr>
        <w:spacing w:after="0" w:line="12" w:lineRule="exact"/>
        <w:rPr>
          <w:sz w:val="20"/>
          <w:szCs w:val="20"/>
          <w:color w:val="auto"/>
        </w:rPr>
      </w:pPr>
    </w:p>
    <w:p>
      <w:pPr>
        <w:jc w:val="both"/>
        <w:ind w:firstLine="8"/>
        <w:spacing w:after="0" w:line="251" w:lineRule="auto"/>
        <w:tabs>
          <w:tab w:leader="none" w:pos="2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in connection with the Company’s liquidation and the distribution of its assets upon its failure to consummate a Business Combination. Solely for purposes of illustration, if the Company, at a time while the Warrants are outstanding and unexpired, pays a cash dividend of $0.35 and previously paid an aggregate of $0.40 of cash dividends and cash distributions on the Common Stock during the 365-day period ending on the date of declaration of such $0.35 dividend, then the Warrant Price will be decreased, effectively immediately after the effective date of such $0.35 dividend, by $0.25 (the absolute value of the difference between $0.75 (the aggregate amount of all cash dividends and cash distributions paid or made in such 365-day period, including such $0.35 dividend) and $0.50 (the greater of (x) $0.50 and (y) the aggregate amount of all cash dividends and cash distributions paid or made in such 365-day period prior to such $0.35 dividend)). Furthermore, solely for the purposes of illustration, if following the closing of the Company’s initial Business Combination, there were total shares outstanding of 100,000,000 and the Company paid a $1.00 dividend to 17,500,000 of such shares (with the remaining 82,500,000 shares waiving their right to receive such dividend), then no adjustment to the Warrant Price would occur as a $17.5 million dividend payment divided by 100,000,000 shares equals $0.175 per share which is less than $0.50 per share.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(x) the numerator of which shall be the number of shares of Common Stock purchasable upon the exercise of the Warrants immediately prior to such adjustment, and (y) the denominator of which shall be the number of shares of Common Stock so purchasable immediately thereafter.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In case of any reclassification or reorganization of the outstanding shares of Common Stock (other than a change covered by Section 4.1, 4.2 or 4.3 hereof or that solely affects the par value of the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Common Stock), or in the case of any sale or conveyance to another corporation or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If any reclassification also results in a change in the Common Stock covered by Section 4.1, 4.2 or 4.3, then such adjustment shall be made pursuant to Sections 4.1, 4.2, 4.3, 4.4 and this Section 4.5. The provisions of this Section 4.5 shall similarly apply to successive reclassifications, reorganizations, mergers or consolidations, sales or other transfers. In no event will the Warrant Price be reduced to less than the par value per share issuable upon exercise of the Warrant.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Issuance in connection with a Business Combination</w:t>
      </w:r>
      <w:r>
        <w:rPr>
          <w:rFonts w:ascii="Times New Roman" w:cs="Times New Roman" w:eastAsia="Times New Roman" w:hAnsi="Times New Roman"/>
          <w:sz w:val="18"/>
          <w:szCs w:val="18"/>
          <w:color w:val="auto"/>
        </w:rPr>
        <w:t>. If, in connection with a Business Combination, the Company (a) issues additional shares of Common Stock or equity-linked securities at an issue price or effective issue price of less than $9.20 per share (with such issue price or effective issue price as determined by the Company’s Board of Directors, in good faith, and in the case of any such issuance to the Sponsor, the initial stockholders, or their affiliates, without taking into account any founders’ shares held by them prior to such issuance), (b) the aggregate gross proceeds from such issuances represent more than 60% of the total equity proceeds, and interest thereon, available for the funding of the Business Combination on the date of the consummation of such Business Combination (net of redemptions), and (c) the Fair Market Value (as defined below) is below $9.20 per share, the exercise price of the warrants will be adjusted (to the nearest cent) to be equal to 115% of the greater of (i) the Fair Market Value or (ii) the price at which the Company issues the Common Stock or equity-linked securities. Solely for purposes of this Section 4.6,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the volume weighted average reported trading price of the Common Stock for the twenty (20) trading days starting on the trading day prior to the date of the consummation of the Business Combination.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Sections 4.1, 4.2, 4.3, 4.4, 4.5, or 4.6, then, in any such event, the Company shall give written notice to each Warrant holder, at the last address set forth for such holder in the Warrant Register, of the record date or the effective date of the event. Failure to give such notice, or any defect therein, shall not affect the legality or validity of such event.</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Notwithstanding any provision contained in this Agreement to the contrary, the Company shall not issue fractional shares of Common Stock upon an exercise of Warrants. If, by reason of any adjustment made pursuant to this Section 4, the holder of any Warrant would be entitled, upon the exercise of such Warrant, to receive a fractional interest in a share, the Company shall, upon such exercise, round down to the nearest whole number of the number of shares of Common Stock to be issued to such holder.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In case any event shall occur affecting the Company as to which none of the provisions of preceding subsections of this Section 4 are strictly applicable, but which would require an adjustment to the terms of the Warrants in order to (i) avoid an adverse impact on the Warrants and (ii) effectuate the intent and purpose of this Section 4,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this Section 4 and, if they determine that an adjustment is necessary, the terms of such adjustment. The Company shall adjust the terms of the Warrants in a manner that is consistent with any adjustment recommended in such opinion.</w:t>
      </w:r>
    </w:p>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upon the Warrant Register, upon surrender of such Warrant for transfer, properly endorsed with signatures, in the case of certificated Warrants,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Warrants so cancelled shall be delivered by the Warrant Agent to the Company from time to time upon request.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either in certificated form or in book entry position, together with a written request for exchange or transfer, and thereupon the Warrant Agent shall issue in exchange therefor one or more new Warrants, or book entry positions, as requested by the registered holder of the Warrants so surrendered, representing an equal aggregate number of Warrants; provided, however, that in the event that a Warrant surrendered for transfer bears a restrictive legend,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Private Warrants and Working Capital Warrants</w:t>
      </w:r>
      <w:r>
        <w:rPr>
          <w:rFonts w:ascii="Times New Roman" w:cs="Times New Roman" w:eastAsia="Times New Roman" w:hAnsi="Times New Roman"/>
          <w:sz w:val="18"/>
          <w:szCs w:val="18"/>
          <w:color w:val="auto"/>
        </w:rPr>
        <w:t>. The Warrant Agent shall not register any transfer of Private Warrants and Working Capital Warrants until after the consummation by the Company of an initial Business Combination, except for transfers (i) among the initial stockholders or to the initial stockholders’ or the Company’s officers, directors, consultants or their affiliates, (ii) to a holder’s stockholders or members upon the holder’s liquidation, in each case if the holder is an entity, (iii) by bona fide gift to a member of the holder’s immediate family or to a trust, the beneficiary of which is the holder or a member of the holder’s immediate family, in each case for estate planning purposes, (iv) by virtue of the laws of descent and distribution upon death, (v) pursuant to a qualified domestic relations order, (vi) to the Company for no value for cancellation in connection with the consummation of a Business Combination, (vii) in connection with the consummation of a Business Combination by private sales at prices no greater than the price at which the Warrants were originally purchased, (viii) in the event of the Company’s liquidation prior to its consummation of an initial Business Combination or</w:t>
      </w:r>
    </w:p>
    <w:p>
      <w:pPr>
        <w:spacing w:after="0" w:line="1" w:lineRule="exact"/>
        <w:rPr>
          <w:sz w:val="20"/>
          <w:szCs w:val="20"/>
          <w:color w:val="auto"/>
        </w:rPr>
      </w:pPr>
    </w:p>
    <w:p>
      <w:pPr>
        <w:jc w:val="both"/>
        <w:ind w:firstLine="8"/>
        <w:spacing w:after="0" w:line="253" w:lineRule="auto"/>
        <w:tabs>
          <w:tab w:leader="none" w:pos="3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subsequent to the consummation of an initial Business Combination, the Company completes a liquidation, merger, share exchange or other similar transaction which results in all of the Company’s stockholders having the right to exchange their Common Stock for cash, securities or other property, in each case (except for clauses (vi), (viii) or (ix) or with the Company’s prior written consent) on the condition that prior to such registration for transfer, the Warrant Agent shall be presented with written documentation pursuant to which each transferee or the trustee or legal guardian for such transferee agrees to be bound by the transfer restrictions contained in this section and any other applicable agreement the transferor is bound by.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Transfers prior to Detachment</w:t>
      </w:r>
      <w:r>
        <w:rPr>
          <w:rFonts w:ascii="Times New Roman" w:cs="Times New Roman" w:eastAsia="Times New Roman" w:hAnsi="Times New Roman"/>
          <w:sz w:val="18"/>
          <w:szCs w:val="18"/>
          <w:color w:val="auto"/>
        </w:rPr>
        <w:t>. Prior to the Detachment Date or the Separation Date, as the case may be, the Public Warrants may be transferred or exchanged only together with the Unit or Subunit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Section 5.7 shall have no effect on any transfer of Warrants on or after the Detachment Date or the Separation Date, as the case may be.</w:t>
      </w:r>
    </w:p>
    <w:p>
      <w:pPr>
        <w:spacing w:after="0" w:line="183"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Not less than all of the outstanding Warrants may be redeemed, at the option of the Company, at any time during the Exercise Period, at the office of the Warrant Agent, upon the notice referred to in Section 6.2, at the price of $0.01 per Warrant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Common Stock equals or exceeds $18.00 per share (subject to adjustment in accordance with Section 4 hereof), on each of twenty</w:t>
      </w:r>
    </w:p>
    <w:p>
      <w:pPr>
        <w:spacing w:after="0" w:line="1" w:lineRule="exact"/>
        <w:rPr>
          <w:sz w:val="20"/>
          <w:szCs w:val="20"/>
          <w:color w:val="auto"/>
        </w:rPr>
      </w:pPr>
    </w:p>
    <w:p>
      <w:pPr>
        <w:jc w:val="both"/>
        <w:ind w:firstLine="8"/>
        <w:spacing w:after="0" w:line="252" w:lineRule="auto"/>
        <w:tabs>
          <w:tab w:leader="none" w:pos="3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within any thirty (30) trading day period commencing after the Warrants become exercisable and ending on the third trading day prior to the date on which notice of redemption is given and provided that there is an effective registration statement covering the shares of Common Stock issuable upon exercise of the Warrants, and a current prospectus relating thereto, available throughout the 30-day redemption or the Company has elected to require the exercise of the Warrants on a “cashless basis” pursuant to subsection 3.3.1(b); provided, however, that if and when the Warrants become redeemable by the Company, the Company may not exercise such redemption right if the issuance of shares of Common Stock upon exercise of the Warrants is not exempt from registration or qualification under applicable state blue sky laws or the Company is unable to effect such registration or qualification.</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that are subject to redemption,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thirty (30) days prior to the Redemption Date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for cash (or on a “cashless basis” in accordance with Section 3 of this Agreement) at any time after notice of redemption shall have been given by the Company pursuant to Section 6.2 hereof and prior to the Redemption Date. In the event the Company determines to require all holders of Warrants to exercise their Warrants on a “cashless basis” pursuant to Section 3.3.1(b), the notice of redemption will contain the information necessary to calculate the number of shares of Common Stock to be received upon exercise of the Warrants, including the “Fair Market Value” in such case. On and after the Redemption Date, the record holder of the Warrants shall have no further rights except to receive, upon surrender of the Warrants, the Redemption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reserve and keep available a number of its authorized but unissued shares of Common Stock that will be sufficient to permit the exercise in full of all outstanding Warrants issued pursuant to this Agreement.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The Company agrees that as soon as practicable after the closing of its initial Business Combination, it shall use its best efforts to file with the Securities and Exchange Commission a registration statement for the registration, under the Act, of the shares of Common Stock issuable upon exercise of the Warrants, and it shall use its best efforts to take such action as is necessary to register or qualify for sale, in those states in which the Warrants were initially offered by the Company and in those states where holders of Warrants then reside, the shares of Common Stock issuable upon exercise of the Warrants, to the extent an exemption is not available. The Company will use its best efforts to cause the same to become effective and to maintain the effectiveness of such registration statement until the expiration of the Warrants in accordance with the provisions of this Agreement. If any such registration statement has not been declared effective by the 90th day following the closing of the Business Combination, holders of the Warrants shall have the right, during the period beginning on the 91st day after the closing of the Business Combination and ending upon such registration statement being declared effective by the Securities and Exchange Commission, and during any other period when the Company shall fail to have maintained an effective registration statement covering the shares of Common Stock issuable upon exercise of the Warrants, to exercise such Warrants on a “cashless basis” as determined in accordance with Section 3.3.1(c). The Company shall provide the Warrant Agent with an opinion of counsel for the Company (which shall be an outside law firm with securities law experience) stating that (i) the exercise of the Warrants on a cashless basis in accordance with this Section 7.4 is not required to be registered under the Act and (ii) the shares of Common Stock issued upon such exercise will be freely tradable under U.S. federal securities laws by anyone who is not an affiliate (as such term is defined in Rule 144 under the Act) of the Company and, accordingly, will not be required to bear a restrictive legend. For the avoidance of any doubt, unless and until all of the Warrants have been exercised on a cashless basis, the Company shall continue to be obligated to comply with its registration obligations under the first three sentences of this Section 7.4. The provisions of this Section 7.4 may not be modified, amended, or deleted without the prior written consent of EarlyBirdCapital.</w:t>
      </w:r>
    </w:p>
    <w:p>
      <w:pPr>
        <w:spacing w:after="0" w:line="193"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holder of the Warrant (who shall, with such notice, submit his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such Warrant Agent hereunder and will reimburse the Warrant Agent upon demand for all expenditures that the Warrant Agent may reasonably incur in the execution of its duties 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Chairman of the Board of Directors of the Company and delivered to the Warrant Agent. The Warrant Agent may rely upon such statement for any action taken or suffered in good faith by it pursuant to the provisions of this Agreement.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fraud,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fraud, gross negligence, willful misconduct, or bad faith.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Agreement or any Warrant or as to whether any shares of Common Stock will, when issued, be valid and fully paid and nonassessable.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shares of Common Stock through the exercise of Warrants.</w:t>
      </w:r>
    </w:p>
    <w:p>
      <w:pPr>
        <w:spacing w:after="0" w:line="18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Warrant Agent shall bind and inure to the benefit of their respective successors and assigns.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(5) days after deposit of such notice, postage prepaid, addressed (until another address is filed in writing by the Company with the Warrant Agent),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2093 Philadelphia Pike #1968, Claymont, DE 19703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Long Long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State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Compliance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Graubard Miller</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Chrysler Building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405 Lexington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10174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David Alan Miller, Esq.</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EarlyBirdCapital, Inc.</w:t>
      </w:r>
    </w:p>
    <w:p>
      <w:pPr>
        <w:ind w:left="1300"/>
        <w:spacing w:after="0" w:line="205" w:lineRule="auto"/>
        <w:rPr>
          <w:sz w:val="20"/>
          <w:szCs w:val="20"/>
          <w:color w:val="auto"/>
        </w:rPr>
      </w:pPr>
      <w:r>
        <w:rPr>
          <w:rFonts w:ascii="Times New Roman" w:cs="Times New Roman" w:eastAsia="Times New Roman" w:hAnsi="Times New Roman"/>
          <w:sz w:val="18"/>
          <w:szCs w:val="18"/>
          <w:color w:val="auto"/>
        </w:rPr>
        <w:t>366 Madison Avenue,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Steven Levine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 Exclusive Forum</w:t>
      </w:r>
      <w:r>
        <w:rPr>
          <w:rFonts w:ascii="Times New Roman" w:cs="Times New Roman" w:eastAsia="Times New Roman" w:hAnsi="Times New Roman"/>
          <w:sz w:val="18"/>
          <w:szCs w:val="18"/>
          <w:color w:val="auto"/>
        </w:rPr>
        <w:t>.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9.2 hereof. Such mailing shall be deemed personal service and shall be legal and binding upon the Company in any action, proceeding or claim.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Section 9.3. If any action, the subject matter of which is within the scope the forum provisions above, is filed in a court other than a court located within the State of New York or the United States District Court for the Southern District of New York (a “Foreign Action”)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Enforcement Action by service upon such warrant holder’s counsel in the Foreign Action as agent for such warrant holder.</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Warrants and, for the purposes of Sections 7.4, 9.4 and 9.8 hereof, EarlyBirdCapital, any right, remedy, or claim under or by reason of this Warrant Agreement or of any covenant, condition, stipulation, promise, or agreement hereof. EarlyBirdCapital shall be deemed to be a third-party beneficiary of this Agreement with respect to Sections 7.4, 9.4 and 9.8 hereof. All covenants, conditions, stipulations, promises, and agreements contained in this Warrant Agreement shall be for the sole and exclusive benefit of the parties hereto (and EarlyBirdCapital with respect to the Sections 7.4, 9.4 and 9.8 hereof) and their successors and assigns and of the registered holders of the Warrants.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Agreement shall be available at all reasonable times at the office of the Warrant Agent in the Borough of Manhattan, City and State of New York, for inspection by the registered holder of any Warrant. The Warrant Agent may require any such holder to submit his Warrant for inspection by it.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including any amendment to increase the Warrant Price or shorten the Exercise Period, shall require the written consent or vote of the registered holders of (i) a majority of the then outstanding Public Warrants if such modification or amendment is being undertaken prior to, or in connection with, the consummation of a Business Combination, (ii) a majority of the then outstanding Warrants if such modification or amendment is being undertaken after the consummation of a Business Combination, or (iii) solely with respect to any amendment to the terms of the Private Warrants, Working Capital Warrants or Post-IPO Warrants or any provision of this Agreement with respect to the Private Warrants, Working Capital Warrants, or Post-IPO Warrants, a majority of the number of the then outstanding Private Warrants, Working Capital Warrants, or Post-IPO Warrants, as applicable. Notwithstanding the foregoing, the Company may lower the Warrant Price or extend the duration of the Exercise Period pursuant to Sections 3.1 and 3.2, respectively, without the consent of the registered holders. The provisions of this Section 9.8 may not be modified, amended or deleted without the prior written consent of EarlyBirdCapital.</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Warrant Agent acknowledges and agrees that it shall not make any claims or proceed against the trust account established by the Company in connection with the Public Offering (as more fully described in the Registration Statement) (“</w:t>
      </w:r>
      <w:r>
        <w:rPr>
          <w:rFonts w:ascii="Times New Roman" w:cs="Times New Roman" w:eastAsia="Times New Roman" w:hAnsi="Times New Roman"/>
          <w:sz w:val="18"/>
          <w:szCs w:val="18"/>
          <w:u w:val="single" w:color="auto"/>
          <w:color w:val="auto"/>
        </w:rPr>
        <w:t>Trust Account</w:t>
      </w:r>
      <w:r>
        <w:rPr>
          <w:rFonts w:ascii="Times New Roman" w:cs="Times New Roman" w:eastAsia="Times New Roman" w:hAnsi="Times New Roman"/>
          <w:sz w:val="18"/>
          <w:szCs w:val="18"/>
          <w:color w:val="auto"/>
        </w:rPr>
        <w:t>”), including by way of set-off, and shall not be entitled to any funds in the Trust Account under any circumstance. In the event that the Warrant Agent has a claim against the Company under this Agreement, the Warrant Agent will pursue such claim solely against the Company and not against the property held in the Trust Account.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7"/>
          <w:szCs w:val="17"/>
          <w:color w:val="auto"/>
        </w:rPr>
        <w:t>IN WITNESS WHEREOF, this Agreement has been duly executed by the parties hereto as of the day and year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ARCHIMEDES TECH SPAC PARTNERS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8890</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Stephen N. Cannon</w:t>
      </w:r>
    </w:p>
    <w:p>
      <w:pPr>
        <w:spacing w:after="0" w:line="23"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[Signature Page to Warrant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NOTICE OF RESTRICTED STOCK UNIT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Participant has been granted Restricted Stock Units covering shares of Class A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the terms and conditions of the SoundHound AI, Inc. 2022 Incentive Award Plan (the “Plan”) and this Award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17145</wp:posOffset>
            </wp:positionV>
            <wp:extent cx="28460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Number of 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-127635</wp:posOffset>
            </wp:positionV>
            <wp:extent cx="28460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26035</wp:posOffset>
            </wp:positionV>
            <wp:extent cx="28460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-127635</wp:posOffset>
            </wp:positionV>
            <wp:extent cx="28460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xml:space="preserve">: The RSUs covered by this Award shall become vested </w:t>
      </w:r>
      <w:r>
        <w:rPr>
          <w:rFonts w:ascii="Times New Roman" w:cs="Times New Roman" w:eastAsia="Times New Roman" w:hAnsi="Times New Roman"/>
          <w:sz w:val="18"/>
          <w:szCs w:val="18"/>
          <w:b w:val="1"/>
          <w:bCs w:val="1"/>
          <w:color w:val="auto"/>
        </w:rPr>
        <w:t>[over a four-year period]</w:t>
      </w:r>
      <w:r>
        <w:rPr>
          <w:rFonts w:ascii="Times New Roman" w:cs="Times New Roman" w:eastAsia="Times New Roman" w:hAnsi="Times New Roman"/>
          <w:sz w:val="18"/>
          <w:szCs w:val="18"/>
          <w:color w:val="auto"/>
        </w:rPr>
        <w:t>, according to the following vesting schedule:</w:t>
      </w:r>
    </w:p>
    <w:p>
      <w:pPr>
        <w:spacing w:after="0" w:line="256" w:lineRule="exact"/>
        <w:rPr>
          <w:sz w:val="20"/>
          <w:szCs w:val="20"/>
          <w:color w:val="auto"/>
        </w:rPr>
      </w:pPr>
    </w:p>
    <w:p>
      <w:pPr>
        <w:ind w:left="1300" w:hanging="320"/>
        <w:spacing w:after="0"/>
        <w:tabs>
          <w:tab w:leader="none" w:pos="130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[One-quarter (1/4) of the RSUs shall vest on the one (1) year anniversary of the Vesting Commencement Date, and</w:t>
      </w:r>
    </w:p>
    <w:p>
      <w:pPr>
        <w:spacing w:after="0" w:line="23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Thereafter, one-forty-eighth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of the RSUs shall vest on each monthly anniversary of the Vesting Commencement Date;</w:t>
      </w:r>
    </w:p>
    <w:p>
      <w:pPr>
        <w:spacing w:after="0" w:line="77" w:lineRule="exact"/>
        <w:rPr>
          <w:rFonts w:ascii="Times New Roman" w:cs="Times New Roman" w:eastAsia="Times New Roman" w:hAnsi="Times New Roman"/>
          <w:sz w:val="36"/>
          <w:szCs w:val="36"/>
          <w:color w:val="auto"/>
          <w:vertAlign w:val="superscript"/>
        </w:rPr>
      </w:pPr>
    </w:p>
    <w:p>
      <w:pPr>
        <w:ind w:left="1300"/>
        <w:spacing w:after="0" w:line="279"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provided, in each case, each vesting is subject to the Participant continuing to be an employee, non-employee director, or consultant to the Company or its subsidiaries (a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from the Date of Grant through each such date.]</w:t>
      </w:r>
    </w:p>
    <w:p>
      <w:pPr>
        <w:spacing w:after="0" w:line="160" w:lineRule="exact"/>
        <w:rPr>
          <w:rFonts w:ascii="Times New Roman" w:cs="Times New Roman" w:eastAsia="Times New Roman" w:hAnsi="Times New Roman"/>
          <w:sz w:val="36"/>
          <w:szCs w:val="36"/>
          <w:color w:val="auto"/>
          <w:vertAlign w:val="superscript"/>
        </w:rPr>
      </w:pPr>
    </w:p>
    <w:p>
      <w:pPr>
        <w:ind w:left="240" w:hanging="232"/>
        <w:spacing w:after="0"/>
        <w:tabs>
          <w:tab w:leader="none" w:pos="2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3"/>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Participant named in the Notice of Restricted Stock Unit Grant in Part I of this Agreement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the Restricted Stock Units set forth in the Notice of Restricted Stock Unit Grant. Each Restricted Stock Unit represents the right to receive one Share, subject to the terms and conditions set forth in this Award Agreement and the Plan. Any capitalized terms not defined herein shall have the meaning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ind w:firstLine="1304"/>
        <w:spacing w:after="0" w:line="282" w:lineRule="auto"/>
        <w:tabs>
          <w:tab w:leader="none" w:pos="156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shall be credited to a separate account maintained for the Participant on the books and records of the Company (the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All amounts credited to the Account shall continue for all purposes to be part of the general assets of the Company.</w:t>
      </w:r>
    </w:p>
    <w:p>
      <w:pPr>
        <w:spacing w:after="0" w:line="157"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Once vested, Restricted Stock Units become “</w:t>
      </w:r>
      <w:r>
        <w:rPr>
          <w:rFonts w:ascii="Times New Roman" w:cs="Times New Roman" w:eastAsia="Times New Roman" w:hAnsi="Times New Roman"/>
          <w:sz w:val="18"/>
          <w:szCs w:val="18"/>
          <w:b w:val="1"/>
          <w:bCs w:val="1"/>
          <w:color w:val="auto"/>
        </w:rPr>
        <w:t>Vested Units</w:t>
      </w:r>
      <w:r>
        <w:rPr>
          <w:rFonts w:ascii="Times New Roman" w:cs="Times New Roman" w:eastAsia="Times New Roman" w:hAnsi="Times New Roman"/>
          <w:sz w:val="18"/>
          <w:szCs w:val="18"/>
          <w:color w:val="auto"/>
        </w:rPr>
        <w:t>” and shall be settled as provided in Section 3 below. When a Participant ceases to be a Service Provider, at any time before the Restricted Stock Units have vested, the Participant’s unvested Restricted Stock Units shall be automatically forfeited upon such cessation, and the Company shall not have any further obligations to the Participant with respect to such Restricted Stock Units that have been so forfeited under this Award Agreement.</w:t>
      </w:r>
    </w:p>
    <w:p>
      <w:pPr>
        <w:spacing w:after="0" w:line="180"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Vested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following the vesting date (and in any event no later than March 15 of the calendar year following the calendar year in which such vesting occurs if settlement of the Restricted Stock Units cannot be settled within said five (5) business day period for reasons outside the reasonable control of the Company), the Company shall, (i) issue and deliver to the Participant the number of Shares equal to the number of Vested Units; and (ii) enter the Participant’s name on the books of the Company as the shareholder of record with respect to the Shares delivered to the Participant.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will be issued upon settlement. In lieu of issuing a fractional Share, the Company shall be entitled to pay to the Participant a cash amount equal to the Fair Market Value of such fractional Share.</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Shareholder; Dividend Equivalents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not have any rights of a shareholder with respect to the Shares underlying the Restricted Stock Units unless and until the Restricted Stock Units vest and are settled by the issuance of such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and following the settlement of the Restricted Stock Units, the Participant shall be the record owner of the Shares underlying the Restricted Stock Units unless and until such shares are sold or otherwise disposed of, and as record owner shall be entitled to all rights of a shareholder of the Company (including voting rights).</w:t>
      </w:r>
    </w:p>
    <w:p>
      <w:pPr>
        <w:spacing w:after="0" w:line="171" w:lineRule="exact"/>
        <w:rPr>
          <w:rFonts w:ascii="Times New Roman" w:cs="Times New Roman" w:eastAsia="Times New Roman" w:hAnsi="Times New Roman"/>
          <w:sz w:val="18"/>
          <w:szCs w:val="18"/>
          <w:color w:val="auto"/>
        </w:rPr>
      </w:pPr>
    </w:p>
    <w:p>
      <w:pPr>
        <w:ind w:firstLine="1304"/>
        <w:spacing w:after="0" w:line="286" w:lineRule="auto"/>
        <w:tabs>
          <w:tab w:leader="none" w:pos="1563"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Participant shall not be entitled to any dividend equivalents with respect to the Restricted Stock Units to reflect any dividends payable on Shares.]</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4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Until such time as the Restricted Stock Units are settled in accordance with Section 3 above,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No Shares shall be issued pursuant to the settlement of Vested Units unless such issuance and such exercise comply with Applicable Laws. The Shares shall be unregistered unless the Company voluntarily files a registration statement covering such shares with the Securities and Exchange Commission.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56"/>
        <w:spacing w:after="0" w:line="266" w:lineRule="auto"/>
        <w:tabs>
          <w:tab w:leader="none" w:pos="8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Representations</w:t>
      </w:r>
      <w:r>
        <w:rPr>
          <w:rFonts w:ascii="Times New Roman" w:cs="Times New Roman" w:eastAsia="Times New Roman" w:hAnsi="Times New Roman"/>
          <w:sz w:val="18"/>
          <w:szCs w:val="18"/>
          <w:color w:val="auto"/>
        </w:rPr>
        <w:t>. In the event the Shares have not been registered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at the time any Vested Units are settled, Participant shall, if required by the Company, concurrently with the settlement, deliver to the Company an investment representation statement.</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Restricted Stock Units and any Shares issued on settlement of the Vested Units. Participant acknowledges and agrees that the Company may refuse to deliver the Shares if such withholding amounts are not delivered.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This Restricted Stock Unit Award is intended to be exempt from Section 409A of the Code, and it shall be administered and interpreted in a manner that is consistent with such intent.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the State of Delaware.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The execution of this Agreement may be by actual or facsimile signature.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represents that Participant is familiar with the terms and provisions thereof, and hereby accepts this Restricted Stock Unit Award subject to all of the terms and provisions thereof. Participant has reviewed the Plan and this Award in its entirety, has had an opportunity to obtain the advice of counsel prior to executing this Agreement, and fully understands all provisions of the Award. Participant hereby agrees to accept as binding, conclusive, and final all decisions or interpretations of the Administrator upon any questions arising under the Plan, this Award, or this Agreement. Participant further agrees to notify the Company upon any change in the residence address indicated below.</w:t>
      </w:r>
    </w:p>
    <w:p>
      <w:pPr>
        <w:spacing w:after="0" w:line="17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PARTICIPANT</w:t>
      </w:r>
      <w:r>
        <w:rPr>
          <w:sz w:val="20"/>
          <w:szCs w:val="20"/>
          <w:color w:val="auto"/>
        </w:rPr>
        <w:tab/>
      </w:r>
      <w:r>
        <w:rPr>
          <w:rFonts w:ascii="Times New Roman" w:cs="Times New Roman" w:eastAsia="Times New Roman" w:hAnsi="Times New Roman"/>
          <w:sz w:val="18"/>
          <w:szCs w:val="18"/>
          <w:b w:val="1"/>
          <w:bCs w:val="1"/>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5432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285432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28543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28543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28460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161925</wp:posOffset>
            </wp:positionV>
            <wp:extent cx="28460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Title</w:t>
      </w:r>
    </w:p>
    <w:p>
      <w:pPr>
        <w:spacing w:after="0" w:line="200" w:lineRule="exact"/>
        <w:rPr>
          <w:sz w:val="20"/>
          <w:szCs w:val="20"/>
          <w:color w:val="auto"/>
        </w:rPr>
      </w:pPr>
    </w:p>
    <w:p>
      <w:pPr>
        <w:sectPr>
          <w:pgSz w:w="11900" w:h="16838" w:orient="portrait"/>
          <w:cols w:equalWidth="0" w:num="2">
            <w:col w:w="6040" w:space="720"/>
            <w:col w:w="448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Participant has been granted an Option to purchase shares of Class A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the terms and conditions of the SoundHound AI, Inc. 2022 Incentive Award Plan (the “Plan”) and this Award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240" w:type="dxa"/>
            <w:vAlign w:val="bottom"/>
            <w:tcBorders>
              <w:bottom w:val="single" w:sz="8" w:color="auto"/>
            </w:tcBorders>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4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45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4"/>
                <w:szCs w:val="24"/>
                <w:color w:val="auto"/>
              </w:rPr>
            </w:pPr>
          </w:p>
        </w:tc>
      </w:tr>
      <w:tr>
        <w:trPr>
          <w:trHeight w:val="42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Shares Granted:</w:t>
            </w: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45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4"/>
                <w:szCs w:val="24"/>
                <w:color w:val="auto"/>
              </w:rPr>
            </w:pPr>
          </w:p>
        </w:tc>
      </w:tr>
      <w:tr>
        <w:trPr>
          <w:trHeight w:val="43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2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Incentive Stock Option</w:t>
            </w:r>
          </w:p>
        </w:tc>
      </w:tr>
      <w:tr>
        <w:trPr>
          <w:trHeight w:val="432"/>
        </w:trPr>
        <w:tc>
          <w:tcPr>
            <w:tcW w:w="3280" w:type="dxa"/>
            <w:vAlign w:val="bottom"/>
          </w:tcPr>
          <w:p>
            <w:pPr>
              <w:spacing w:after="0"/>
              <w:rPr>
                <w:sz w:val="24"/>
                <w:szCs w:val="24"/>
                <w:color w:val="auto"/>
              </w:rPr>
            </w:pPr>
          </w:p>
        </w:tc>
        <w:tc>
          <w:tcPr>
            <w:tcW w:w="2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Nonqualified Stock Option</w:t>
            </w:r>
          </w:p>
        </w:tc>
      </w:tr>
      <w:tr>
        <w:trPr>
          <w:trHeight w:val="41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2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xml:space="preserve">: This Option shall be exercisable, in whole or in part, </w:t>
      </w:r>
      <w:r>
        <w:rPr>
          <w:rFonts w:ascii="Times New Roman" w:cs="Times New Roman" w:eastAsia="Times New Roman" w:hAnsi="Times New Roman"/>
          <w:sz w:val="18"/>
          <w:szCs w:val="18"/>
          <w:b w:val="1"/>
          <w:bCs w:val="1"/>
          <w:color w:val="auto"/>
        </w:rPr>
        <w:t>[over a four-year period]</w:t>
      </w:r>
      <w:r>
        <w:rPr>
          <w:rFonts w:ascii="Times New Roman" w:cs="Times New Roman" w:eastAsia="Times New Roman" w:hAnsi="Times New Roman"/>
          <w:sz w:val="18"/>
          <w:szCs w:val="18"/>
          <w:color w:val="auto"/>
        </w:rPr>
        <w:t>, according to the following vesting schedule:</w:t>
      </w:r>
    </w:p>
    <w:p>
      <w:pPr>
        <w:spacing w:after="0" w:line="229"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[One-quarter (1/4) of the Shares subject to the Option shall vest on the one (1) year anniversary of the Vesting Commencement Date, and</w:t>
      </w:r>
    </w:p>
    <w:p>
      <w:pPr>
        <w:spacing w:after="0" w:line="228" w:lineRule="exact"/>
        <w:rPr>
          <w:rFonts w:ascii="Times New Roman" w:cs="Times New Roman" w:eastAsia="Times New Roman" w:hAnsi="Times New Roman"/>
          <w:sz w:val="18"/>
          <w:szCs w:val="18"/>
          <w:color w:val="auto"/>
        </w:rPr>
      </w:pPr>
    </w:p>
    <w:p>
      <w:pPr>
        <w:ind w:left="1300" w:hanging="320"/>
        <w:spacing w:after="0" w:line="188" w:lineRule="auto"/>
        <w:tabs>
          <w:tab w:leader="none" w:pos="130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Thereafter, one-forty-eighth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of the Shares subject to the Option shall vest on each monthly anniversary of the Vesting Commencement Date;</w:t>
      </w:r>
    </w:p>
    <w:p>
      <w:pPr>
        <w:spacing w:after="0" w:line="198" w:lineRule="exact"/>
        <w:rPr>
          <w:rFonts w:ascii="Times New Roman" w:cs="Times New Roman" w:eastAsia="Times New Roman" w:hAnsi="Times New Roman"/>
          <w:sz w:val="36"/>
          <w:szCs w:val="36"/>
          <w:color w:val="auto"/>
          <w:vertAlign w:val="superscript"/>
        </w:rPr>
      </w:pPr>
    </w:p>
    <w:p>
      <w:pPr>
        <w:ind w:left="1300"/>
        <w:spacing w:after="0" w:line="2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provided, in each case, each vesting is subject to the Participant continuing to be an employee, non-employee director, or consultant to the Company or its subsidiaries (a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from the Date of Grant through each such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the extent vested, 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if the Participant commits an act of Cause or violates the non-competition, non-solicitation, confidentiality or other similar restrictive covenant provisions of any employment contract, confidentiality and nondisclosure agreement or other agreement between the Participant and the Company or any of its Subsidiaries, the Option (whether vested or unvested) shall terminate immediately.</w:t>
      </w:r>
    </w:p>
    <w:p>
      <w:pPr>
        <w:spacing w:after="0" w:line="183" w:lineRule="exact"/>
        <w:rPr>
          <w:sz w:val="20"/>
          <w:szCs w:val="20"/>
          <w:color w:val="auto"/>
        </w:rPr>
      </w:pPr>
    </w:p>
    <w:p>
      <w:pPr>
        <w:ind w:left="240" w:hanging="232"/>
        <w:spacing w:after="0"/>
        <w:tabs>
          <w:tab w:leader="none" w:pos="2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rFonts w:ascii="Times New Roman" w:cs="Times New Roman" w:eastAsia="Times New Roman" w:hAnsi="Times New Roman"/>
          <w:sz w:val="18"/>
          <w:szCs w:val="18"/>
          <w:b w:val="1"/>
          <w:bCs w:val="1"/>
          <w:color w:val="auto"/>
        </w:rPr>
      </w:pPr>
    </w:p>
    <w:p>
      <w:pPr>
        <w:ind w:left="840" w:hanging="184"/>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Participant named in the Notice of Stock Option Grant in Part I of this Agreement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the number of Shares set forth in the Notice of Stock Option Grant, at the exercise price per Share set forth in the Notice of Stock Option Grant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and subject to the terms and conditions of the Plan, which is incorporated herein by reference. In the event of a conflict between the terms and conditions of the Plan and this Agreement, the terms and conditions of the Plan shall prevail. Unless otherwise defined herein, the terms defined in the Plan shall have the same defined meanings in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designated in the Notice of Stock Option Grant as an Incentive Stock Option (“</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this Option is intended to qualify as an Incentive Stock Option as defined in Section 422 of the Code. Nevertheless, to the extent that it exceeds the $100,000 rule of Code Section 422(d), this Option shall be treated as a Nonqualified Stock Option (“</w:t>
      </w: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Further, if for any reason this Option (or portion thereof) shall not qualify as an ISO, then, to the extent of such nonqualification, such Option (or portion thereof) shall be regarded as a NSO. In no event shall the Company or any parent or subsidiary corporation or any of their respective employees or directors have any liability to the Participant (or any other person) due to the failure of the Option to qualify for any reason as an ISO.</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This Option shall be exercisable during its term as follows: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cumulatively according to the vesting schedule set forth in the Notice of Stock Option Grant, but the Option may not be exercised for a fraction of a Share.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This Option shall be exercisable by delivery of an exercise notice or in a manner and pursuant to such procedures as the Committee may determine, which shall state the election to exercise the Option (to the extent then vested), the number of Shares with respect to which the Option is being exercised (the “</w:t>
      </w:r>
      <w:r>
        <w:rPr>
          <w:rFonts w:ascii="Times New Roman" w:cs="Times New Roman" w:eastAsia="Times New Roman" w:hAnsi="Times New Roman"/>
          <w:sz w:val="18"/>
          <w:szCs w:val="18"/>
          <w:u w:val="single" w:color="auto"/>
          <w:color w:val="auto"/>
        </w:rPr>
        <w:t>Exercised Shares</w:t>
      </w:r>
      <w:r>
        <w:rPr>
          <w:rFonts w:ascii="Times New Roman" w:cs="Times New Roman" w:eastAsia="Times New Roman" w:hAnsi="Times New Roman"/>
          <w:sz w:val="18"/>
          <w:szCs w:val="18"/>
          <w:color w:val="auto"/>
        </w:rPr>
        <w:t>”),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No Shares shall be issued pursuant to the exercise of the Option unless such issuance and such exercise comply with Applicable Laws. Assuming such compliance, for income tax purposes, the Shares shall be considered transferred to Participant on the date on which the Option is exercised with respect to such Shares. The shares shall be unregistered unless the Company voluntarily files a registration statement covering such shares with the Securities and Exchange Commission.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56"/>
        <w:spacing w:after="0" w:line="266" w:lineRule="auto"/>
        <w:tabs>
          <w:tab w:leader="none" w:pos="8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Participant’s Representations</w:t>
      </w:r>
      <w:r>
        <w:rPr>
          <w:rFonts w:ascii="Times New Roman" w:cs="Times New Roman" w:eastAsia="Times New Roman" w:hAnsi="Times New Roman"/>
          <w:sz w:val="18"/>
          <w:szCs w:val="18"/>
          <w:color w:val="auto"/>
        </w:rPr>
        <w:t>. In the event the Shares have not been registered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at the time this Option is exercised, Participant shall, if required by the Company, concurrently with the exercise of all or any portion of this Option, deliver to the Company an investment representation statement.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the Participant: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wire transfer of immediately available funds or check payable to the order of the Company, provided that the Administrator may limit the use of one of the foregoing payment forms if one or more of the payment forms below is permitted;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public market for Shares at the time of exercise, unless the Administrator otherwise determines, (i) delivery (including electronically or telephonically to the extent permitted by the Administrator) of an irrevocable and unconditional undertaking by a broker acceptable to the Administrator to deliver promptly to the Company sufficient funds to pay the Exercise Price, or (B) the Participant’s delivery to the Company of a copy of irrevocable and unconditional instructions to a broker acceptable to the Administrator to deliver promptly to the Company cash or a check sufficient to pay the Exercise Price; provided that such amount is paid to the Company at such time as may be required by the Administrator;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(either by actual delivery or attestation) of Shares owned by the Participant valued at their Fair Market Value, provided such delivery meets the conditions established by the Administrator to avoid adverse accounting consequences to the Company (as determined by the Administrator);</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Shares then issuable upon the Option’s exercise valued at their Fair Market Value on the exercise date; or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payment forms approved by the Administrator.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Laws.</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Except as specifically authorized in writing by the Administrator, this Option may not be transferred in any manner other than by will or by the laws of descent or distribution and may be exercised during the lifetime of Participant only by Participant. The terms of the Plan and this Agreement shall be binding upon the executors, administrators, heirs, successors and assigns of Participant.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right="20" w:firstLine="656"/>
        <w:spacing w:after="0" w:line="282"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Stock Option Grant, and may be exercised during such term only in accordance with the Plan and the terms of this Agreement.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The Option is intended to be exempt from Section 409A of the Code, and it shall be administered and interpreted in a manner that is consistent with such intent.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Agreement is governed by the internal substantive laws but not the choice of law rules of the State of Delaware.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but all of which together shall constitute one and the same instrument. The execution of this Agreement may be by actual or facsimile signature.</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OPTION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represents that Participant is familiar with the terms and provisions thereof, and hereby accepts this Option subject to all of the terms and provisions thereof. Participant has reviewed the Plan and this Option in its entirety, has had an opportunity to obtain the advice of counsel prior to executing this Agreement, and fully understands all provisions of the Option. Participant hereby agrees to accept as binding, conclusive, and final all decisions or interpretations of the Administrator upon any questions arising under the Plan, this Option, or this Agreement. Participant further agrees to notify the Company upon any change in the residence address indicated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439"/>
        </w:trPr>
        <w:tc>
          <w:tcPr>
            <w:tcW w:w="450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1"/>
        </w:trPr>
        <w:tc>
          <w:tcPr>
            <w:tcW w:w="4500" w:type="dxa"/>
            <w:vAlign w:val="bottom"/>
            <w:tcBorders>
              <w:bottom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1"/>
        </w:trPr>
        <w:tc>
          <w:tcPr>
            <w:tcW w:w="45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234"/>
        </w:trPr>
        <w:tc>
          <w:tcPr>
            <w:tcW w:w="45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Print Title</w:t>
            </w:r>
          </w:p>
        </w:tc>
      </w:tr>
      <w:tr>
        <w:trPr>
          <w:trHeight w:val="205"/>
        </w:trPr>
        <w:tc>
          <w:tcPr>
            <w:tcW w:w="450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23"/>
        </w:trPr>
        <w:tc>
          <w:tcPr>
            <w:tcW w:w="4500" w:type="dxa"/>
            <w:vAlign w:val="bottom"/>
            <w:tcBorders>
              <w:bottom w:val="single" w:sz="8" w:color="auto"/>
            </w:tcBorders>
          </w:tcPr>
          <w:p>
            <w:pPr>
              <w:spacing w:after="0"/>
              <w:rPr>
                <w:sz w:val="19"/>
                <w:szCs w:val="19"/>
                <w:color w:val="auto"/>
              </w:rPr>
            </w:pPr>
          </w:p>
        </w:tc>
        <w:tc>
          <w:tcPr>
            <w:tcW w:w="226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664"/>
        </w:trPr>
        <w:tc>
          <w:tcPr>
            <w:tcW w:w="4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22"/>
                <w:szCs w:val="22"/>
                <w:color w:val="auto"/>
              </w:rPr>
              <w:t>5</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Kevin Mohajer</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Position: Chief Executive Officer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Effective Date: April 26,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AGREEMENT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INDEMNIFICATION AGREEMENT</w:t>
      </w:r>
      <w:r>
        <w:rPr>
          <w:rFonts w:ascii="Times New Roman" w:cs="Times New Roman" w:eastAsia="Times New Roman" w:hAnsi="Times New Roman"/>
          <w:sz w:val="18"/>
          <w:szCs w:val="18"/>
          <w:color w:val="auto"/>
        </w:rPr>
        <w:t xml:space="preserve"> (“Agreement”), effective as of the effective date set forth above, is by and between SoundHound AI, Inc., a Delaware corporation (“Company”), and the director and/or officer of the Company identified above (“Executive”). Certain defined terms used in this Agreement are set forth in Paragraph 15.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Statute, which sets forth certain provisions relating to the mandatory and permissive indemnification of directors and officers (amongst others) of a Delaware corporation by such corporation, is specifically not exclusive of other rights to which those indemnified thereunder may be entitled under any bylaw, agreement, vote of stockholders or disinterested directors or otherwise and, thus, does not by itself limit the extent to which the Company may indemnify or advance expenses to persons serving as its directors and officers (amongst others);</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WHEREAS, in order to induce and encourage highly experienced and capable individuals, such as the Executive, to serve as a director and/or officer of the Company and to otherwise promote the desirable end that such directors and officers will feel unrestrained by the threat of incurring personal liability and, therefore, take the business and entrepreneurial risks necessary to ensure the continued success and growth of the Company, secure in the knowledge that they will receive the maximum indemnification protection against such risks and liabilities as may be afforded by law, the Board has determined, after due consideration and investigation of the terms and provisions of this Agreement, in light of the circumstances and considerations set forth in these recitals and in the exercise of its good faith business judgment, that this Agreement is not only reasonable, fair and prudent, but also necessary to promote and ensure the best interests of the Company and its stockholders;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WHEREAS, in entering into this Agreement, both the Company and the Executive represent and agree, to the best of their knowledge, that at present there is no pending litigation or proceeding involving the Executive or any other director and/or officer of the Company where indemnification or advancement of Expenses under this Agreement (or other similar agreement or provision) would be required or permitted, nor does the Company or the Executive, to the best of their knowledge, know of any threatened litigation or proceeding or set of existing facts which may result in a claim for indemnification or advancement of Expenses under this Agreement (or under any other similar agreement or provision) by the Executive or any other director and/or officer; and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Company desires to have the Executive serve as a director and/or officer of the Company, free from undue concern for unpredictable, inappropriate and/or unreasonable legal risks and personal liabilities by reason of performing his or her duties to the Company and its stockholders or his or her status as such as a director and/or officer; and the Executive desires to serve as a director and/or officer of the Company; provided, and on the express condition, that he or she is furnished with the protections set forth hereinafter.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NOW, THEREFORE, in consideration of Executive’s continued service to the Company and in consideration of the premises, mutual covenants and agreements of the parties contained herein and the mutual benefits to be derived from this Agreement, and the delivery of other good and valuable consideration by the Executive, the receipt and sufficiency of which is hereby acknowledged by the Company, the parties hereto, intending to be legally bound, hereby covenant and agree as follows:</w:t>
      </w:r>
    </w:p>
    <w:p>
      <w:pPr>
        <w:spacing w:after="0" w:line="180" w:lineRule="exact"/>
        <w:rPr>
          <w:sz w:val="20"/>
          <w:szCs w:val="20"/>
          <w:color w:val="auto"/>
        </w:rPr>
      </w:pPr>
    </w:p>
    <w:p>
      <w:pPr>
        <w:ind w:left="1480" w:hanging="176"/>
        <w:spacing w:after="0"/>
        <w:tabs>
          <w:tab w:leader="none" w:pos="1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Company hereby covenants and agrees, subject to the conditions and limitations set forth hereinafter in this Paragraph 1 and elsewhere in this Agreement, to indemnify and hold the Executive harmless if he or she is or was a party, or is threatened to be made a party, to any Action by reason of his or her status as, or the fact that he or she is or was or has agreed to become, a director and/or officer of the Company, and/or is or was serving or has agreed to serve as a director and/or officer of an Affiliate, and/or as to acts performed (or not performed) in the course of the Executive’s duties to the Company and/or to an Affiliate, against Liabilities and reasonable Expenses incurred by or on behalf of the Executive in connection with any Action, including, without limitation, in connection with the investigation, defense, settlement or appeal of any Action; provided, that it is not determined by the Authority, or by a court, pursuant to Paragraph 3 that the Executive has engaged in misconduct which constitutes a Breach of Duty.</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To the extent the Executive has been successful on the merits or otherwise in connection with any Action, including, without limitation, the settlement, dismissal, abandonment or withdrawal of any such Action where the Executive does not pay, incur or assume any material Liabilities, or in connection with any claim, issue or matter therein, he or she shall be indemnified by the Company against reasonable Expenses incurred by or on behalf of him or her in connection therewith. The Company shall pay such Expenses to the Executive (net of all Expenses, if any, previously advanced to the Executive pursuant to Paragraph 2), or to such other person or entity as the Executive may designate in writing to the Company, within ten</w:t>
      </w:r>
    </w:p>
    <w:p>
      <w:pPr>
        <w:spacing w:after="0" w:line="3"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receipt of the Executive’s written request therefor, without regard to the provisions of Paragraph 3.</w:t>
      </w:r>
    </w:p>
    <w:p>
      <w:pPr>
        <w:spacing w:after="0" w:line="206"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Notwithstanding any other provision contained in this Agreement to the contrary, the Company shall not:</w:t>
      </w:r>
    </w:p>
    <w:p>
      <w:pPr>
        <w:spacing w:after="0" w:line="225" w:lineRule="exact"/>
        <w:rPr>
          <w:sz w:val="20"/>
          <w:szCs w:val="20"/>
          <w:color w:val="auto"/>
        </w:rPr>
      </w:pPr>
    </w:p>
    <w:p>
      <w:pPr>
        <w:jc w:val="both"/>
        <w:ind w:firstLine="1304"/>
        <w:spacing w:after="0" w:line="266" w:lineRule="auto"/>
        <w:tabs>
          <w:tab w:leader="none" w:pos="15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 advance Expenses to the Executive with respect to any Action initiated or brought voluntarily by the Executive (including any proceedings against the Company or its directors, officers, employees or other indemnitees and not by way of defense), except with respect to Actions:</w:t>
      </w:r>
    </w:p>
    <w:p>
      <w:pPr>
        <w:spacing w:after="0" w:line="176" w:lineRule="exact"/>
        <w:rPr>
          <w:sz w:val="20"/>
          <w:szCs w:val="20"/>
          <w:color w:val="auto"/>
        </w:rPr>
      </w:pPr>
    </w:p>
    <w:p>
      <w:pPr>
        <w:jc w:val="both"/>
        <w:ind w:left="660" w:firstLine="644"/>
        <w:spacing w:after="0" w:line="266" w:lineRule="auto"/>
        <w:tabs>
          <w:tab w:leader="none" w:pos="15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brought to establish or enforce a right to indemnification and/or an advancement of Expenses under this Agreement or under the Statute as it may then be in effect or any other applicable statute or law or otherwise as required (unless a court of competent jurisdiction determines that each of the material assertions made by the Executive in such proceeding was not made in good faith or was frivolous); or</w:t>
      </w:r>
    </w:p>
    <w:p>
      <w:pPr>
        <w:spacing w:after="0" w:line="3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1300"/>
        <w:spacing w:after="0"/>
        <w:rPr>
          <w:sz w:val="20"/>
          <w:szCs w:val="20"/>
          <w:color w:val="auto"/>
        </w:rPr>
      </w:pPr>
      <w:r>
        <w:rPr>
          <w:rFonts w:ascii="Times New Roman" w:cs="Times New Roman" w:eastAsia="Times New Roman" w:hAnsi="Times New Roman"/>
          <w:sz w:val="18"/>
          <w:szCs w:val="18"/>
          <w:color w:val="auto"/>
        </w:rPr>
        <w:t>(b) as to which the Board has consented to the initiation of such proceedings;</w:t>
      </w:r>
    </w:p>
    <w:p>
      <w:pPr>
        <w:spacing w:after="0" w:line="225" w:lineRule="exact"/>
        <w:rPr>
          <w:sz w:val="20"/>
          <w:szCs w:val="20"/>
          <w:color w:val="auto"/>
        </w:rPr>
      </w:pPr>
    </w:p>
    <w:p>
      <w:pPr>
        <w:jc w:val="both"/>
        <w:ind w:firstLine="1304"/>
        <w:spacing w:after="0" w:line="266" w:lineRule="auto"/>
        <w:tabs>
          <w:tab w:leader="none" w:pos="15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the Executive against judgments, fines or penalties incurred in a Derivative Action if the Executive is finally adjudged liable to the Company by a court (unless the court before which such Derivative Action was brought determines that the Executive is fairly and reasonably entitled to indemnity for any or all of such judgments, fines or penalties); or</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the Executive under this Agreement for any amounts paid in settlement or any Action effected without the Company’s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The Company shall not settle any Action in any manner which would impose any Liabilities or other type of limitation on the Executive without the Executive’s written consent. Neither the Company nor the Executive shall unreasonably withhold its, his or her consent to any proposed settlement.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Executive’s conduct with respect to an employee benefit plan sponsored by or otherwise associated with the Company and/or an Affiliate for a purpose he or she reasonably believed to be in the interests of the participants in, and/or beneficiaries of, such plan is conduct which does not constitute a breach or failure to perform his or her duties to the Company or an Affiliate, as the case may be.</w:t>
      </w:r>
    </w:p>
    <w:p>
      <w:pPr>
        <w:spacing w:after="0" w:line="176" w:lineRule="exact"/>
        <w:rPr>
          <w:sz w:val="20"/>
          <w:szCs w:val="20"/>
          <w:color w:val="auto"/>
        </w:rPr>
      </w:pPr>
    </w:p>
    <w:p>
      <w:pPr>
        <w:ind w:left="1480" w:hanging="176"/>
        <w:spacing w:after="0"/>
        <w:tabs>
          <w:tab w:leader="none" w:pos="1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 Payment of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Company shall pay to the Executive, or such other person or entity as the Executive may designate in writing to the Company, in advance of the final disposition or conclusion of any Action (or claim, issue or matter associated with such Action) the Executive’s reasonable Expenses incurred by or on behalf of the Executive in connection with such Action (or claim, issue or matter associated with any such Action), within ten (10) days after the receipt of Executive’s written request therefor; provided, the following conditions are satisfied:</w:t>
      </w:r>
    </w:p>
    <w:p>
      <w:pPr>
        <w:spacing w:after="0" w:line="180" w:lineRule="exact"/>
        <w:rPr>
          <w:sz w:val="20"/>
          <w:szCs w:val="20"/>
          <w:color w:val="auto"/>
        </w:rPr>
      </w:pPr>
    </w:p>
    <w:p>
      <w:pPr>
        <w:ind w:firstLine="1304"/>
        <w:spacing w:after="0" w:line="282" w:lineRule="auto"/>
        <w:tabs>
          <w:tab w:leader="none" w:pos="15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furnishes to the Company an executed, written statement affirming his or her good faith belief that he or she has not engaged in misconduct constituting a Breach of Duty;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furnishes to the Company an executed, written agreement to repay any advances made under this Paragraph 2 if it is ultimately determined that he or she is not entitled to be indemnified by the Company for such Expenses pursuant to this Agreement.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the event the Company makes an advancement of Expenses to the Executive pursuant to this Paragraph 2, the Company shall be subrogated to every right of recovery the Executive may have against any insurance carrier from whom the Company has purchased insurance for such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1480" w:hanging="176"/>
        <w:spacing w:after="0"/>
        <w:tabs>
          <w:tab w:leader="none" w:pos="1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Right to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Except as otherwise set forth in this Paragraph 3, any indemnification to be provided to the Executive by the Company under Paragraph 1A of this Agreement upon the final disposition or conclusion of any Action, or a claim, issue or matter associated with any such Action, unless otherwise ordered by a court, shall be paid by the Company to the Executive (net of all Expenses, if any, previously advanced to the Executive pursuant to Paragraph 2), or to such other person or entity as the Executive may designate in writing to the Company, within thirty (30) days after the receipt of Executive’s written request therefor. Such request shall include an accounting of all amounts for which indemnification is being sought. No further corporate authorization for such payment shall be required other than this Paragraph 3A.</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Notwithstanding the foregoing, the payment of such requested indemnifiable amounts pursuant to Paragraph 1A may be denied by the Company if the Board, by a majority vote thereof, determines that the Executive engaged in misconduct which constitutes a Breach of Duty; provided, however, to that to the extent that a majority of the Board are party in interest to such Action, then the payment of such requested indemnifiable amounts pursuant to Paragraph 1A may be denied by the Company by a majority vote of disinterested directors of the Board finding that that the Executive engaged in misconduct which constitutes a Breach of Duty. In either event of nonpayment, the Board shall immediately authorize and direct, by resolution, that an independent determination be made as to whether the Executive engaged in misconduct which constitutes a Breach of Duty and, therefore, whether indemnification of the Executive is proper pursuant to this Agreement.</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Such independent determination shall be made (i) 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the Executive; and (ii) if a Change in Control shall have occurred, (A) if the Executive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87" w:lineRule="exact"/>
        <w:rPr>
          <w:sz w:val="20"/>
          <w:szCs w:val="20"/>
          <w:color w:val="auto"/>
        </w:rPr>
      </w:pPr>
    </w:p>
    <w:p>
      <w:pPr>
        <w:jc w:val="both"/>
        <w:ind w:firstLine="1377"/>
        <w:spacing w:after="0" w:line="266" w:lineRule="auto"/>
        <w:rPr>
          <w:sz w:val="20"/>
          <w:szCs w:val="20"/>
          <w:color w:val="auto"/>
        </w:rPr>
      </w:pPr>
      <w:r>
        <w:rPr>
          <w:rFonts w:ascii="Times New Roman" w:cs="Times New Roman" w:eastAsia="Times New Roman" w:hAnsi="Times New Roman"/>
          <w:sz w:val="18"/>
          <w:szCs w:val="18"/>
          <w:color w:val="auto"/>
        </w:rPr>
        <w:t>The Company shall indemnify and hold harmless Executive against and, if requested by Executive, shall reimburse Executive for, or advance to Executive, within 20 days of such request, any and all Expenses incurred by Executive in cooperating with the person or persons making such independent determination.</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In the event a panel of arbitrators is to be employed hereunder pursuant to Paragraph 3C, one of such arbitrators shall be selected by the Board, by a majority vote of a quorum thereof consisting of directors who were not parties in interest to such Action (or, if such quorum is not obtainable, by an independent legal counsel chosen by a majority vote of the entire Board), the second by the Executive and the third by the previous two arbitrators.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In the event a panel of arbitrators or independent legal counsel is to be employed hereunder pursuant to Paragraph 3C: (i) the Authority shall make its independent determination hereunder within thirty (30) days of being selected and shall simultaneously submit a written opinion of its conclusions to both the Company and the Executive; and, (ii) in the event the Authority determines that the Executive is entitled to be indemnified for any amounts pursuant to this Agreement, the Company shall pay such amounts to the Executive (net of all Expenses, if any, previously advanced to the Executive pursuant to Paragraph 2), including interest thereon as provided in Paragraph 5C, or to such other person or entity as the Executive may designate in writing to the Company, within ten (10) days of receipt of such opinion.</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In the event a court of competent jurisdiction is to be employed hereunder pursuant to Paragraph 3C and such court determines that the Executive is entitled to be indemnified for any amounts pursuant to this Agreement, the Company shall pay such amounts to the Executive (net of all Expenses, if any, previously advanced to the Executive pursuant to Paragraph 2), including interest thereon as provided in Paragraph 5C, or to such other person or entity as the Executive may designate in writing to the Company, within ten (10) days of receipt of such final judicial determination.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Each party shall pay its own Expenses associated with the indemnification process set forth in this Paragraph 3; provided that, (i) the Company, on the hand, and the Executive, on the other hand, shall each be responsible for 50% of the fees and expenses of the Authority (to the extent a panel of arbitrators or independent legal counsel is to be employed hereunder pursuant to Paragraph 3C) and (ii) in the event a court of competent jurisdiction is to be employed hereunder pursuant to Paragraph 3C, all Expenses incurred by the Executive in connection with any subsequent appeal of any such judicial determination shall be paid by the Executive regardless of the disposition of such appeal.</w:t>
      </w:r>
    </w:p>
    <w:p>
      <w:pPr>
        <w:spacing w:after="0" w:line="183" w:lineRule="exact"/>
        <w:rPr>
          <w:sz w:val="20"/>
          <w:szCs w:val="20"/>
          <w:color w:val="auto"/>
        </w:rPr>
      </w:pPr>
    </w:p>
    <w:p>
      <w:pPr>
        <w:jc w:val="both"/>
        <w:ind w:firstLine="1304"/>
        <w:spacing w:after="0" w:line="266" w:lineRule="auto"/>
        <w:tabs>
          <w:tab w:leader="none" w:pos="14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an Action Nonconclusive</w:t>
      </w:r>
      <w:r>
        <w:rPr>
          <w:rFonts w:ascii="Times New Roman" w:cs="Times New Roman" w:eastAsia="Times New Roman" w:hAnsi="Times New Roman"/>
          <w:sz w:val="18"/>
          <w:szCs w:val="18"/>
          <w:color w:val="auto"/>
        </w:rPr>
        <w:t>. The adverse termination of any Action against the Executive by judgment, order, settlement, conviction, or upon a plea of no contest or its equivalent, shall not, of itself, create a presumption that the Executive has engaged in misconduct which constitutes a Breach of Duty.</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 Reasonableness;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In the event it is determined by the Authority, or by a court, that the Executive is entitled to indemnification as to some claims, issues or matters, but not as to other claims, issues or matters, involved in any Action, the Authority, or the court, shall authorize the reasonable proration and payment by the Company of such Liabilities and/or reasonable Expenses, with respect to which indemnification is sought by the Executive, among such claims, issues or matters as the Authority, or the court, shall deem appropriate in light of all of the circumstances of such Action.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the event it is determined by the Authority, or by a court, that certain Expenses incurred by the Executive are for whatever reason unreasonable in amount, the Authority, or the court, shall nonetheless authorize indemnification or advancement to be paid by the Company to the Executive for such Expenses as the Authority, or the court, shall deem reasonable in light of all of the circumstances of such Action.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Interest shall be paid by the Company to the Executive, to the extent deemed appropriate by the Authority, or a court, at a reasonable interest rate, for amounts for which the Company indemnifies or advances to the Executive.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left="1480" w:hanging="176"/>
        <w:spacing w:after="0"/>
        <w:tabs>
          <w:tab w:leader="none" w:pos="1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Company may purchase and maintain insurance on behalf of the Executive against any Liability and/or Expense asserted against him or her and/or incurred by or on behalf of him or her in such capacity as a director and/or officer or other employee or agent of the Company and/or of an Affiliate, or arising out of his or her status as such, whether or not the Company would have the power to indemnify him or her against such Liability or advancement of Expenses under the provisions of this Agreement or under the Statute as it may then be in effect. Except as expressly provided herein, the purchase and maintenance of such insurance shall not in any way limit or affect the rights and obligations of the Company and/or the Executive under this Agreement and the execution and delivery of this Agreement by the Company and the Executive shall not in any way be construed to limit or affect the rights and obligations of the Company and/or of the other party or parties thereto under any such policy or agreement of insurance.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In the event the Executive shall receive payment from any insurance carrier and/or from the plaintiff in any Action against the Executive in respect of indemnified or advanced amounts after payments on account of all or part of such indemnified or advanced amounts have been made by the Company pursuant to this Agreement, the Executive shall promptly reimburse the Company for the amount, if any, by which the sum of such payment by such insurance carrier and/or such plaintiff and payments by the Company to the Executive exceeds such indemnified or advanced amounts; provided, however, that such portions, if any, of such insurance proceeds that are required to be reimbursed to the insurance carrier under the terms of its insurance policy, such as co-insurance, retention or deductible amounts, shall not be deemed to be payments to the Executive hereunder.</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In addition, upon payment of indemnified or advanced amounts under this Agreement, the Company shall be subrogated to the Executive’s rights against any insurance carrier in respect of such indemnified or advanced amounts, and the Executive shall execute and deliver any and all instruments and/or documents and perform any and all other acts or deeds which the Company deems necessary or advisable to secure such rights. The Executive shall do nothing to prejudice such rights of recovery or subrogation.</w:t>
      </w:r>
    </w:p>
    <w:p>
      <w:pPr>
        <w:spacing w:after="0" w:line="180" w:lineRule="exact"/>
        <w:rPr>
          <w:sz w:val="20"/>
          <w:szCs w:val="20"/>
          <w:color w:val="auto"/>
        </w:rPr>
      </w:pPr>
    </w:p>
    <w:p>
      <w:pPr>
        <w:jc w:val="both"/>
        <w:ind w:firstLine="1304"/>
        <w:spacing w:after="0" w:line="266" w:lineRule="auto"/>
        <w:tabs>
          <w:tab w:leader="none" w:pos="14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Witness Expenses</w:t>
      </w:r>
      <w:r>
        <w:rPr>
          <w:rFonts w:ascii="Times New Roman" w:cs="Times New Roman" w:eastAsia="Times New Roman" w:hAnsi="Times New Roman"/>
          <w:sz w:val="18"/>
          <w:szCs w:val="18"/>
          <w:color w:val="auto"/>
        </w:rPr>
        <w:t>. The Company shall pay in advance or reimburse any and all reasonable Expenses incurred by the Executive in connection with his or her appearance as a witness in any Action at a time when he or she has not been formally named a defendant or respondent to such an Action, within ten (10) days after the receipt of the Executive’s written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of Agreement</w:t>
      </w:r>
      <w:r>
        <w:rPr>
          <w:rFonts w:ascii="Times New Roman" w:cs="Times New Roman" w:eastAsia="Times New Roman" w:hAnsi="Times New Roman"/>
          <w:sz w:val="18"/>
          <w:szCs w:val="18"/>
          <w:color w:val="auto"/>
        </w:rPr>
        <w:t>. The rights to indemnification and the advancement of Expenses provided to the Executive by this Agreement shall not be deemed exclusive of any other rights to which the Executive may be entitled under any charter provision, bylaw, agreement, resolution, vote of stockholders or disinterested directors of the Company or otherwise, including, without limitation, under the Statute as it may then be in effect, both as to acts in his or her official capacity as such director, officer or other employee or agent of the Company and/or of an Affiliate or as to acts in any other capacity while holding such office or position, whether or not the Company would otherwise have the power to indemnify, contribute or advance Expenses to the Executive. Further, nothing contained in this Agreement shall in any way limit or otherwise affect any rights to indemnification or advancement of expenses that the Executive may have pursuant to the terms of any agreement between the Executive and Archimedes Tech SPAC Partners Co. related to periods prior to the effective date hereof.</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1480" w:hanging="176"/>
        <w:spacing w:after="0"/>
        <w:tabs>
          <w:tab w:leader="none" w:pos="14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Company; Defense of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Executive agrees to promptly notify the Company in writing upon being served with or having actual knowledge of any citation, summons, complaint, indictment or any other similar document relating to any Action which may result in a claim of indemnification or advancement of Expenses hereunder, but the omission so to notify the Company will not relieve the Company from any liability which it may have to the Executive otherwise than under this Agreement unless the Company shall have been irreparably prejudiced by such omission.</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With respect to any such Action as to which the Executive notifies the Company of the commencement thereof, except as otherwise provided below in Paragraph 9C, the Company (or any other indemnifying party, including any insurance carrier, similarly notified by the Executive and/or the Company) shall be entitled to assume the defense thereof, with counsel selected by the Company (or such other indemnifying party) and reasonably satisfactory to the Executive, or if the Company (or any other indemnifying party) does not assume the defense thereof, the Company shall be entitled to participate therein at its own expense.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After notice from the Company (or such other indemnifying party) to the Executive of its election to assume the defense of an Action, the Company shall not be liable to the Executive under this Agreement for any Expenses subsequently incurred by the Executive in connection with the defense thereof, other than reasonable costs of investigation or as otherwise provided below. The Executive shall have the right to employ his or her counsel in such Action but the Expenses of such counsel incurred after notice from the Company (or such other indemnifying party) of its assumption of the defense thereof shall be at the expense of the Executive unless: (i) the employment of counsel by the Executive has been authorized by the Company;</w:t>
      </w:r>
    </w:p>
    <w:p>
      <w:pPr>
        <w:spacing w:after="0" w:line="3" w:lineRule="exact"/>
        <w:rPr>
          <w:sz w:val="20"/>
          <w:szCs w:val="20"/>
          <w:color w:val="auto"/>
        </w:rPr>
      </w:pPr>
    </w:p>
    <w:p>
      <w:pPr>
        <w:jc w:val="both"/>
        <w:ind w:firstLine="8"/>
        <w:spacing w:after="0" w:line="253" w:lineRule="auto"/>
        <w:tabs>
          <w:tab w:leader="none" w:pos="2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shall have reasonably concluded that there may be a conflict of interest between the Company (or such other indemnifying party) and the Executive in the conduct of the defense of such Action; (iii) after a Change in Control, Executive’s employment of its own counsel has been approved by the Independent Counsel or (iv) the Company (or such other indemnifying party) shall not in fact have employed counsel to assume the defense of such Action, in each of which cases the Expenses of counsel shall be at the expense of the Company. The Company shall not be entitled to assume the defense of any Derivative Action or any Action as to which the Executive shall have made the conclusion provided for in clause (ii) above.</w:t>
      </w:r>
    </w:p>
    <w:p>
      <w:pPr>
        <w:spacing w:after="0" w:line="18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Continuation of Rights and Obligations</w:t>
      </w:r>
      <w:r>
        <w:rPr>
          <w:rFonts w:ascii="Times New Roman" w:cs="Times New Roman" w:eastAsia="Times New Roman" w:hAnsi="Times New Roman"/>
          <w:sz w:val="18"/>
          <w:szCs w:val="18"/>
          <w:color w:val="auto"/>
        </w:rPr>
        <w:t>. Subject to Paragraph 14, the terms and provisions of this Agreement shall continue as to the Executive subsequent to the Termination Date, and such terms and provisions shall inure to the benefit of the heirs, executors, estate and administrators of the Executive and the successors and assigns of the Company, including, without limitation, any successor to the Company by way of merger, consolidation and/or sale or disposition of all or substantially all of the assets or capital stock of the Company. Except as provided herein, all rights and obligations of the Company and the Executive hereunder shall continue in full force and effect despite the subsequent amendment or modification of the Company’s Certificate of Incorporation or bylaws, as such are in effect on the date hereof, and such rights and obligations shall not be affected by any such amendment or modification, any resolution of directors or stockholders of the Company, or by any other corporate action which conflicts with or purports to amend, modify, limit or eliminate any of the rights or obligations of the Company and/or of the Executive hereunder.</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304"/>
        <w:spacing w:after="0" w:line="266"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This Agreement may only be amended, modified or supplemented by the written agreement of the Company and the Executive, and any such mutually agreed upon amendment, modification or supplement shall not require stockholder or Board approval and/or ratification if such amendment, modification or supplement:</w:t>
      </w:r>
    </w:p>
    <w:p>
      <w:pPr>
        <w:spacing w:after="0" w:line="176" w:lineRule="exact"/>
        <w:rPr>
          <w:sz w:val="20"/>
          <w:szCs w:val="20"/>
          <w:color w:val="auto"/>
        </w:rPr>
      </w:pPr>
    </w:p>
    <w:p>
      <w:pPr>
        <w:ind w:left="1520" w:hanging="216"/>
        <w:spacing w:after="0"/>
        <w:tabs>
          <w:tab w:leader="none" w:pos="15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made in order to conform to or reflect any amendment or revision of the DGCL, including, without limitation, the Statute, which</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or permits the expansion of the Executive’s rights to indemnification or advancement of Expenses thereunder; (b) limits or eliminates, or permits the limitation or elimination, of the liability of the Executive; or (c) or is otherwise beneficial to the Executive; or</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sole judgment and discretion of the Board, does not materially adversely affect the rights and protections of the stockholders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firstLine="1304"/>
        <w:spacing w:after="0" w:line="266" w:lineRule="auto"/>
        <w:tabs>
          <w:tab w:leader="none" w:pos="15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matters with respect to this Agreement, including, without limitation, matters of validity, construction, effect and performance shall be governed by the internal laws of the State of Delaware applicable to contracts made and to be performed therein between the residents thereof (regardless of the laws that might otherwise be applicable under principles of conflicts of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fully or partially executed counterparts each of which shall be deemed an original binding the signer thereof against the other signing parties, but all counterparts together shall constitute one and the same instrument. Executed signature pages may be delivered by any electronic means and may be removed from counterpart agreements and attached to one or more fully executed copies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deemed invalid or inoperative, or in the event a court of competent jurisdiction determines that any of the provisions of this Agreement contravene public policy in any way, this Agreement shall be construed so that the remaining provisions shall not be affected, but shall remain in full force and effect, and any such provisions which are invalid or inoperative or which contravene public policy shall be deemed, without further action or deed on the part of any person, to be modified, amended and/or limited, but only to the limited extent necessary to render the same valid and enforceable, and the Company shall indemnify and hold harmless the Executive against Liabilities and reasonable Expenses with respect to any Action to the fullest extent permitted by any applicable provision of this Agreement that shall not have been invalidated and otherwise to the fullest extent otherwise permitted by the Statute as it may then be in effect.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130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The following terms as used in this Agreement shall be defined as follows: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“Action(s)” shall include, without limitation, any threatened, pending or completed action, claim, litigation, suit or proceeding, whether civil, criminal, administrative, arbitrative or investigative, whether predicated on foreign, Federal, state or local law, whether brought under and/or predicated upon the Securities Act of 1933, as amended, and/or the Securities Exchange Act of 1934, as amended, and/or their respective state counterparts and/or any rule or regulation promulgated thereunder, whether a Derivative Action and whether formal or informal.</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“Affiliate” shall include, without limitation, any corporation, partnership, joint venture, employee benefit plan, trust, or other similar enterprise that directly or indirectly through one or more intermediaries, controls or is controlled by, or is under common control with, the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“Authority” shall mean the panel of arbitrators or independent legal counsel selected under Paragraph 3C of the Agreement.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“Beneficial Owner” has the meaning given to the term “beneficial owner” in Rule 13d-3 under the Securities Exchange Act of 1934, as amended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“Board” shall mean the Board of Directors of the Company.</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“Breach of Duty” shall mean the Executive breached or failed to perform his or her duties to the Company or an Affiliate, as the case may be, and the Executive’s breach of or failure to perform those duties constitute:</w:t>
      </w:r>
    </w:p>
    <w:p>
      <w:pPr>
        <w:spacing w:after="0" w:line="162" w:lineRule="exact"/>
        <w:rPr>
          <w:sz w:val="20"/>
          <w:szCs w:val="20"/>
          <w:color w:val="auto"/>
        </w:rPr>
      </w:pPr>
    </w:p>
    <w:p>
      <w:pPr>
        <w:ind w:left="1520" w:hanging="216"/>
        <w:spacing w:after="0"/>
        <w:tabs>
          <w:tab w:leader="none" w:pos="1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Loyalty” (as defined herein) to the Company or its stockholders;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(as further defined herein) or which involve intentional misconduct or a knowing violation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w:t>
      </w:r>
    </w:p>
    <w:p>
      <w:pPr>
        <w:spacing w:after="0" w:line="207" w:lineRule="exact"/>
        <w:rPr>
          <w:sz w:val="20"/>
          <w:szCs w:val="20"/>
          <w:color w:val="auto"/>
        </w:rPr>
      </w:pPr>
    </w:p>
    <w:p>
      <w:pPr>
        <w:ind w:left="1620" w:hanging="316"/>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Section 174 of the DGCL;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from which the Executive derived an improper personal financial profit (unless such profit is determined to be immaterial in light of all the circumstances).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whether the Executive has acted or omitted to act otherwise than in “Good Faith,” as such term is used herein, the Authority, or the court, shall determine solely whether the Executive (i) in the case of conduct in his or her “Official Capacity” (as defined herein) with the Company, believed in the exercise of his or her business judgment, that his or her conduct was in the best interests of the Company; and (ii) in all other cases, reasonably believed that his or her conduct was at least not opposed to the best interests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180"/>
        <w:spacing w:after="0"/>
        <w:rPr>
          <w:sz w:val="20"/>
          <w:szCs w:val="20"/>
          <w:color w:val="auto"/>
        </w:rPr>
      </w:pPr>
      <w:r>
        <w:rPr>
          <w:rFonts w:ascii="Times New Roman" w:cs="Times New Roman" w:eastAsia="Times New Roman" w:hAnsi="Times New Roman"/>
          <w:sz w:val="18"/>
          <w:szCs w:val="18"/>
          <w:color w:val="auto"/>
        </w:rPr>
        <w:t>G. “Change in Control” means the occurrence after the date of this Agreement of any of the following events:</w:t>
      </w:r>
    </w:p>
    <w:p>
      <w:pPr>
        <w:spacing w:after="0" w:line="225" w:lineRule="exact"/>
        <w:rPr>
          <w:sz w:val="20"/>
          <w:szCs w:val="20"/>
          <w:color w:val="auto"/>
        </w:rPr>
      </w:pPr>
    </w:p>
    <w:p>
      <w:pPr>
        <w:jc w:val="both"/>
        <w:ind w:left="-120" w:firstLine="440"/>
        <w:spacing w:after="0" w:line="261" w:lineRule="auto"/>
        <w:tabs>
          <w:tab w:leader="none" w:pos="53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25% or more of the Company’s then outstanding Voting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9" w:lineRule="exact"/>
        <w:rPr>
          <w:rFonts w:ascii="Times New Roman" w:cs="Times New Roman" w:eastAsia="Times New Roman" w:hAnsi="Times New Roman"/>
          <w:sz w:val="18"/>
          <w:szCs w:val="18"/>
          <w:color w:val="auto"/>
        </w:rPr>
      </w:pPr>
    </w:p>
    <w:p>
      <w:pPr>
        <w:jc w:val="both"/>
        <w:ind w:left="-120" w:firstLine="440"/>
        <w:spacing w:after="0" w:line="261" w:lineRule="auto"/>
        <w:tabs>
          <w:tab w:leader="none" w:pos="62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50% of the combined voting power of the outstanding Voting Securities of the entity resulting from such transaction;</w:t>
      </w:r>
    </w:p>
    <w:p>
      <w:pPr>
        <w:spacing w:after="0" w:line="179" w:lineRule="exact"/>
        <w:rPr>
          <w:rFonts w:ascii="Times New Roman" w:cs="Times New Roman" w:eastAsia="Times New Roman" w:hAnsi="Times New Roman"/>
          <w:sz w:val="18"/>
          <w:szCs w:val="18"/>
          <w:color w:val="auto"/>
        </w:rPr>
      </w:pPr>
    </w:p>
    <w:p>
      <w:pPr>
        <w:jc w:val="both"/>
        <w:ind w:left="-120" w:firstLine="440"/>
        <w:spacing w:after="0" w:line="258" w:lineRule="auto"/>
        <w:tabs>
          <w:tab w:leader="none" w:pos="64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Board; or</w:t>
      </w:r>
    </w:p>
    <w:p>
      <w:pPr>
        <w:spacing w:after="0" w:line="183" w:lineRule="exact"/>
        <w:rPr>
          <w:rFonts w:ascii="Times New Roman" w:cs="Times New Roman" w:eastAsia="Times New Roman" w:hAnsi="Times New Roman"/>
          <w:sz w:val="18"/>
          <w:szCs w:val="18"/>
          <w:color w:val="auto"/>
        </w:rPr>
      </w:pPr>
    </w:p>
    <w:p>
      <w:pPr>
        <w:ind w:left="-120" w:firstLine="440"/>
        <w:spacing w:after="0" w:line="282" w:lineRule="auto"/>
        <w:tabs>
          <w:tab w:leader="none" w:pos="6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an agreement for the sale or disposition by the Company of all or substantially all of the Company’s assets.</w:t>
      </w:r>
    </w:p>
    <w:p>
      <w:pPr>
        <w:spacing w:after="0" w:line="16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shall mean any Action brought by or in the right of the Company and/or an Affiliate.</w:t>
      </w:r>
    </w:p>
    <w:p>
      <w:pPr>
        <w:spacing w:after="0" w:line="22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shall mean the Delaware General Corporation Law.</w:t>
      </w:r>
    </w:p>
    <w:p>
      <w:pPr>
        <w:spacing w:after="0" w:line="225" w:lineRule="exact"/>
        <w:rPr>
          <w:rFonts w:ascii="Times New Roman" w:cs="Times New Roman" w:eastAsia="Times New Roman" w:hAnsi="Times New Roman"/>
          <w:sz w:val="18"/>
          <w:szCs w:val="18"/>
          <w:color w:val="auto"/>
        </w:rPr>
      </w:pPr>
    </w:p>
    <w:p>
      <w:pPr>
        <w:ind w:left="-1120" w:firstLine="1304"/>
        <w:spacing w:after="0" w:line="282" w:lineRule="auto"/>
        <w:tabs>
          <w:tab w:leader="none" w:pos="3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“Duty of Loyalty” shall mean a breach of fiduciary duty by the Executive which constitutes a willful failure to deal fairly with the Company or its stockholders in connection with a transaction in which the Executive has a material undisclosed personal conflict of interest.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3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shall include, without limitation, any and all expenses, fees, costs, charges, attorneys’ fees and disbursements, other out-of-pocket costs, reasonable compensation for time spent by the Executive in connection with the Action for which he or she is not otherwise compensated by the Company, any Affiliate, any third party or other entity, and any and all other direct and indirect costs of any type or nature whatsoever.</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5" w:name="page76"/>
    <w:bookmarkEnd w:id="7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L. “Independent Counsel” means a law firm, or a member of a law firm, that is experienced in matters of corporation law and neither presently performs, nor in the past five years has performed, services for either: (i) the Company or Executive (other than in connection with matters concerning Executive under this Agreement or of other indemnitees under similar agreements) or (ii) any other party to the Action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Executive in an action to determine Indemnitee’s rights under this Agreement.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 “Liabilities” shall include, without limitation, judgments, amounts incurred in settlement, fines, penalties, and, with respect to any employee benefit plan, any excise tax or penalty incurred in connection therewith, and any and all liabilities of every type or nature whatsoever.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 “Official Capacity” shall mean the office of director or officer in the Company, membership on any committee of directors, any other offices in the Company held by the Executive and any other employment or agency relationship between the Executive and the Company and “Official Capacity,” as such term is used herein, shall not include service for any Affiliate or other foreign or domestic corporation or any partnership, joint venture, trust, employee benefit plan, or other enterprise.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 “Person”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 “Statute” shall mean DGCL Section 145 (or any successor provisions).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Q. “Termination Date” shall mean the date the Executive ceases, for whatever reason, to serve as a director or officer the Company and/or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Affiliate.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“Voting Securities” means any securities of the Company that vote generally in the election of directors.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all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9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8890</wp:posOffset>
            </wp:positionV>
            <wp:extent cx="25628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328295</wp:posOffset>
            </wp:positionV>
            <wp:extent cx="284607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have read the statements made by SoundHound AI, Inc. (formerly known as Archimedes Tech SPAC Partners Co.), included under Item 4.01 of its Form 8-K dated May 2, 2022. We agree with the statements concerning our Firm contained therein.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UHY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ind w:left="10312"/>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37"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5"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9"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(As of May 2, 2022)</w:t>
      </w:r>
    </w:p>
    <w:p>
      <w:pPr>
        <w:spacing w:after="0" w:line="225" w:lineRule="exact"/>
        <w:rPr>
          <w:sz w:val="20"/>
          <w:szCs w:val="20"/>
          <w:color w:val="auto"/>
        </w:rPr>
      </w:pPr>
    </w:p>
    <w:p>
      <w:pPr>
        <w:ind w:left="332" w:hanging="332"/>
        <w:spacing w:after="0"/>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Inc.</w:t>
      </w:r>
    </w:p>
    <w:p>
      <w:pPr>
        <w:spacing w:after="0" w:line="2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Canada Inc. – SoundHound, Inc. owns 1 common share and is the sole stockholder of SoundHound Canada Inc.</w:t>
      </w:r>
    </w:p>
    <w:p>
      <w:pPr>
        <w:spacing w:after="0" w:line="9" w:lineRule="exact"/>
        <w:rPr>
          <w:rFonts w:ascii="Times New Roman" w:cs="Times New Roman" w:eastAsia="Times New Roman" w:hAnsi="Times New Roman"/>
          <w:sz w:val="18"/>
          <w:szCs w:val="18"/>
          <w:color w:val="auto"/>
        </w:rPr>
      </w:pPr>
    </w:p>
    <w:p>
      <w:pPr>
        <w:ind w:left="332" w:hanging="332"/>
        <w:spacing w:after="0" w:line="230" w:lineRule="exact"/>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KK (</w:t>
      </w:r>
      <w:r>
        <w:rPr>
          <w:rFonts w:ascii="Arial Unicode MS" w:cs="Arial Unicode MS" w:eastAsia="Arial Unicode MS" w:hAnsi="Arial Unicode MS"/>
          <w:sz w:val="18"/>
          <w:szCs w:val="18"/>
          <w:color w:val="auto"/>
        </w:rPr>
        <w:t>株式会社サウンドハウンド</w:t>
      </w:r>
      <w:r>
        <w:rPr>
          <w:rFonts w:ascii="Times New Roman" w:cs="Times New Roman" w:eastAsia="Times New Roman" w:hAnsi="Times New Roman"/>
          <w:sz w:val="18"/>
          <w:szCs w:val="18"/>
          <w:color w:val="auto"/>
        </w:rPr>
        <w:t>) – SoundHound, Inc. owns 100% of the subsidiary.</w:t>
      </w:r>
    </w:p>
    <w:p>
      <w:pPr>
        <w:ind w:left="332" w:hanging="332"/>
        <w:spacing w:after="0"/>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GmbH – SoundHound, Inc. owns 25,000 shares and is the sole stockholder of SoundHound GmbH.</w:t>
      </w:r>
    </w:p>
    <w:p>
      <w:pPr>
        <w:spacing w:after="0" w:line="22" w:lineRule="exact"/>
        <w:rPr>
          <w:rFonts w:ascii="Times New Roman" w:cs="Times New Roman" w:eastAsia="Times New Roman" w:hAnsi="Times New Roman"/>
          <w:sz w:val="18"/>
          <w:szCs w:val="18"/>
          <w:color w:val="auto"/>
        </w:rPr>
      </w:pPr>
    </w:p>
    <w:p>
      <w:pPr>
        <w:ind w:left="332" w:hanging="332"/>
        <w:spacing w:after="0" w:line="229" w:lineRule="exact"/>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SoundHound Software Development Co., Ltd. (</w:t>
      </w:r>
      <w:r>
        <w:rPr>
          <w:rFonts w:ascii="Arial Unicode MS" w:cs="Arial Unicode MS" w:eastAsia="Arial Unicode MS" w:hAnsi="Arial Unicode MS"/>
          <w:sz w:val="18"/>
          <w:szCs w:val="18"/>
          <w:color w:val="auto"/>
        </w:rPr>
        <w:t>北京声航软件开发有限公司</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SoundHound Beijing</w:t>
      </w:r>
      <w:r>
        <w:rPr>
          <w:rFonts w:ascii="Times New Roman" w:cs="Times New Roman" w:eastAsia="Times New Roman" w:hAnsi="Times New Roman"/>
          <w:sz w:val="18"/>
          <w:szCs w:val="18"/>
          <w:color w:val="auto"/>
        </w:rPr>
        <w:t>”) – SoundHound, Inc. owns 100% of the subsidiary.</w:t>
      </w:r>
    </w:p>
    <w:p>
      <w:pPr>
        <w:spacing w:after="0" w:line="1" w:lineRule="exact"/>
        <w:rPr>
          <w:rFonts w:ascii="Times New Roman" w:cs="Times New Roman" w:eastAsia="Times New Roman" w:hAnsi="Times New Roman"/>
          <w:sz w:val="18"/>
          <w:szCs w:val="18"/>
          <w:color w:val="auto"/>
        </w:rPr>
      </w:pPr>
    </w:p>
    <w:p>
      <w:pPr>
        <w:ind w:left="332" w:hanging="332"/>
        <w:spacing w:after="0" w:line="230" w:lineRule="exact"/>
        <w:tabs>
          <w:tab w:leader="none" w:pos="33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Korea LLC (</w:t>
      </w:r>
      <w:r>
        <w:rPr>
          <w:rFonts w:ascii="Arial Unicode MS" w:cs="Arial Unicode MS" w:eastAsia="Arial Unicode MS" w:hAnsi="Arial Unicode MS"/>
          <w:sz w:val="18"/>
          <w:szCs w:val="18"/>
          <w:color w:val="auto"/>
        </w:rPr>
        <w:t>사운드하운드코리아 유한회사</w:t>
      </w:r>
      <w:r>
        <w:rPr>
          <w:rFonts w:ascii="Times New Roman" w:cs="Times New Roman" w:eastAsia="Times New Roman" w:hAnsi="Times New Roman"/>
          <w:sz w:val="18"/>
          <w:szCs w:val="18"/>
          <w:color w:val="auto"/>
        </w:rPr>
        <w:t>) – SoundHound, Inc. owns 100% of the subsidiary.</w:t>
      </w:r>
    </w:p>
    <w:p>
      <w:pPr>
        <w:sectPr>
          <w:pgSz w:w="11900" w:h="16838" w:orient="portrait"/>
          <w:cols w:equalWidth="0" w:num="1">
            <w:col w:w="11232"/>
          </w:cols>
          <w:pgMar w:left="328"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SoundHound Announces Closing of Business Combination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27, 2022 09:00 AM Eastern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6634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SANTA CLARA, Calif.--(BUSINESS WIRE)--SoundHound AI, Inc. (“SoundHound”), a global leader in voice artificial intelligence (“voice AI”) today announced the completion of the previously announced business combination (the “Business Combination”) between SoundHound Inc. and Archimedes Tech SPAC Partners Co. (“Archimedes”), a special purpose acquisition company. The combined company is called SoundHound AI, Inc. and will begin trading on Nasdaq under the new ticker symbol “SOUN” on April 28, 2022. The Business Combination was approved at a special meeting of Archimedes’s stockholders on April 26, 2022. Upon closing of the Business Combination, the previously-trading units and subunits of Archimedes ceased to trade and were separated into their component parts.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successful completion of the Business Combination continues SoundHound’s momentum over recent months with respect to key customers and expansion of its experienced and visionary executive team. These previously announced events included Netflix selecting SoundHound as a partner for its RDK platform solution, a multi-year agreement with Qualcomm to bring SoundHound’s voice AI technology to Snapdragon platforms, an announcement with SNAP to provide auto captioning for Snapchatter videos, and an expanded partnership with VIZIO to voice-enable the majority of VIZIO’s TVs and collaborate on interactive experiences. SoundHound was also recently named Frost &amp; Sullivan Best Practices Company of the Year in North American Automotive Connected Voice Assistance Industry and expanded its leadership team with new executive appointments, including Nitesh Sharan, Chief Financial Officer, and Zubin Irani, Chief Revenue Officer.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Business Combination will allow SoundHound to continue its forward momentum in the rapidly growing voice AI market, where voice assistants are forecast to exceed the number of humans on earth</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at 8.4 billion by 2024. SoundHound is at the forefront of innovation, delivering quality voice-enabled experiences for brands to grow customer loyalty and deliver continued value. Today’s announcement comes at a time of rapid growth and transformation for SoundHound, as it surpassed one billion voice queries on its platform in the past year.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“Entering the public markets is a huge milestone for SoundHound and I am incredibly proud of our team and what we’ve accomplished together,” said Keyvan Mohajer, CEO and Co-Founder of SoundHound. “It is also an important milestone in the voice AI industry that an independent voice platform like ours can be a disruptor and provide more choice to businesses that want to enhance their customer experience with voice. Becoming a public company opens the door for expanded opportunities and to work with customers and partners across industries to continue our mission to voice-enable the world around us.”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 Eric Ball, former Chairman of Archimedes and now Chair of SoundHound’s audit committee, said, “SoundHound’s breakthrough voice technology has already been adopted by leading brands in multiple sectors using voice AI. As a public tech company, SoundHound will be able to pursue invigorated growth, and additional royalties from its products, subscription from its services, and monetization from voice commerce opportunities. The company will have the resources to amplify its innovation and commercial outreach to new customers. With the completion of this merger between Archimedes and SoundHound, we are excited to finish this chapter and look forward to the voice-enabled future powered by the newly publicly traded SoundHound.”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1722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32320" cy="6172200"/>
                    </a:xfrm>
                    <a:prstGeom prst="rect">
                      <a:avLst/>
                    </a:prstGeom>
                    <a:noFill/>
                  </pic:spPr>
                </pic:pic>
              </a:graphicData>
            </a:graphic>
          </wp:anchor>
        </w:drawing>
        <w:t>Transaction Details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Business Combination, SoundHound has received significant proceeds to fund its accelerating new client-acquisition and expansion plans. Upon closing of the Business Combination, Dr. Eric Ball, former Chairman of Archimedes, joined SoundHound’s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Guggenheim Securities, LLC is serving as financial advisor and capital markets advisor to SoundHound. Ellenoff Grossman &amp; Schole, LLP is serving as legal advisor to SoundHound.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Cantor Fitzgerald &amp; Co., Northland Securities, Inc., Wedbush Securities Inc., EarlyBirdCapital, Inc., and IB CAPITAL LLC served as capital markets advisors and Loeb &amp; Loeb LLP served as legal advisor to Archimedes.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SoundHound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SoundHound,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and Where to Find 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SoundHound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Flattery</w:t>
      </w:r>
    </w:p>
    <w:p>
      <w:pPr>
        <w:spacing w:after="0" w:line="9" w:lineRule="exact"/>
        <w:rPr>
          <w:sz w:val="20"/>
          <w:szCs w:val="20"/>
          <w:color w:val="auto"/>
        </w:rPr>
      </w:pPr>
    </w:p>
    <w:p>
      <w:pPr>
        <w:ind w:right="9540" w:firstLine="8"/>
        <w:spacing w:after="0" w:line="260" w:lineRule="auto"/>
        <w:tabs>
          <w:tab w:leader="none" w:pos="4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441-3294 PR@SoundHound.com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Defined terms included below have the same meaning as terms defined and included elsewhere in this Form 8-K and, if not defined in the Form 8-K, the Proxy Statement/Prospectus.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SEC Regulation S-X as amended by the final rule, Release No. 33-10786 “Amendments to Financial Disclosures about Acquired and Disposed Businesses” and is for informational purposes only. The combined financial information presents the pro forma effects of the following transactions, collectively referred to as the “Transactions” for purposes of this section, and certain other related events as described in Note 1 to the accompanying Notes to the unaudited pro forma condensed combined financial information:</w:t>
      </w:r>
    </w:p>
    <w:p>
      <w:pPr>
        <w:spacing w:after="0" w:line="183" w:lineRule="exact"/>
        <w:rPr>
          <w:sz w:val="20"/>
          <w:szCs w:val="20"/>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recapitalization of SoundHound, Inc. (“SoundHound”), referred to herein as the “Business Combination,” and the issuance of Archimedes Tech SPAC Partners Co. (“ATSP”) common stock in the PIPE Investment.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contemplated by the Merger Agreement, dated as of November 15, 2021 (the “Merger Agreement”), by and among ATSP, ATSPC Merger Sub, Inc. (“Merger Sub”), and SoundHound, upon the closing (the “Closing”) of the transactions, Merger Sub would merge with and into SoundHound, with SoundHound surviving the merger as a wholly owned subsidiary of ATSP. In addition, in connection with the consummation of the Business Combination, ATSP will be renamed “SoundHound AI, Inc” (“SoundHound AI”).</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SoundHound AI as of December 31, 2021 combines the historical audited balance sheet of SoundHound as of December 31, 2021 and the historical audited balance sheet of ATSP as of December 31, 2021, adjusted to give pro forma effect to the Business Combination, the PIPE Investment, and certain other related events related to the Business Combination between SoundHound and ATSP, in each case, as if the Business Combination, the PIPE Investment, and certain other related events had been consummated on December 31,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of SoundHound AI for the year ended December 31, 2021 combines the historical audited statement of operations of SoundHound for the year ended December 31, 2021, and the historical audited statement of operations of ATSP for the year ended December 31, 2021, on a pro forma basis as if the Business Combination, the PIPE Investment, and certain other related events, as discussed below, related to the Business Combination between SoundHound and ATSP, in each case, had been consummated on January 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following, which are included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07"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ATSP as of and for the year ended December 31, 2021 included in ATSP’s Annual Report on Form 10-K filed with the SEC on March 9, 2022 incorporated herein by reference;</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SoundHound as of and for the year ended December 31, 2021, which are included as exhibits to this Report; and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related to ATSP and SoundHound included in this Report or incorporated herein by reference, including the Merger Agreement and the description of certain terms thereof set forth under “</w:t>
      </w:r>
      <w:r>
        <w:rPr>
          <w:rFonts w:ascii="Times New Roman" w:cs="Times New Roman" w:eastAsia="Times New Roman" w:hAnsi="Times New Roman"/>
          <w:sz w:val="18"/>
          <w:szCs w:val="18"/>
          <w:i w:val="1"/>
          <w:iCs w:val="1"/>
          <w:color w:val="auto"/>
        </w:rPr>
        <w:t>Proposal No. 1 — The Business Combination Proposal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should also be read together with “ATSP’s Management’s Discussion and Analysis of Financial Condition and Results of Operations”, “SoundHound’s Management’s Discussion and Analysis of Financial Condition and Results of Operations”, and other financial information included elsewhere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November 15, 2021, ATSP, SoundHound and Merger Sub, entered into the Merger Agreement. The Business Combination was completed on April 26,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ATSP entered into Subscription Agreements (the “Subscription Agreements”) with certain investors (the “PIPE Investors”), pursuant to which the PIPE Investors agreed to subscribe for and purchase, and ATSP agreed to issue and sell to the PIPE Investors, an aggregate of 11,100,000 shares of SoundHound AI common stock at a price of $10.00 per share, for aggregate gross proceeds of $111,000,000 (the “PIPE Investment”).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2022, ATSP entered into a subscription agreement (the “New Subscription Agreement”) with an accredited investor (the “New Subscriber”) pursuant to which the New Subscriber agreed to purchase, and ATSP has agreed to sell, 200,000 shares of SoundHound AI Class A common stock, par value $0.0001 per share, at a purchase price of $10.00 per share for gross proceeds of $2,000,000. With the New Subscription Agreement, the PIPE Investment increased to an aggregate of 11,300,000 shares of Class A common stock and aggregate gross proceeds of $113,000,000.</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(i) each share of SoundHound capital stock that is owned by ATSP, Merger Sub, or SoundHound immediately prior to the Effective Time will automatically be cancelled and retired without any conversion or consideration, (ii) each issued and outstanding share of SoundHound’s preferred stock will be converted into shares of SoundHound AI common stock, (iii) each share of SoundHound common stock issued and outstanding immediately prior to the Effective Time (other than any such shares of SoundHound capital stock cancelled as described above and any dissenting shares) will be converted into the right to receive a number of shares of SoundHound AI Class A common stock, (iv) if any shares of SoundHound Class B common stock are issued and outstanding, each such share of SoundHound Class B common stock issued and outstanding immediately prior to the Effective Time (other than any such shares of SoundHound common stock cancelled pursuant to above and any dissenting shares) will be converted into the right to receive a number of shares of SoundHound AI Class A common stock, (v) each outstanding option to purchase shares of SoundHound common stock will be converted into an option to purchase shares of SoundHound AI Class A common stock, (vi) each outstanding warrant to purchase shares of SoundHound common stock immediately prior to the Effective Time shall be automatically converted into a warrant to purchase, subject to substantially the same terms and conditions as were applicable under such warrants prior to the Effective Time, shares of SoundHound AI Class A common stock, (vii) any outstanding restricted shares of SoundHound common stock that have not vested as of the Business Combination will have the same continuing vesting periods apply to the Merger Consideration Shares (as defined in the Merger Agreement) issued in exchange for such restricted shares and (viii) each outstanding SoundHound RSU shall be converted into an SoundHound AI RSU, subject to substantially the same terms and conditions as the original SoundHound RSU. Additionally, at the Closing, the SNAP June 2020 Note will convert, in accordance with its terms, into shares of SoundHound Class A common stock.</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SoundHound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ATSP</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113,000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116,532</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133,011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(250)</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(24,376)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(127,680)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(J)</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(460)</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(J)</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of $109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2,193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2,291</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Restricted cash, non current</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220" w:type="dxa"/>
            <w:vAlign w:val="bottom"/>
          </w:tcPr>
          <w:p>
            <w:pPr>
              <w:spacing w:after="0"/>
              <w:rPr>
                <w:sz w:val="17"/>
                <w:szCs w:val="17"/>
                <w:color w:val="auto"/>
              </w:rPr>
            </w:pPr>
          </w:p>
        </w:tc>
        <w:tc>
          <w:tcPr>
            <w:tcW w:w="132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4"/>
              </w:rPr>
              <w:t>(J)</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10,291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133,011</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(133,011)</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(B)</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6,155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(1,264)</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37"/>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49,203</w:t>
            </w:r>
          </w:p>
        </w:tc>
        <w:tc>
          <w:tcPr>
            <w:tcW w:w="2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133,344</w:t>
            </w: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141,977</w:t>
            </w:r>
          </w:p>
        </w:tc>
        <w:tc>
          <w:tcPr>
            <w:tcW w:w="100" w:type="dxa"/>
            <w:vAlign w:val="bottom"/>
            <w:tcBorders>
              <w:top w:val="single" w:sz="8" w:color="CCEEFF"/>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4" w:name="page85"/>
    <w:bookmarkEnd w:id="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SoundHound</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ATSP</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w:t>
            </w: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(248)</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7,298</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(1,136)</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liabilities,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6,042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6,042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current portion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29,868</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(14,343)</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(3,488)</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29,964</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(29,964)</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(E)</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87,739</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(64,181)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23,808</w:t>
            </w: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Financing lease liabilities, net of current portion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14,959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and warrant liability</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29,964</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29,964</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 of current portion</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(E)</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4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r>
      <w:tr>
        <w:trPr>
          <w:trHeight w:val="237"/>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112,937</w:t>
            </w:r>
          </w:p>
        </w:tc>
        <w:tc>
          <w:tcPr>
            <w:tcW w:w="24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498</w:t>
            </w:r>
          </w:p>
        </w:tc>
        <w:tc>
          <w:tcPr>
            <w:tcW w:w="24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(19,465</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93,970</w:t>
            </w:r>
          </w:p>
        </w:tc>
        <w:tc>
          <w:tcPr>
            <w:tcW w:w="100" w:type="dxa"/>
            <w:vAlign w:val="bottom"/>
            <w:tcBorders>
              <w:top w:val="single" w:sz="8" w:color="CCEEFF"/>
            </w:tcBorders>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5" w:name="page86"/>
    <w:bookmarkEnd w:id="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SoundHound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ATSP</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245"/>
        </w:trPr>
        <w:tc>
          <w:tcPr>
            <w:tcW w:w="4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Combined</w:t>
            </w:r>
          </w:p>
        </w:tc>
      </w:tr>
      <w:tr>
        <w:trPr>
          <w:trHeight w:val="184"/>
        </w:trPr>
        <w:tc>
          <w:tcPr>
            <w:tcW w:w="46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Common stock subject to possible redemption, 13,300,000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at redemption value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133,011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(127,680)</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(G)</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(5,331)</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$0.0001 par 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26,316,129 shares authorized; 19,248,537 shares issued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liquidation preference of $284,826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279,503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(279,503)</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ATSP preferred stock, $0.0001 par value; 1,000,000 shares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authorized; none issued and outstanding</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ATSP common stock, $0.0001 par value; 100,000,000 shares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4,161,000 shares issued and 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(excluding 13,300,000 shares subject to possible redemption)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SoundHound AI Class A common stock, $0.0001 par value;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455,000,000 shares authorized; 156,107,110 shares were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upon the Closing.</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SoundHound AI Class B common stock, $0.0001 par 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44,000,000 shares authorized; 40,396,600 shares were issued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upon the Closing.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4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SoundHound common stock, $0.0001 par value; 37,729,497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12,280,051 shares issued and outstanding</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SoundHound Class B common stock, $0.0001 par 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7,270,503 shares authorized; 7,270,503 shares issued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112,999</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435,681</w:t>
            </w: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(25,640)</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963</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5,331</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(H)</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248</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(I)</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297,471</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(386,729)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(964)</w:t>
            </w:r>
          </w:p>
        </w:tc>
        <w:tc>
          <w:tcPr>
            <w:tcW w:w="13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(F)</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(387,693)</w:t>
            </w:r>
          </w:p>
        </w:tc>
      </w:tr>
      <w:tr>
        <w:trPr>
          <w:trHeight w:val="236"/>
        </w:trPr>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983</w:t>
            </w: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(K)</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(343,237</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391,409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49,203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133,344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(40,570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141,977</w:t>
            </w: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1"/>
        </w:trPr>
        <w:tc>
          <w:tcPr>
            <w:tcW w:w="4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SoundHound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ATSP</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6,585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(CC)</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59,738</w:t>
            </w:r>
          </w:p>
        </w:tc>
        <w:tc>
          <w:tcPr>
            <w:tcW w:w="0" w:type="dxa"/>
            <w:vAlign w:val="bottom"/>
          </w:tcPr>
          <w:p>
            <w:pPr>
              <w:spacing w:after="0"/>
              <w:rPr>
                <w:sz w:val="1"/>
                <w:szCs w:val="1"/>
                <w:color w:val="auto"/>
              </w:rPr>
            </w:pPr>
          </w:p>
        </w:tc>
      </w:tr>
      <w:tr>
        <w:trPr>
          <w:trHeight w:val="24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16,521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404</w:t>
            </w:r>
          </w:p>
        </w:tc>
        <w:tc>
          <w:tcPr>
            <w:tcW w:w="13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(CC)</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17,940</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86,524</w:t>
            </w: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964</w:t>
            </w: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88,503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(67,306)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interest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3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(BB)</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(AA)</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(5,415)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1,108</w:t>
            </w:r>
          </w:p>
        </w:tc>
        <w:tc>
          <w:tcPr>
            <w:tcW w:w="13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(AA)</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(13,757</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3,125</w:t>
            </w:r>
          </w:p>
        </w:tc>
        <w:tc>
          <w:tcPr>
            <w:tcW w:w="200" w:type="dxa"/>
            <w:vAlign w:val="bottom"/>
            <w:tcBorders>
              <w:top w:val="single" w:sz="8" w:color="CCEEFF"/>
              <w:bottom w:val="single" w:sz="8" w:color="CCEEFF"/>
            </w:tcBorders>
          </w:tcPr>
          <w:p>
            <w:pPr>
              <w:spacing w:after="0"/>
              <w:rPr>
                <w:sz w:val="18"/>
                <w:szCs w:val="18"/>
                <w:color w:val="auto"/>
              </w:rPr>
            </w:pPr>
          </w:p>
        </w:tc>
        <w:tc>
          <w:tcPr>
            <w:tcW w:w="10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(79,084)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2,161</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(77,904)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b w:val="1"/>
                <w:bCs w:val="1"/>
                <w:color w:val="auto"/>
              </w:rPr>
              <w:t>(79,540</w:t>
            </w:r>
            <w:r>
              <w:rPr>
                <w:rFonts w:ascii="Times New Roman" w:cs="Times New Roman" w:eastAsia="Times New Roman" w:hAnsi="Times New Roman"/>
                <w:sz w:val="29"/>
                <w:szCs w:val="29"/>
                <w:b w:val="1"/>
                <w:bCs w:val="1"/>
                <w:color w:val="auto"/>
                <w:vertAlign w:val="superscript"/>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b w:val="1"/>
                <w:bCs w:val="1"/>
                <w:color w:val="auto"/>
              </w:rPr>
              <w:t>(981</w:t>
            </w:r>
            <w:r>
              <w:rPr>
                <w:rFonts w:ascii="Times New Roman" w:cs="Times New Roman" w:eastAsia="Times New Roman" w:hAnsi="Times New Roman"/>
                <w:sz w:val="29"/>
                <w:szCs w:val="29"/>
                <w:b w:val="1"/>
                <w:bCs w:val="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2,161</w:t>
            </w:r>
          </w:p>
        </w:tc>
        <w:tc>
          <w:tcPr>
            <w:tcW w:w="13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(78,360</w:t>
            </w:r>
            <w:r>
              <w:rPr>
                <w:rFonts w:ascii="Times New Roman" w:cs="Times New Roman" w:eastAsia="Times New Roman" w:hAnsi="Times New Roman"/>
                <w:sz w:val="29"/>
                <w:szCs w:val="29"/>
                <w:b w:val="1"/>
                <w:bCs w:val="1"/>
                <w:color w:val="auto"/>
                <w:vertAlign w:val="superscript"/>
              </w:rPr>
              <w:t>)</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the exchange of 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series D-3A for redeemable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series D-3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b w:val="1"/>
                <w:bCs w:val="1"/>
                <w:color w:val="auto"/>
              </w:rPr>
              <w:t>(79,540</w:t>
            </w:r>
            <w:r>
              <w:rPr>
                <w:rFonts w:ascii="Times New Roman" w:cs="Times New Roman" w:eastAsia="Times New Roman" w:hAnsi="Times New Roman"/>
                <w:sz w:val="29"/>
                <w:szCs w:val="29"/>
                <w:b w:val="1"/>
                <w:bCs w:val="1"/>
                <w:color w:val="auto"/>
                <w:vertAlign w:val="superscript"/>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b w:val="1"/>
                <w:bCs w:val="1"/>
                <w:color w:val="auto"/>
              </w:rPr>
              <w:t>(981</w:t>
            </w:r>
            <w:r>
              <w:rPr>
                <w:rFonts w:ascii="Times New Roman" w:cs="Times New Roman" w:eastAsia="Times New Roman" w:hAnsi="Times New Roman"/>
                <w:sz w:val="29"/>
                <w:szCs w:val="29"/>
                <w:b w:val="1"/>
                <w:bCs w:val="1"/>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2,161</w:t>
            </w:r>
          </w:p>
        </w:tc>
        <w:tc>
          <w:tcPr>
            <w:tcW w:w="13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(78,360</w:t>
            </w:r>
            <w:r>
              <w:rPr>
                <w:rFonts w:ascii="Times New Roman" w:cs="Times New Roman" w:eastAsia="Times New Roman" w:hAnsi="Times New Roman"/>
                <w:sz w:val="29"/>
                <w:szCs w:val="29"/>
                <w:b w:val="1"/>
                <w:bCs w:val="1"/>
                <w:color w:val="auto"/>
                <w:vertAlign w:val="superscript"/>
              </w:rPr>
              <w:t>)</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1"/>
              <w:spacing w:after="0" w:line="256" w:lineRule="exact"/>
              <w:rPr>
                <w:sz w:val="20"/>
                <w:szCs w:val="20"/>
                <w:color w:val="auto"/>
              </w:rPr>
            </w:pPr>
            <w:r>
              <w:rPr>
                <w:rFonts w:ascii="Times New Roman" w:cs="Times New Roman" w:eastAsia="Times New Roman" w:hAnsi="Times New Roman"/>
                <w:sz w:val="16"/>
                <w:szCs w:val="16"/>
                <w:b w:val="1"/>
                <w:bCs w:val="1"/>
                <w:color w:val="auto"/>
              </w:rPr>
              <w:t>(6.57</w:t>
            </w:r>
            <w:r>
              <w:rPr>
                <w:rFonts w:ascii="Times New Roman" w:cs="Times New Roman" w:eastAsia="Times New Roman" w:hAnsi="Times New Roman"/>
                <w:sz w:val="29"/>
                <w:szCs w:val="29"/>
                <w:b w:val="1"/>
                <w:bCs w:val="1"/>
                <w:color w:val="auto"/>
                <w:vertAlign w:val="superscript"/>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attributable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subject to redemption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0.28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net loss per share attributable to common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160"/>
              <w:spacing w:after="0" w:line="278" w:lineRule="exact"/>
              <w:rPr>
                <w:sz w:val="20"/>
                <w:szCs w:val="20"/>
                <w:color w:val="auto"/>
              </w:rPr>
            </w:pPr>
            <w:r>
              <w:rPr>
                <w:rFonts w:ascii="Times New Roman" w:cs="Times New Roman" w:eastAsia="Times New Roman" w:hAnsi="Times New Roman"/>
                <w:sz w:val="17"/>
                <w:szCs w:val="17"/>
                <w:b w:val="1"/>
                <w:bCs w:val="1"/>
                <w:color w:val="auto"/>
              </w:rPr>
              <w:t>(0.99</w:t>
            </w:r>
            <w:r>
              <w:rPr>
                <w:rFonts w:ascii="Times New Roman" w:cs="Times New Roman" w:eastAsia="Times New Roman" w:hAnsi="Times New Roman"/>
                <w:sz w:val="32"/>
                <w:szCs w:val="32"/>
                <w:b w:val="1"/>
                <w:bCs w:val="1"/>
                <w:color w:val="auto"/>
                <w:vertAlign w:val="superscript"/>
              </w:rPr>
              <w: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196,503,710</w:t>
            </w:r>
          </w:p>
        </w:tc>
        <w:tc>
          <w:tcPr>
            <w:tcW w:w="0" w:type="dxa"/>
            <w:vAlign w:val="bottom"/>
          </w:tcPr>
          <w:p>
            <w:pPr>
              <w:spacing w:after="0"/>
              <w:rPr>
                <w:sz w:val="1"/>
                <w:szCs w:val="1"/>
                <w:color w:val="auto"/>
              </w:rPr>
            </w:pP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b w:val="1"/>
                <w:bCs w:val="1"/>
                <w:color w:val="auto"/>
              </w:rPr>
              <w:t>(0.40</w:t>
            </w:r>
            <w:r>
              <w:rPr>
                <w:rFonts w:ascii="Times New Roman" w:cs="Times New Roman" w:eastAsia="Times New Roman" w:hAnsi="Times New Roman"/>
                <w:sz w:val="29"/>
                <w:szCs w:val="29"/>
                <w:b w:val="1"/>
                <w:bCs w:val="1"/>
                <w:color w:val="auto"/>
                <w:vertAlign w:val="superscript"/>
              </w:rPr>
              <w:t>)</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1 — Description of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between ATSP and SoundHound — Business Combination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Merger Sub merged with and into SoundHound, and SoundHound was the surviving corporation and a wholly owned subsidiary of SoundHound AI.</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consideration for the Business Combination paid to holders of SoundHound capital stock includes Merger Consideration Shares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57"/>
        </w:trPr>
        <w:tc>
          <w:tcPr>
            <w:tcW w:w="10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196,503,710</w:t>
            </w:r>
          </w:p>
        </w:tc>
      </w:tr>
      <w:tr>
        <w:trPr>
          <w:trHeight w:val="277"/>
        </w:trPr>
        <w:tc>
          <w:tcPr>
            <w:tcW w:w="100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Value per Share</w:t>
            </w:r>
            <w:r>
              <w:rPr>
                <w:rFonts w:ascii="Times New Roman" w:cs="Times New Roman" w:eastAsia="Times New Roman" w:hAnsi="Times New Roman"/>
                <w:sz w:val="29"/>
                <w:szCs w:val="29"/>
                <w:color w:val="auto"/>
                <w:vertAlign w:val="superscript"/>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transferred to holders of SoundHound capital stock upon consummation of the Business Combination include (i) 140.1 million SoundHound AI Class A common stock, (ii) 40.4 million SoundHound AI Class B common stock, and (iii) 30.7 million assumed options and RSUs.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consideration is calculated using a $10 reference price. The actual total value of share consideration will be dependent on the value of the common stock at the Closing; however, there is no expected change from any change in the SoundHound AI common stock’s trading price on the pro-forma financial statements as the Business Combination will be accounted for as a reverse recapitalization.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information contained herein reflects ATSP’s stockholders approval of the Business Combination on April 26, 2022, and that ATSP’s public stockholders holding 12,767,950 ATSP redeemable common stock elected to redeem their shares prior to the Closing. The following summarizes the pro forma SoundHound AI issued and outstanding immediately after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Capitalization Summary</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140,114,060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40,396,600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532,050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3,674,500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486,500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11,300,000</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0"/>
        </w:trPr>
        <w:tc>
          <w:tcPr>
            <w:tcW w:w="8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SoundHound AI Pro Forma Common Stock at the Closing</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196,503,710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the Pro Forma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in accordance with U.S. generally accepted accounting principles, with no goodwill or other intangible assets recorded in accordance with Financial Accounting Standards Board’s Accounting Standards Codification Topic 805, Business Combinations (“</w:t>
      </w:r>
      <w:r>
        <w:rPr>
          <w:rFonts w:ascii="Times New Roman" w:cs="Times New Roman" w:eastAsia="Times New Roman" w:hAnsi="Times New Roman"/>
          <w:sz w:val="18"/>
          <w:szCs w:val="18"/>
          <w:u w:val="single" w:color="auto"/>
          <w:color w:val="auto"/>
        </w:rPr>
        <w:t>ASC 805</w:t>
      </w:r>
      <w:r>
        <w:rPr>
          <w:rFonts w:ascii="Times New Roman" w:cs="Times New Roman" w:eastAsia="Times New Roman" w:hAnsi="Times New Roman"/>
          <w:sz w:val="18"/>
          <w:szCs w:val="18"/>
          <w:color w:val="auto"/>
        </w:rPr>
        <w:t>”). ATSP will be treated as the “acquired” company for financial reporting purposes and SoundHound has been determined to be the accounting acquirer. Accordingly, the Business Combination will be treated as the equivalent of SoundHound issuing stock for the net assets of ATSP, accompanied by a recapitalization. The net assets of SoundHound AI will be stated at historical cost, with no goodwill or other intangible assets recorded. Operations prior to the Business Combination will be those of SoundHound.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SoundHound has been determined to be the accounting acquirer based on a number of considerations, including but not limited to:</w:t>
      </w:r>
    </w:p>
    <w:p>
      <w:pPr>
        <w:spacing w:after="0" w:line="225" w:lineRule="exact"/>
        <w:rPr>
          <w:sz w:val="20"/>
          <w:szCs w:val="20"/>
          <w:color w:val="auto"/>
        </w:rPr>
      </w:pPr>
    </w:p>
    <w:p>
      <w:pPr>
        <w:ind w:left="980" w:hanging="324"/>
        <w:spacing w:after="0" w:line="282"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existing stockholders will have the ability to control decisions regarding election and removal of directors and officers of SoundHound 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will comprise the ongoing operations of SoundHound AI;</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SoundHound’s relevant measures, such as assets, revenues, cash flows and earnings, are higher than ATSP’s;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SoundHound’s existing senior management will be the senior management of SoundHound 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also determined SoundHound to be the predecessor entity to the Merger Agreement based on the same considerations listed above.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were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ATSP has elected not to present Management’s Adjustments and will only be presenting Transaction Accounting Adjustments in the following unaudited pro forma combined financial information to provide relevant information necessary for an understanding of the combined company upon consummation of the Business Combination.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filing this Report and is subject to change as additional information becomes available and analyses are performed. As the unaudited pro forma condensed combined financial information has been prepared based on these preliminary estimates, the final amounts recorded may differ materially from the information presented as additional information becomes available. Management considers the basis of presentation to be reasonable under the circumstances.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Transactions. SoundHound has not had any historical relationship with neither ATSP prior to the Business Combination. Accordingly, no Transaction Accounting Adjustments were required to eliminate activities between the companies.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Transactions taken place on December 31, 2021, nor is it indicative of the financial condition of the combined company as of any future date. The unaudited pro forma condensed combined financial information is for illustrative purposes only and is not necessarily indicative of what the actual results of operations and financial position would have been had the Business Combination, the PIPE Investment, and certain other related events taken place on the dates indicated, nor are they indicative of the future consolidated results of operations or financial position of the combined company. The unaudited pro forma condensed combined financial information is subject to several uncertainties and assumptions as described in the accompanying notes.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one-time direct and incremental transaction costs (i.e. “Transaction costs”) incurred prior to, or concurrent with, the consummation are reflected in the unaudited pro forma condensed balance sheet as a direct reduction to SoundHound AI additional paid-in capital and are assumed to be cash settled.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 3 —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its analysis of SoundHound and ATSP’s policies, SoundHound and ATSP did not identify any differences in accounting policies that would have an impact on the unaudited pro forma condensed combined consolidated information. As a result, the unaudited pro forma condensed combined financial information does not assume any differences in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Pro Forma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2021 has been prepared for informational purposes only. The unaudited pro forma condensed combined balance sheet as of December 31, 2021 includes Transaction Accounting Adjustments that are directly attributable to the Business Combination, the PIPE Investment, and certain other related events.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ATSP and SoundHound have not had any historical relationship prior to the Business Combination. Accordingly, no pro forma adjustments were required to eliminate activities between the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combined provision for income taxes does not necessarily reflect the amounts that would have resulted had the post-combination company filed consolidated income tax returns during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Combined Balance Sheet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included in the unaudited pro forma combined balance sheet as of December 31, 2021 are as follows:</w:t>
      </w:r>
    </w:p>
    <w:p>
      <w:pPr>
        <w:spacing w:after="0" w:line="225"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record proceeds received from the PIPE Investment with the corresponding 11,300,000 shares of SoundHound AI Class A common stock with a par value of $0.0001 per share at a price of $10.00 per share.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transfer of marketable securities held in the ATSP trust account to cash.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payments of ATSP historical payables at Closing.</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approximately $24.4 million of Business Combination-related transaction costs incurred in connection with the Business Combination. These Business Combination-related transaction costs are in connection with the Closing and related transactions and are deemed to be direct and incremental costs of the Business Combination. The Business Combination-related transactions costs are accounted for as equity issuance costs and the unaudited pro forma condensed balance sheet reflects these costs as a reduction in cash with a corresponding decrease to additional paid-in-capital, offset by a decrease of $1.3 million in other assets.</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SVB March 2021 Note from short-term to long-term, due to the note’s maturity date being extended from April 26, 2022 to March 31, 2025 as a result of the Business Combination.</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 of the SCI June 2021 Note from short-term to long-term, as the note’s maturity date is being extended from June 26, 2022 to May 31, 2025. Additionally, the SCI June 2021 Note is assumed not to convert upon the Business Combination, as mutual consent between SoundHound and the Note’s agent is required for a conversion.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ind w:left="980" w:right="2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7,270,503 shares of SoundHound Class B Common Stock immediately preceding the Merger and a resulting incremental stock-based compensation charge of $1.0 million.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redemption of 12,767,950 shares of ATSP common stock redeemed for $127.7 million allocated to common stock and additional paid-in capital, using a par value of $0.0001 per share at a redemption price of approximately $10.00 per share.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532,050 shares of ATSP common stock subject to possible redemption that were not redeemed by holders to permanent equity.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ATSP Private Warrants from liability classification to equity classification, giving effect to the amendment to the existing terms of the ATSP Private Warrants to meet equity classification, which is a condition to the Closing, waivable by SoundHound, under the terms of the Merger Agreement.</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release of restricted cash due to clause that the restricted amount will be reduced to $0.2 million at Closing.</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recapitalization of SoundHound through the contribution of the share capital in SoundHound to ATSP, and the issuance of 140,114,060 shares of SoundHound AI Class A common stock and 40,396,600 shares of SoundHound AI Class B common stock, the elimination of the historical accumulated deficit of ATSPs, the accounting acquiree, and the June 2020 Note to shares of SoundHound AI Class A common stock at Closing at price of $8.00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 to Unaudited Pro Forma Condensed Combined Statement of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2021 are as follows:</w:t>
      </w:r>
    </w:p>
    <w:p>
      <w:pPr>
        <w:spacing w:after="0" w:line="162" w:lineRule="exact"/>
        <w:rPr>
          <w:sz w:val="20"/>
          <w:szCs w:val="20"/>
          <w:color w:val="auto"/>
        </w:rPr>
      </w:pPr>
    </w:p>
    <w:p>
      <w:pPr>
        <w:ind w:left="1100" w:right="20" w:hanging="444"/>
        <w:spacing w:after="0" w:line="282"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reduce interest expense by $2.0 million for debt conversion after giving effect to the Merger as if it had occurred on January 1, 2021.</w:t>
      </w:r>
    </w:p>
    <w:p>
      <w:pPr>
        <w:spacing w:after="0" w:line="161"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interest income held in the trust account as of the beginning of the year.</w:t>
      </w:r>
    </w:p>
    <w:p>
      <w:pPr>
        <w:spacing w:after="0" w:line="225" w:lineRule="exact"/>
        <w:rPr>
          <w:rFonts w:ascii="Times New Roman" w:cs="Times New Roman" w:eastAsia="Times New Roman" w:hAnsi="Times New Roman"/>
          <w:sz w:val="18"/>
          <w:szCs w:val="18"/>
          <w:color w:val="auto"/>
        </w:rPr>
      </w:pPr>
    </w:p>
    <w:p>
      <w:pPr>
        <w:ind w:left="1100" w:hanging="444"/>
        <w:spacing w:after="0" w:line="282" w:lineRule="auto"/>
        <w:tabs>
          <w:tab w:leader="none" w:pos="11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non-recurring incremental stock-based compensation recorded due to the issuance of SoundHound Class B common stock to the SoundHound founders in exchange for SoundHound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the PIPE Investment, and certain other related events, assuming such additional shares were outstanding since January 1, 2021. As the Business Combination, the PIPE Investment, and certain other related events are being reflected as if they had occurred as of January 1, 2021, the calculation of weighted average shares outstanding for basic and diluted net loss per share assumes the shares issued in connection with the Business Combination, the PIPE Investment, and certain other related events have been outstanding for the entire periods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The unaudited pro forma combined financial information for the year ended December 31, 2021 has been prepared based on the following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9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w:t>
            </w:r>
          </w:p>
        </w:tc>
        <w:tc>
          <w:tcPr>
            <w:tcW w:w="100" w:type="dxa"/>
            <w:vAlign w:val="bottom"/>
            <w:gridSpan w:val="2"/>
          </w:tcPr>
          <w:p>
            <w:pPr>
              <w:spacing w:after="0"/>
              <w:rPr>
                <w:sz w:val="16"/>
                <w:szCs w:val="16"/>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16"/>
        </w:trPr>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(78,360)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SoundHound AI common stock outstanding – basic and diluted</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196,503,710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 diluted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SoundHound Stockholders – Class A</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140,114,060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SoundHound Stockholders – Class B</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40,396,600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ATSP Public Stockholders – Class A</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532,050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Stockholders – Class A</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3,674,500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 – Class A</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486,500</w:t>
            </w:r>
          </w:p>
        </w:tc>
        <w:tc>
          <w:tcPr>
            <w:tcW w:w="80" w:type="dxa"/>
            <w:vAlign w:val="bottom"/>
          </w:tcPr>
          <w:p>
            <w:pPr>
              <w:spacing w:after="0"/>
              <w:rPr>
                <w:sz w:val="18"/>
                <w:szCs w:val="18"/>
                <w:color w:val="auto"/>
              </w:rPr>
            </w:pPr>
          </w:p>
        </w:tc>
      </w:tr>
      <w:tr>
        <w:trPr>
          <w:trHeight w:val="24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 Investors – Class A</w:t>
            </w:r>
          </w:p>
        </w:tc>
        <w:tc>
          <w:tcPr>
            <w:tcW w:w="12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11,300,000</w:t>
            </w:r>
          </w:p>
        </w:tc>
      </w:tr>
      <w:tr>
        <w:trPr>
          <w:trHeight w:val="210"/>
        </w:trPr>
        <w:tc>
          <w:tcPr>
            <w:tcW w:w="1002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shares of SoundHound AI common stock outstanding – 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196,503,710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diluted earnings per share, all outstanding SoundHound Warrants, SoundHound Options, and ATSP Warrants should have been assumed to have been exercised. However, since this results in anti-dilution, the effect of such exercise was not included in calculation of diluted loss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1)"/>
      <w:numFmt w:val="decimal"/>
      <w:start w:val="3"/>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104"/>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decimal"/>
      <w:start w:val="70"/>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2"/>
    </w:lvl>
  </w:abstractNum>
  <w:abstractNum w:abstractNumId="16">
    <w:nsid w:val="2A487CB0"/>
    <w:multiLevelType w:val="hybridMultilevel"/>
    <w:lvl w:ilvl="0">
      <w:lvlJc w:val="left"/>
      <w:lvlText w:val="(%1)"/>
      <w:numFmt w:val="lowerLetter"/>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3"/>
    </w:lvl>
  </w:abstractNum>
  <w:abstractNum w:abstractNumId="19">
    <w:nsid w:val="2CD89A32"/>
    <w:multiLevelType w:val="hybridMultilevel"/>
    <w:lvl w:ilvl="0">
      <w:lvlJc w:val="left"/>
      <w:lvlText w:val="%1"/>
      <w:numFmt w:val="lowerLetter"/>
      <w:start w:val="1"/>
    </w:lvl>
    <w:lvl w:ilvl="1">
      <w:lvlJc w:val="left"/>
      <w:lvlText w:val="(%2)"/>
      <w:numFmt w:val="lowerLetter"/>
      <w:start w:val="1"/>
    </w:lvl>
  </w:abstractNum>
  <w:abstractNum w:abstractNumId="20">
    <w:nsid w:val="57E4CCAF"/>
    <w:multiLevelType w:val="hybridMultilevel"/>
    <w:lvl w:ilvl="0">
      <w:lvlJc w:val="left"/>
      <w:lvlText w:val="(%1)"/>
      <w:numFmt w:val="lowerLetter"/>
      <w:start w:val="24"/>
    </w:lvl>
    <w:lvl w:ilvl="1">
      <w:lvlJc w:val="left"/>
      <w:lvlText w:val="%2"/>
      <w:numFmt w:val="lowerLetter"/>
      <w:start w:val="1"/>
    </w:lvl>
  </w:abstractNum>
  <w:abstractNum w:abstractNumId="21">
    <w:nsid w:val="7A6D8D3C"/>
    <w:multiLevelType w:val="hybridMultilevel"/>
    <w:lvl w:ilvl="0">
      <w:lvlJc w:val="left"/>
      <w:lvlText w:val="%1."/>
      <w:numFmt w:val="decimal"/>
      <w:start w:val="4"/>
    </w:lvl>
  </w:abstractNum>
  <w:abstractNum w:abstractNumId="22">
    <w:nsid w:val="4B588F54"/>
    <w:multiLevelType w:val="hybridMultilevel"/>
    <w:lvl w:ilvl="0">
      <w:lvlJc w:val="left"/>
      <w:lvlText w:val="(%1)"/>
      <w:numFmt w:val="lowerLetter"/>
      <w:start w:val="4"/>
    </w:lvl>
  </w:abstractNum>
  <w:abstractNum w:abstractNumId="23">
    <w:nsid w:val="542289EC"/>
    <w:multiLevelType w:val="hybridMultilevel"/>
    <w:lvl w:ilvl="0">
      <w:lvlJc w:val="left"/>
      <w:lvlText w:val="%1."/>
      <w:numFmt w:val="decimal"/>
      <w:start w:val="5"/>
    </w:lvl>
  </w:abstractNum>
  <w:abstractNum w:abstractNumId="24">
    <w:nsid w:val="6DE91B18"/>
    <w:multiLevelType w:val="hybridMultilevel"/>
    <w:lvl w:ilvl="0">
      <w:lvlJc w:val="left"/>
      <w:lvlText w:val="(%1)"/>
      <w:numFmt w:val="lowerRoman"/>
      <w:start w:val="9"/>
    </w:lvl>
  </w:abstractNum>
  <w:abstractNum w:abstractNumId="25">
    <w:nsid w:val="38437FDB"/>
    <w:multiLevelType w:val="hybridMultilevel"/>
    <w:lvl w:ilvl="0">
      <w:lvlJc w:val="left"/>
      <w:lvlText w:val="%1."/>
      <w:numFmt w:val="decimal"/>
      <w:start w:val="6"/>
    </w:lvl>
  </w:abstractNum>
  <w:abstractNum w:abstractNumId="26">
    <w:nsid w:val="7644A45C"/>
    <w:multiLevelType w:val="hybridMultilevel"/>
    <w:lvl w:ilvl="0">
      <w:lvlJc w:val="left"/>
      <w:lvlText w:val="(%1)"/>
      <w:numFmt w:val="decimal"/>
      <w:start w:val="20"/>
    </w:lvl>
  </w:abstractNum>
  <w:abstractNum w:abstractNumId="27">
    <w:nsid w:val="32FFF902"/>
    <w:multiLevelType w:val="hybridMultilevel"/>
    <w:lvl w:ilvl="0">
      <w:lvlJc w:val="left"/>
      <w:lvlText w:val="%1."/>
      <w:numFmt w:val="decimal"/>
      <w:start w:val="7"/>
    </w:lvl>
  </w:abstractNum>
  <w:abstractNum w:abstractNumId="28">
    <w:nsid w:val="684A481A"/>
    <w:multiLevelType w:val="hybridMultilevel"/>
    <w:lvl w:ilvl="0">
      <w:lvlJc w:val="left"/>
      <w:lvlText w:val="%1."/>
      <w:numFmt w:val="decimal"/>
      <w:start w:val="8"/>
    </w:lvl>
  </w:abstractNum>
  <w:abstractNum w:abstractNumId="29">
    <w:nsid w:val="579478FE"/>
    <w:multiLevelType w:val="hybridMultilevel"/>
    <w:lvl w:ilvl="0">
      <w:lvlJc w:val="left"/>
      <w:lvlText w:val="%1."/>
      <w:numFmt w:val="decimal"/>
      <w:start w:val="9"/>
    </w:lvl>
  </w:abstractNum>
  <w:abstractNum w:abstractNumId="30">
    <w:nsid w:val="749ABB43"/>
    <w:multiLevelType w:val="hybridMultilevel"/>
    <w:lvl w:ilvl="0">
      <w:lvlJc w:val="left"/>
      <w:lvlText w:val="%1."/>
      <w:numFmt w:val="upperLetter"/>
      <w:start w:val="34"/>
    </w:lvl>
    <w:lvl w:ilvl="1">
      <w:lvlJc w:val="left"/>
      <w:lvlText w:val="%2."/>
      <w:numFmt w:val="decimal"/>
      <w:start w:val="1"/>
    </w:lvl>
    <w:lvl w:ilvl="2">
      <w:lvlJc w:val="left"/>
      <w:lvlText w:val="●"/>
      <w:numFmt w:val="bullet"/>
      <w:start w:val="1"/>
    </w:lvl>
    <w:lvl w:ilvl="3">
      <w:lvlJc w:val="left"/>
      <w:lvlText w:val="(%4)"/>
      <w:numFmt w:val="lowerLetter"/>
      <w:start w:val="1"/>
    </w:lvl>
  </w:abstractNum>
  <w:abstractNum w:abstractNumId="31">
    <w:nsid w:val="3DC240FB"/>
    <w:multiLevelType w:val="hybridMultilevel"/>
    <w:lvl w:ilvl="0">
      <w:lvlJc w:val="left"/>
      <w:lvlText w:val="%1"/>
      <w:numFmt w:val="decimal"/>
      <w:start w:val="1"/>
    </w:lvl>
    <w:lvl w:ilvl="1">
      <w:lvlJc w:val="left"/>
      <w:lvlText w:val="(%2)"/>
      <w:numFmt w:val="lowerLetter"/>
      <w:start w:val="2"/>
    </w:lvl>
  </w:abstractNum>
  <w:abstractNum w:abstractNumId="32">
    <w:nsid w:val="1BA026FA"/>
    <w:multiLevelType w:val="hybridMultilevel"/>
    <w:lvl w:ilvl="0">
      <w:lvlJc w:val="left"/>
      <w:lvlText w:val="%1."/>
      <w:numFmt w:val="decimal"/>
      <w:start w:val="2"/>
    </w:lvl>
    <w:lvl w:ilvl="1">
      <w:lvlJc w:val="left"/>
      <w:lvlText w:val="(%2)"/>
      <w:numFmt w:val="lowerLetter"/>
      <w:start w:val="1"/>
    </w:lvl>
  </w:abstractNum>
  <w:abstractNum w:abstractNumId="33">
    <w:nsid w:val="79A1DEAA"/>
    <w:multiLevelType w:val="hybridMultilevel"/>
    <w:lvl w:ilvl="0">
      <w:lvlJc w:val="left"/>
      <w:lvlText w:val="%1."/>
      <w:numFmt w:val="decimal"/>
      <w:start w:val="7"/>
    </w:lvl>
    <w:lvl w:ilvl="1">
      <w:lvlJc w:val="left"/>
      <w:lvlText w:val="(%2)"/>
      <w:numFmt w:val="lowerLetter"/>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36">
    <w:nsid w:val="70C6A529"/>
    <w:multiLevelType w:val="hybridMultilevel"/>
    <w:lvl w:ilvl="0">
      <w:lvlJc w:val="left"/>
      <w:lvlText w:val="%1."/>
      <w:numFmt w:val="decimal"/>
      <w:start w:val="3"/>
    </w:lvl>
    <w:lvl w:ilvl="1">
      <w:lvlJc w:val="left"/>
      <w:lvlText w:val="(%2)"/>
      <w:numFmt w:val="lowerLetter"/>
      <w:start w:val="1"/>
    </w:lvl>
  </w:abstractNum>
  <w:abstractNum w:abstractNumId="37">
    <w:nsid w:val="520EEDD1"/>
    <w:multiLevelType w:val="hybridMultilevel"/>
    <w:lvl w:ilvl="0">
      <w:lvlJc w:val="left"/>
      <w:lvlText w:val="%1."/>
      <w:numFmt w:val="decimal"/>
      <w:start w:val="7"/>
    </w:lvl>
    <w:lvl w:ilvl="1">
      <w:lvlJc w:val="left"/>
      <w:lvlText w:val="(%2)"/>
      <w:numFmt w:val="lowerLetter"/>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10"/>
    </w:lvl>
    <w:lvl w:ilvl="1">
      <w:lvlJc w:val="left"/>
      <w:lvlText w:val="%2"/>
      <w:numFmt w:val="upperLetter"/>
      <w:start w:val="1"/>
    </w:lvl>
  </w:abstractNum>
  <w:abstractNum w:abstractNumId="40">
    <w:nsid w:val="23F9C13C"/>
    <w:multiLevelType w:val="hybridMultilevel"/>
    <w:lvl w:ilvl="0">
      <w:lvlJc w:val="left"/>
      <w:lvlText w:val="(%1)"/>
      <w:numFmt w:val="lowerRoman"/>
      <w:start w:val="1"/>
    </w:lvl>
  </w:abstractNum>
  <w:abstractNum w:abstractNumId="41">
    <w:nsid w:val="649BB77C"/>
    <w:multiLevelType w:val="hybridMultilevel"/>
    <w:lvl w:ilvl="0">
      <w:lvlJc w:val="left"/>
      <w:lvlText w:val="(%1)"/>
      <w:numFmt w:val="lowerLetter"/>
      <w:start w:val="1"/>
    </w:lvl>
    <w:lvl w:ilvl="1">
      <w:lvlJc w:val="left"/>
      <w:lvlText w:val="-"/>
      <w:numFmt w:val="bullet"/>
      <w:start w:val="1"/>
    </w:lvl>
  </w:abstractNum>
  <w:abstractNum w:abstractNumId="42">
    <w:nsid w:val="275AC794"/>
    <w:multiLevelType w:val="hybridMultilevel"/>
    <w:lvl w:ilvl="0">
      <w:lvlJc w:val="left"/>
      <w:lvlText w:val="(%1)"/>
      <w:numFmt w:val="lowerRoman"/>
      <w:start w:val="2"/>
    </w:lvl>
  </w:abstractNum>
  <w:abstractNum w:abstractNumId="43">
    <w:nsid w:val="39386575"/>
    <w:multiLevelType w:val="hybridMultilevel"/>
    <w:lvl w:ilvl="0">
      <w:lvlJc w:val="left"/>
      <w:lvlText w:val="%1."/>
      <w:numFmt w:val="decimal"/>
      <w:start w:val="2"/>
    </w:lvl>
  </w:abstractNum>
  <w:abstractNum w:abstractNumId="44">
    <w:nsid w:val="1CF10FD8"/>
    <w:multiLevelType w:val="hybridMultilevel"/>
    <w:lvl w:ilvl="0">
      <w:lvlJc w:val="left"/>
      <w:lvlText w:val="(%1)"/>
      <w:numFmt w:val="lowerRoman"/>
      <w:start w:val="1"/>
    </w:lvl>
  </w:abstractNum>
  <w:abstractNum w:abstractNumId="45">
    <w:nsid w:val="180115BE"/>
    <w:multiLevelType w:val="hybridMultilevel"/>
    <w:lvl w:ilvl="0">
      <w:lvlJc w:val="left"/>
      <w:lvlText w:val="%1."/>
      <w:numFmt w:val="decimal"/>
      <w:start w:val="3"/>
    </w:lvl>
  </w:abstractNum>
  <w:abstractNum w:abstractNumId="46">
    <w:nsid w:val="235BA861"/>
    <w:multiLevelType w:val="hybridMultilevel"/>
    <w:lvl w:ilvl="0">
      <w:lvlJc w:val="left"/>
      <w:lvlText w:val="%1."/>
      <w:numFmt w:val="decimal"/>
      <w:start w:val="4"/>
    </w:lvl>
  </w:abstractNum>
  <w:abstractNum w:abstractNumId="47">
    <w:nsid w:val="47398C89"/>
    <w:multiLevelType w:val="hybridMultilevel"/>
    <w:lvl w:ilvl="0">
      <w:lvlJc w:val="left"/>
      <w:lvlText w:val="%1."/>
      <w:numFmt w:val="decimal"/>
      <w:start w:val="6"/>
    </w:lvl>
  </w:abstractNum>
  <w:abstractNum w:abstractNumId="48">
    <w:nsid w:val="354FE9F9"/>
    <w:multiLevelType w:val="hybridMultilevel"/>
    <w:lvl w:ilvl="0">
      <w:lvlJc w:val="left"/>
      <w:lvlText w:val="%1."/>
      <w:numFmt w:val="decimal"/>
      <w:start w:val="7"/>
    </w:lvl>
    <w:lvl w:ilvl="1">
      <w:lvlJc w:val="left"/>
      <w:lvlText w:val="-"/>
      <w:numFmt w:val="bullet"/>
      <w:start w:val="1"/>
    </w:lvl>
  </w:abstractNum>
  <w:abstractNum w:abstractNumId="49">
    <w:nsid w:val="15B5AF5C"/>
    <w:multiLevelType w:val="hybridMultilevel"/>
    <w:lvl w:ilvl="0">
      <w:lvlJc w:val="left"/>
      <w:lvlText w:val="%1."/>
      <w:numFmt w:val="decimal"/>
      <w:start w:val="9"/>
    </w:lvl>
  </w:abstractNum>
  <w:abstractNum w:abstractNumId="50">
    <w:nsid w:val="741226BB"/>
    <w:multiLevelType w:val="hybridMultilevel"/>
    <w:lvl w:ilvl="0">
      <w:lvlJc w:val="left"/>
      <w:lvlText w:val="(%1)"/>
      <w:numFmt w:val="lowerRoman"/>
      <w:start w:val="2"/>
    </w:lvl>
    <w:lvl w:ilvl="1">
      <w:lvlJc w:val="left"/>
      <w:lvlText w:val="%2."/>
      <w:numFmt w:val="decimal"/>
      <w:start w:val="10"/>
    </w:lvl>
    <w:lvl w:ilvl="2">
      <w:lvlJc w:val="left"/>
      <w:lvlText w:val="-"/>
      <w:numFmt w:val="bullet"/>
      <w:start w:val="1"/>
    </w:lvl>
  </w:abstractNum>
  <w:abstractNum w:abstractNumId="51">
    <w:nsid w:val="D34B6A8"/>
    <w:multiLevelType w:val="hybridMultilevel"/>
    <w:lvl w:ilvl="0">
      <w:lvlJc w:val="left"/>
      <w:lvlText w:val="%1."/>
      <w:numFmt w:val="decimal"/>
      <w:start w:val="11"/>
    </w:lvl>
  </w:abstractNum>
  <w:abstractNum w:abstractNumId="52">
    <w:nsid w:val="10233C99"/>
    <w:multiLevelType w:val="hybridMultilevel"/>
    <w:lvl w:ilvl="0">
      <w:lvlJc w:val="left"/>
      <w:lvlText w:val="%1"/>
      <w:numFmt w:val="lowerLetter"/>
      <w:start w:val="1"/>
    </w:lvl>
    <w:lvl w:ilvl="1">
      <w:lvlJc w:val="left"/>
      <w:lvlText w:val="(%2)"/>
      <w:numFmt w:val="lowerLetter"/>
      <w:start w:val="9"/>
    </w:lvl>
  </w:abstractNum>
  <w:abstractNum w:abstractNumId="53">
    <w:nsid w:val="3F6AB60F"/>
    <w:multiLevelType w:val="hybridMultilevel"/>
    <w:lvl w:ilvl="0">
      <w:lvlJc w:val="left"/>
      <w:lvlText w:val="(%1)"/>
      <w:numFmt w:val="lowerLetter"/>
      <w:start w:val="1"/>
    </w:lvl>
    <w:lvl w:ilvl="1">
      <w:lvlJc w:val="left"/>
      <w:lvlText w:val="(%2)"/>
      <w:numFmt w:val="lowerLetter"/>
      <w:start w:val="35"/>
    </w:lvl>
  </w:abstractNum>
  <w:abstractNum w:abstractNumId="54">
    <w:nsid w:val="61574095"/>
    <w:multiLevelType w:val="hybridMultilevel"/>
    <w:lvl w:ilvl="0">
      <w:lvlJc w:val="left"/>
      <w:lvlText w:val="%1."/>
      <w:numFmt w:val="decimal"/>
      <w:start w:val="12"/>
    </w:lvl>
    <w:lvl w:ilvl="1">
      <w:lvlJc w:val="left"/>
      <w:lvlText w:val="-"/>
      <w:numFmt w:val="bullet"/>
      <w:start w:val="1"/>
    </w:lvl>
  </w:abstractNum>
  <w:abstractNum w:abstractNumId="55">
    <w:nsid w:val="7E0C57B1"/>
    <w:multiLevelType w:val="hybridMultilevel"/>
    <w:lvl w:ilvl="0">
      <w:lvlJc w:val="left"/>
      <w:lvlText w:val="(%1)"/>
      <w:numFmt w:val="lowerRoman"/>
      <w:start w:val="1"/>
    </w:lvl>
  </w:abstractNum>
  <w:abstractNum w:abstractNumId="56">
    <w:nsid w:val="77AE35EB"/>
    <w:multiLevelType w:val="hybridMultilevel"/>
    <w:lvl w:ilvl="0">
      <w:lvlJc w:val="left"/>
      <w:lvlText w:val="(%1)"/>
      <w:numFmt w:val="lowerRoman"/>
      <w:start w:val="3"/>
    </w:lvl>
  </w:abstractNum>
  <w:abstractNum w:abstractNumId="57">
    <w:nsid w:val="579BE4F1"/>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58">
    <w:nsid w:val="310C50B3"/>
    <w:multiLevelType w:val="hybridMultilevel"/>
    <w:lvl w:ilvl="0">
      <w:lvlJc w:val="left"/>
      <w:lvlText w:val="%1."/>
      <w:numFmt w:val="upperLetter"/>
      <w:start w:val="8"/>
    </w:lvl>
    <w:lvl w:ilvl="1">
      <w:lvlJc w:val="left"/>
      <w:lvlText w:val="%2"/>
      <w:numFmt w:val="lowerRoman"/>
      <w:start w:val="1"/>
    </w:lvl>
    <w:lvl w:ilvl="2">
      <w:lvlJc w:val="left"/>
      <w:lvlText w:val="-"/>
      <w:numFmt w:val="bullet"/>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408"/>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Roman"/>
      <w:start w:val="1"/>
    </w:lvl>
  </w:abstractNum>
  <w:abstractNum w:abstractNumId="65">
    <w:nsid w:val="1381823A"/>
    <w:multiLevelType w:val="hybridMultilevel"/>
    <w:lvl w:ilvl="0">
      <w:lvlJc w:val="left"/>
      <w:lvlText w:val="(%1)"/>
      <w:numFmt w:val="upperLetter"/>
      <w:start w:val="1"/>
    </w:lvl>
    <w:lvl w:ilvl="1">
      <w:lvlJc w:val="left"/>
      <w:lvlText w:val="(%2)"/>
      <w:numFmt w:val="lowerLetter"/>
      <w:start w:val="1"/>
    </w:lvl>
  </w:abstractNum>
  <w:abstractNum w:abstractNumId="66">
    <w:nsid w:val="5DB70AE5"/>
    <w:multiLevelType w:val="hybridMultilevel"/>
    <w:lvl w:ilvl="0">
      <w:lvlJc w:val="left"/>
      <w:lvlText w:val="(%1)"/>
      <w:numFmt w:val="upperLetter"/>
      <w:start w:val="6"/>
    </w:lvl>
  </w:abstractNum>
  <w:abstractNum w:abstractNumId="67">
    <w:nsid w:val="100F8FCA"/>
    <w:multiLevelType w:val="hybridMultilevel"/>
    <w:lvl w:ilvl="0">
      <w:lvlJc w:val="left"/>
      <w:lvlText w:val="(%1)"/>
      <w:numFmt w:val="upperLetter"/>
      <w:start w:val="27"/>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5"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18"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30" Type="http://schemas.openxmlformats.org/officeDocument/2006/relationships/hyperlink" Target="http://www.sec.gov/Archives/edgar/data/1840856/000121390021059752/ea150505ex2-1_archimedes.htm" TargetMode="External"/><Relationship Id="rId31" Type="http://schemas.openxmlformats.org/officeDocument/2006/relationships/hyperlink" Target="http://www.sec.gov/Archives/edgar/data/1840856/000121390021059752/ea150505ex10-1_archimedes.htm" TargetMode="External"/><Relationship Id="rId32" Type="http://schemas.openxmlformats.org/officeDocument/2006/relationships/hyperlink" Target="http://www.sec.gov/Archives/edgar/data/1840856/000121390021059752/ea150505ex10-2_archimedes.htm" TargetMode="External"/><Relationship Id="rId33" Type="http://schemas.openxmlformats.org/officeDocument/2006/relationships/hyperlink" Target="http://www.sec.gov/Archives/edgar/data/1840856/000121390021059752/ea150505ex10-3_archimedes.htm" TargetMode="External"/><Relationship Id="rId34" Type="http://schemas.openxmlformats.org/officeDocument/2006/relationships/hyperlink" Target="http://www.sec.gov/Archives/edgar/data/1840856/000121390021059752/ea150505ex10-4_archimedes.htm" TargetMode="External"/><Relationship Id="rId35" Type="http://schemas.openxmlformats.org/officeDocument/2006/relationships/hyperlink" Target="http://www.sec.gov/Archives/edgar/data/1840856/000121390021059752/ea150505ex10-5_archimedes.htm" TargetMode="External"/><Relationship Id="rId36" Type="http://schemas.openxmlformats.org/officeDocument/2006/relationships/hyperlink" Target="http://www.sec.gov/Archives/edgar/data/1840856/000121390022018967/f424b30422_archimedes.htm#T601" TargetMode="External"/><Relationship Id="rId37" Type="http://schemas.openxmlformats.org/officeDocument/2006/relationships/hyperlink" Target="http://www.sec.gov/Archives/edgar/data/1840856/000121390022018967/f424b30422_archimedes.htm#T6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2022-05-02T17:15:02Z</dcterms:created>
  <dcterms:modified xsi:type="dcterms:W3CDTF">2022-05-02T17:15:02Z</dcterms:modified>
</cp:coreProperties>
</file>