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24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20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No. 001-40193</w:t>
      </w:r>
    </w:p>
    <w:tbl>
      <w:tblPr>
        <w:tblW w:w="4290" w:type="dxa"/>
        <w:jc w:val="left"/>
        <w:tblInd w:w="0" w:type="dxa"/>
        <w:tblLayout w:type="fixed"/>
        <w:tblCellMar>
          <w:top w:w="28" w:type="dxa"/>
          <w:left w:w="28" w:type="dxa"/>
          <w:bottom w:w="28" w:type="dxa"/>
          <w:right w:w="28" w:type="dxa"/>
        </w:tblCellMar>
      </w:tblPr>
      <w:tblGrid>
        <w:gridCol w:w="1374"/>
        <w:gridCol w:w="1207"/>
        <w:gridCol w:w="1709"/>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SOUNDHOUND AI,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4690" w:type="dxa"/>
        <w:jc w:val="left"/>
        <w:tblInd w:w="0" w:type="dxa"/>
        <w:tblLayout w:type="fixed"/>
        <w:tblCellMar>
          <w:top w:w="28" w:type="dxa"/>
          <w:left w:w="28" w:type="dxa"/>
          <w:bottom w:w="28" w:type="dxa"/>
          <w:right w:w="28" w:type="dxa"/>
        </w:tblCellMar>
      </w:tblPr>
      <w:tblGrid>
        <w:gridCol w:w="948"/>
        <w:gridCol w:w="833"/>
        <w:gridCol w:w="843"/>
        <w:gridCol w:w="109"/>
        <w:gridCol w:w="109"/>
        <w:gridCol w:w="109"/>
        <w:gridCol w:w="507"/>
        <w:gridCol w:w="507"/>
        <w:gridCol w:w="725"/>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86-1286799</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xml:space="preserve"> Identification No.) </w:t>
            </w:r>
          </w:p>
        </w:tc>
      </w:tr>
    </w:tbl>
    <w:tbl>
      <w:tblPr>
        <w:tblW w:w="4274" w:type="dxa"/>
        <w:jc w:val="left"/>
        <w:tblInd w:w="0" w:type="dxa"/>
        <w:tblLayout w:type="fixed"/>
        <w:tblCellMar>
          <w:top w:w="28" w:type="dxa"/>
          <w:left w:w="28" w:type="dxa"/>
          <w:bottom w:w="28" w:type="dxa"/>
          <w:right w:w="28" w:type="dxa"/>
        </w:tblCellMar>
      </w:tblPr>
      <w:tblGrid>
        <w:gridCol w:w="1368"/>
        <w:gridCol w:w="1198"/>
        <w:gridCol w:w="1708"/>
      </w:tblGrid>
      <w:tr>
        <w:trPr/>
        <w:tc>
          <w:tcPr>
            <w:tcW w:w="13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5400 Betsy Ross Drive, Santa Clara, CA 95054</w:t>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(408) 441-3200</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6645" w:type="dxa"/>
        <w:jc w:val="left"/>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9"/>
        <w:gridCol w:w="1327"/>
        <w:gridCol w:w="1342"/>
        <w:gridCol w:w="109"/>
        <w:gridCol w:w="109"/>
        <w:gridCol w:w="109"/>
        <w:gridCol w:w="549"/>
        <w:gridCol w:w="549"/>
        <w:gridCol w:w="551"/>
        <w:gridCol w:w="109"/>
        <w:gridCol w:w="109"/>
        <w:gridCol w:w="109"/>
        <w:gridCol w:w="1078"/>
        <w:gridCol w:w="1078"/>
        <w:gridCol w:w="1538"/>
      </w:tblGrid>
      <w:tr>
        <w:trPr/>
        <w:tc>
          <w:tcPr>
            <w:tcW w:w="153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7, 2025, there were 375,150,890 shares of the Company’s Class A Common Stock, $0.0001 par value per share, issued and outstanding, and 32,535,408 shares of the Company’s Class B Common Stock, $0.0001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240" w:after="283"/>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70"/>
        <w:gridCol w:w="414"/>
        <w:gridCol w:w="414"/>
        <w:gridCol w:w="2908"/>
        <w:gridCol w:w="2837"/>
        <w:gridCol w:w="2786"/>
        <w:gridCol w:w="109"/>
        <w:gridCol w:w="109"/>
        <w:gridCol w:w="158"/>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
              <w:r>
                <w:rPr>
                  <w:rStyle w:val="InternetLink"/>
                  <w:rFonts w:ascii="Times New Roman;serif" w:hAnsi="Times New Roman;serif"/>
                  <w:b w:val="false"/>
                  <w:color w:val="0000FF"/>
                  <w:sz w:val="20"/>
                  <w:u w:val="single"/>
                </w:rPr>
                <w:t>PART I. FINANCIAL INFORMATION</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3">
              <w:r>
                <w:rPr>
                  <w:rStyle w:val="InternetLink"/>
                  <w:rFonts w:ascii="Times New Roman;serif" w:hAnsi="Times New Roman;serif"/>
                  <w:b w:val="false"/>
                  <w:strike w:val="false"/>
                  <w:dstrike w:val="false"/>
                  <w:color w:val="000000"/>
                  <w:sz w:val="20"/>
                  <w:u w:val="none"/>
                  <w:effect w:val="none"/>
                </w:rPr>
                <w:t>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6">
              <w:r>
                <w:rPr>
                  <w:rStyle w:val="InternetLink"/>
                  <w:rFonts w:ascii="Times New Roman;serif" w:hAnsi="Times New Roman;serif"/>
                  <w:b w:val="false"/>
                  <w:strike w:val="false"/>
                  <w:dstrike w:val="false"/>
                  <w:color w:val="000000"/>
                  <w:sz w:val="20"/>
                  <w:u w:val="none"/>
                  <w:effect w:val="none"/>
                </w:rPr>
                <w:t>Item 1.</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6">
              <w:r>
                <w:rPr>
                  <w:rStyle w:val="InternetLink"/>
                  <w:rFonts w:ascii="Times New Roman;serif" w:hAnsi="Times New Roman;serif"/>
                  <w:b w:val="false"/>
                  <w:color w:val="0000FF"/>
                  <w:sz w:val="20"/>
                  <w:u w:val="single"/>
                </w:rPr>
                <w:t>Condensed Consolidated Financial Statements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6">
              <w:r>
                <w:rPr>
                  <w:rStyle w:val="InternetLink"/>
                  <w:rFonts w:ascii="Times New Roman;serif" w:hAnsi="Times New Roman;serif"/>
                  <w:b w:val="false"/>
                  <w:strike w:val="false"/>
                  <w:dstrike w:val="false"/>
                  <w:color w:val="000000"/>
                  <w:sz w:val="20"/>
                  <w:u w:val="none"/>
                  <w:effect w:val="none"/>
                </w:rPr>
                <w:t>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88861789234e70963f9707679f21cc_19">
              <w:r>
                <w:rPr>
                  <w:rStyle w:val="InternetLink"/>
                  <w:rFonts w:ascii="Times New Roman;serif" w:hAnsi="Times New Roman;serif"/>
                  <w:b w:val="false"/>
                  <w:color w:val="000080"/>
                  <w:sz w:val="20"/>
                  <w:u w:val="single"/>
                </w:rPr>
                <w:t xml:space="preserve">Condensed Consolidated Balance Sheets as of </w:t>
              </w:r>
            </w:hyperlink>
            <w:hyperlink w:anchor="i2888861789234e70963f9707679f21cc_19">
              <w:r>
                <w:rPr>
                  <w:rStyle w:val="InternetLink"/>
                  <w:rFonts w:ascii="Times New Roman;serif" w:hAnsi="Times New Roman;serif"/>
                  <w:b w:val="false"/>
                  <w:color w:val="000080"/>
                  <w:sz w:val="20"/>
                  <w:u w:val="single"/>
                </w:rPr>
                <w:t>June</w:t>
              </w:r>
            </w:hyperlink>
            <w:hyperlink w:anchor="i2888861789234e70963f9707679f21cc_19">
              <w:r>
                <w:rPr>
                  <w:rStyle w:val="InternetLink"/>
                  <w:rFonts w:ascii="Times New Roman;serif" w:hAnsi="Times New Roman;serif"/>
                  <w:b w:val="false"/>
                  <w:color w:val="000080"/>
                  <w:sz w:val="20"/>
                  <w:u w:val="single"/>
                </w:rPr>
                <w:t xml:space="preserve"> 3</w:t>
              </w:r>
            </w:hyperlink>
            <w:hyperlink w:anchor="i2888861789234e70963f9707679f21cc_19">
              <w:r>
                <w:rPr>
                  <w:rStyle w:val="InternetLink"/>
                  <w:rFonts w:ascii="Times New Roman;serif" w:hAnsi="Times New Roman;serif"/>
                  <w:b w:val="false"/>
                  <w:color w:val="000080"/>
                  <w:sz w:val="20"/>
                  <w:u w:val="single"/>
                </w:rPr>
                <w:t>0</w:t>
              </w:r>
            </w:hyperlink>
            <w:hyperlink w:anchor="i2888861789234e70963f9707679f21cc_19">
              <w:r>
                <w:rPr>
                  <w:rStyle w:val="InternetLink"/>
                  <w:rFonts w:ascii="Times New Roman;serif" w:hAnsi="Times New Roman;serif"/>
                  <w:b w:val="false"/>
                  <w:color w:val="000080"/>
                  <w:sz w:val="20"/>
                  <w:u w:val="single"/>
                </w:rPr>
                <w:t>, 2025 (unaudited) and December 31, 2024</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9">
              <w:r>
                <w:rPr>
                  <w:rStyle w:val="InternetLink"/>
                  <w:rFonts w:ascii="Times New Roman;serif" w:hAnsi="Times New Roman;serif"/>
                  <w:b w:val="false"/>
                  <w:strike w:val="false"/>
                  <w:dstrike w:val="false"/>
                  <w:color w:val="000000"/>
                  <w:sz w:val="20"/>
                  <w:u w:val="none"/>
                  <w:effect w:val="none"/>
                </w:rPr>
                <w:t>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88861789234e70963f9707679f21cc_22">
              <w:r>
                <w:rPr>
                  <w:rStyle w:val="InternetLink"/>
                  <w:rFonts w:ascii="Times New Roman;serif" w:hAnsi="Times New Roman;serif"/>
                  <w:b w:val="false"/>
                  <w:color w:val="000080"/>
                  <w:sz w:val="20"/>
                  <w:u w:val="single"/>
                </w:rPr>
                <w:t xml:space="preserve">Condensed Consolidated Statements of Operations and Comprehensive Income (Loss) for the three </w:t>
              </w:r>
            </w:hyperlink>
            <w:hyperlink w:anchor="i2888861789234e70963f9707679f21cc_22">
              <w:r>
                <w:rPr>
                  <w:rStyle w:val="InternetLink"/>
                  <w:rFonts w:ascii="Times New Roman;serif" w:hAnsi="Times New Roman;serif"/>
                  <w:b w:val="false"/>
                  <w:color w:val="000080"/>
                  <w:sz w:val="20"/>
                  <w:u w:val="single"/>
                </w:rPr>
                <w:t>and si</w:t>
              </w:r>
            </w:hyperlink>
            <w:hyperlink w:anchor="i2888861789234e70963f9707679f21cc_22">
              <w:r>
                <w:rPr>
                  <w:rStyle w:val="InternetLink"/>
                  <w:rFonts w:ascii="Times New Roman;serif" w:hAnsi="Times New Roman;serif"/>
                  <w:b w:val="false"/>
                  <w:color w:val="000080"/>
                  <w:sz w:val="20"/>
                  <w:u w:val="single"/>
                </w:rPr>
                <w:t xml:space="preserve">x </w:t>
              </w:r>
            </w:hyperlink>
            <w:hyperlink w:anchor="i2888861789234e70963f9707679f21cc_22">
              <w:r>
                <w:rPr>
                  <w:rStyle w:val="InternetLink"/>
                  <w:rFonts w:ascii="Times New Roman;serif" w:hAnsi="Times New Roman;serif"/>
                  <w:b w:val="false"/>
                  <w:color w:val="000080"/>
                  <w:sz w:val="20"/>
                  <w:u w:val="single"/>
                </w:rPr>
                <w:t xml:space="preserve">months ended </w:t>
              </w:r>
            </w:hyperlink>
            <w:hyperlink w:anchor="i2888861789234e70963f9707679f21cc_22">
              <w:r>
                <w:rPr>
                  <w:rStyle w:val="InternetLink"/>
                  <w:rFonts w:ascii="Times New Roman;serif" w:hAnsi="Times New Roman;serif"/>
                  <w:b w:val="false"/>
                  <w:color w:val="000080"/>
                  <w:sz w:val="20"/>
                  <w:u w:val="single"/>
                </w:rPr>
                <w:t>June</w:t>
              </w:r>
            </w:hyperlink>
            <w:hyperlink w:anchor="i2888861789234e70963f9707679f21cc_22">
              <w:r>
                <w:rPr>
                  <w:rStyle w:val="InternetLink"/>
                  <w:rFonts w:ascii="Times New Roman;serif" w:hAnsi="Times New Roman;serif"/>
                  <w:b w:val="false"/>
                  <w:color w:val="000080"/>
                  <w:sz w:val="20"/>
                  <w:u w:val="single"/>
                </w:rPr>
                <w:t xml:space="preserve"> 3</w:t>
              </w:r>
            </w:hyperlink>
            <w:hyperlink w:anchor="i2888861789234e70963f9707679f21cc_22">
              <w:r>
                <w:rPr>
                  <w:rStyle w:val="InternetLink"/>
                  <w:rFonts w:ascii="Times New Roman;serif" w:hAnsi="Times New Roman;serif"/>
                  <w:b w:val="false"/>
                  <w:color w:val="000080"/>
                  <w:sz w:val="20"/>
                  <w:u w:val="single"/>
                </w:rPr>
                <w:t>0</w:t>
              </w:r>
            </w:hyperlink>
            <w:hyperlink w:anchor="i2888861789234e70963f9707679f21cc_22">
              <w:r>
                <w:rPr>
                  <w:rStyle w:val="InternetLink"/>
                  <w:rFonts w:ascii="Times New Roman;serif" w:hAnsi="Times New Roman;serif"/>
                  <w:b w:val="false"/>
                  <w:color w:val="000080"/>
                  <w:sz w:val="20"/>
                  <w:u w:val="single"/>
                </w:rPr>
                <w:t>, 2025 and 2024 (unaudited)</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22">
              <w:r>
                <w:rPr>
                  <w:rStyle w:val="InternetLink"/>
                  <w:rFonts w:ascii="Times New Roman;serif" w:hAnsi="Times New Roman;serif"/>
                  <w:b w:val="false"/>
                  <w:strike w:val="false"/>
                  <w:dstrike w:val="false"/>
                  <w:color w:val="000000"/>
                  <w:sz w:val="20"/>
                  <w:u w:val="none"/>
                  <w:effect w:val="none"/>
                </w:rPr>
                <w:t>2</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88861789234e70963f9707679f21cc_25">
              <w:r>
                <w:rPr>
                  <w:rStyle w:val="InternetLink"/>
                  <w:rFonts w:ascii="Times New Roman;serif" w:hAnsi="Times New Roman;serif"/>
                  <w:b w:val="false"/>
                  <w:color w:val="000080"/>
                  <w:sz w:val="20"/>
                  <w:u w:val="single"/>
                </w:rPr>
                <w:t>Condensed Consolidated Statements of Stockholders’ Equity (Deficit) for the three</w:t>
              </w:r>
            </w:hyperlink>
            <w:hyperlink w:anchor="i2888861789234e70963f9707679f21cc_25">
              <w:r>
                <w:rPr>
                  <w:rStyle w:val="InternetLink"/>
                  <w:rFonts w:ascii="Times New Roman;serif" w:hAnsi="Times New Roman;serif"/>
                  <w:b w:val="false"/>
                  <w:color w:val="000080"/>
                  <w:sz w:val="20"/>
                  <w:u w:val="single"/>
                </w:rPr>
                <w:t xml:space="preserve"> and si</w:t>
              </w:r>
            </w:hyperlink>
            <w:hyperlink w:anchor="i2888861789234e70963f9707679f21cc_25">
              <w:r>
                <w:rPr>
                  <w:rStyle w:val="InternetLink"/>
                  <w:rFonts w:ascii="Times New Roman;serif" w:hAnsi="Times New Roman;serif"/>
                  <w:b w:val="false"/>
                  <w:color w:val="000080"/>
                  <w:sz w:val="20"/>
                  <w:u w:val="single"/>
                </w:rPr>
                <w:t>x</w:t>
              </w:r>
            </w:hyperlink>
            <w:hyperlink w:anchor="i2888861789234e70963f9707679f21cc_25">
              <w:r>
                <w:rPr>
                  <w:rStyle w:val="InternetLink"/>
                  <w:rFonts w:ascii="Times New Roman;serif" w:hAnsi="Times New Roman;serif"/>
                  <w:b w:val="false"/>
                  <w:color w:val="000080"/>
                  <w:sz w:val="20"/>
                  <w:u w:val="single"/>
                </w:rPr>
                <w:t xml:space="preserve"> months ended </w:t>
              </w:r>
            </w:hyperlink>
            <w:hyperlink w:anchor="i2888861789234e70963f9707679f21cc_25">
              <w:r>
                <w:rPr>
                  <w:rStyle w:val="InternetLink"/>
                  <w:rFonts w:ascii="Times New Roman;serif" w:hAnsi="Times New Roman;serif"/>
                  <w:b w:val="false"/>
                  <w:color w:val="000080"/>
                  <w:sz w:val="20"/>
                  <w:u w:val="single"/>
                </w:rPr>
                <w:t>June</w:t>
              </w:r>
            </w:hyperlink>
            <w:hyperlink w:anchor="i2888861789234e70963f9707679f21cc_25">
              <w:r>
                <w:rPr>
                  <w:rStyle w:val="InternetLink"/>
                  <w:rFonts w:ascii="Times New Roman;serif" w:hAnsi="Times New Roman;serif"/>
                  <w:b w:val="false"/>
                  <w:color w:val="000080"/>
                  <w:sz w:val="20"/>
                  <w:u w:val="single"/>
                </w:rPr>
                <w:t xml:space="preserve"> 3</w:t>
              </w:r>
            </w:hyperlink>
            <w:hyperlink w:anchor="i2888861789234e70963f9707679f21cc_25">
              <w:r>
                <w:rPr>
                  <w:rStyle w:val="InternetLink"/>
                  <w:rFonts w:ascii="Times New Roman;serif" w:hAnsi="Times New Roman;serif"/>
                  <w:b w:val="false"/>
                  <w:color w:val="000080"/>
                  <w:sz w:val="20"/>
                  <w:u w:val="single"/>
                </w:rPr>
                <w:t>0</w:t>
              </w:r>
            </w:hyperlink>
            <w:hyperlink w:anchor="i2888861789234e70963f9707679f21cc_25">
              <w:r>
                <w:rPr>
                  <w:rStyle w:val="InternetLink"/>
                  <w:rFonts w:ascii="Times New Roman;serif" w:hAnsi="Times New Roman;serif"/>
                  <w:b w:val="false"/>
                  <w:color w:val="000080"/>
                  <w:sz w:val="20"/>
                  <w:u w:val="single"/>
                </w:rPr>
                <w:t>, 2025 and 2024 (unaudited)</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25">
              <w:r>
                <w:rPr>
                  <w:rStyle w:val="InternetLink"/>
                  <w:rFonts w:ascii="Times New Roman;serif" w:hAnsi="Times New Roman;serif"/>
                  <w:b w:val="false"/>
                  <w:strike w:val="false"/>
                  <w:dstrike w:val="false"/>
                  <w:color w:val="000000"/>
                  <w:sz w:val="20"/>
                  <w:u w:val="none"/>
                  <w:effect w:val="none"/>
                </w:rPr>
                <w:t>3</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888861789234e70963f9707679f21cc_28">
              <w:r>
                <w:rPr>
                  <w:rStyle w:val="InternetLink"/>
                  <w:rFonts w:ascii="Times New Roman;serif" w:hAnsi="Times New Roman;serif"/>
                  <w:b w:val="false"/>
                  <w:color w:val="000080"/>
                  <w:sz w:val="20"/>
                  <w:u w:val="single"/>
                </w:rPr>
                <w:t xml:space="preserve">Condensed Consolidated Statements of Cash Flows for the </w:t>
              </w:r>
            </w:hyperlink>
            <w:hyperlink w:anchor="i2888861789234e70963f9707679f21cc_28">
              <w:r>
                <w:rPr>
                  <w:rStyle w:val="InternetLink"/>
                  <w:rFonts w:ascii="Times New Roman;serif" w:hAnsi="Times New Roman;serif"/>
                  <w:b w:val="false"/>
                  <w:color w:val="000080"/>
                  <w:sz w:val="20"/>
                  <w:u w:val="single"/>
                </w:rPr>
                <w:t>six</w:t>
              </w:r>
            </w:hyperlink>
            <w:hyperlink w:anchor="i2888861789234e70963f9707679f21cc_28">
              <w:r>
                <w:rPr>
                  <w:rStyle w:val="InternetLink"/>
                  <w:rFonts w:ascii="Times New Roman;serif" w:hAnsi="Times New Roman;serif"/>
                  <w:b w:val="false"/>
                  <w:color w:val="000080"/>
                  <w:sz w:val="20"/>
                  <w:u w:val="single"/>
                </w:rPr>
                <w:t xml:space="preserve"> months ended </w:t>
              </w:r>
            </w:hyperlink>
            <w:hyperlink w:anchor="i2888861789234e70963f9707679f21cc_28">
              <w:r>
                <w:rPr>
                  <w:rStyle w:val="InternetLink"/>
                  <w:rFonts w:ascii="Times New Roman;serif" w:hAnsi="Times New Roman;serif"/>
                  <w:b w:val="false"/>
                  <w:color w:val="000080"/>
                  <w:sz w:val="20"/>
                  <w:u w:val="single"/>
                </w:rPr>
                <w:t>June</w:t>
              </w:r>
            </w:hyperlink>
            <w:hyperlink w:anchor="i2888861789234e70963f9707679f21cc_28">
              <w:r>
                <w:rPr>
                  <w:rStyle w:val="InternetLink"/>
                  <w:rFonts w:ascii="Times New Roman;serif" w:hAnsi="Times New Roman;serif"/>
                  <w:b w:val="false"/>
                  <w:color w:val="000080"/>
                  <w:sz w:val="20"/>
                  <w:u w:val="single"/>
                </w:rPr>
                <w:t xml:space="preserve"> 3</w:t>
              </w:r>
            </w:hyperlink>
            <w:hyperlink w:anchor="i2888861789234e70963f9707679f21cc_28">
              <w:r>
                <w:rPr>
                  <w:rStyle w:val="InternetLink"/>
                  <w:rFonts w:ascii="Times New Roman;serif" w:hAnsi="Times New Roman;serif"/>
                  <w:b w:val="false"/>
                  <w:color w:val="000080"/>
                  <w:sz w:val="20"/>
                  <w:u w:val="single"/>
                </w:rPr>
                <w:t>0</w:t>
              </w:r>
            </w:hyperlink>
            <w:hyperlink w:anchor="i2888861789234e70963f9707679f21cc_28">
              <w:r>
                <w:rPr>
                  <w:rStyle w:val="InternetLink"/>
                  <w:rFonts w:ascii="Times New Roman;serif" w:hAnsi="Times New Roman;serif"/>
                  <w:b w:val="false"/>
                  <w:color w:val="000080"/>
                  <w:sz w:val="20"/>
                  <w:u w:val="single"/>
                </w:rPr>
                <w:t>, 2025 and 2024 (unaudited)</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28">
              <w:r>
                <w:rPr>
                  <w:rStyle w:val="InternetLink"/>
                  <w:rFonts w:ascii="Times New Roman;serif" w:hAnsi="Times New Roman;serif"/>
                  <w:b w:val="false"/>
                  <w:strike w:val="false"/>
                  <w:dstrike w:val="false"/>
                  <w:color w:val="000000"/>
                  <w:sz w:val="20"/>
                  <w:u w:val="none"/>
                  <w:effect w:val="none"/>
                </w:rPr>
                <w:t>5</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31">
              <w:r>
                <w:rPr>
                  <w:rStyle w:val="InternetLink"/>
                  <w:rFonts w:ascii="Times New Roman;serif" w:hAnsi="Times New Roman;serif"/>
                  <w:b w:val="false"/>
                  <w:color w:val="0000FF"/>
                  <w:sz w:val="20"/>
                  <w:u w:val="single"/>
                </w:rPr>
                <w:t>Notes to Condensed Consolidated Financial Statements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31">
              <w:r>
                <w:rPr>
                  <w:rStyle w:val="InternetLink"/>
                  <w:rFonts w:ascii="Times New Roman;serif" w:hAnsi="Times New Roman;serif"/>
                  <w:b w:val="false"/>
                  <w:strike w:val="false"/>
                  <w:dstrike w:val="false"/>
                  <w:color w:val="000000"/>
                  <w:sz w:val="20"/>
                  <w:u w:val="none"/>
                  <w:effect w:val="none"/>
                </w:rPr>
                <w:t>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97">
              <w:r>
                <w:rPr>
                  <w:rStyle w:val="InternetLink"/>
                  <w:rFonts w:ascii="Times New Roman;serif" w:hAnsi="Times New Roman;serif"/>
                  <w:b w:val="false"/>
                  <w:strike w:val="false"/>
                  <w:dstrike w:val="false"/>
                  <w:color w:val="000000"/>
                  <w:sz w:val="20"/>
                  <w:u w:val="none"/>
                  <w:effect w:val="none"/>
                </w:rPr>
                <w:t>Item 2.</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97">
              <w:r>
                <w:rPr>
                  <w:rStyle w:val="InternetLink"/>
                  <w:rFonts w:ascii="Times New Roman;serif" w:hAnsi="Times New Roman;serif"/>
                  <w:b w:val="false"/>
                  <w:strike w:val="false"/>
                  <w:dstrike w:val="false"/>
                  <w:color w:val="000000"/>
                  <w:sz w:val="20"/>
                  <w:u w:val="none"/>
                  <w:effect w:val="none"/>
                </w:rPr>
                <w:t>40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27">
              <w:r>
                <w:rPr>
                  <w:rStyle w:val="InternetLink"/>
                  <w:rFonts w:ascii="Times New Roman;serif" w:hAnsi="Times New Roman;serif"/>
                  <w:b w:val="false"/>
                  <w:strike w:val="false"/>
                  <w:dstrike w:val="false"/>
                  <w:color w:val="000000"/>
                  <w:sz w:val="20"/>
                  <w:u w:val="none"/>
                  <w:effect w:val="none"/>
                </w:rPr>
                <w:t>Item 3.</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27">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27">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0">
              <w:r>
                <w:rPr>
                  <w:rStyle w:val="InternetLink"/>
                  <w:rFonts w:ascii="Times New Roman;serif" w:hAnsi="Times New Roman;serif"/>
                  <w:b w:val="false"/>
                  <w:strike w:val="false"/>
                  <w:dstrike w:val="false"/>
                  <w:color w:val="000000"/>
                  <w:sz w:val="20"/>
                  <w:u w:val="none"/>
                  <w:effect w:val="none"/>
                </w:rPr>
                <w:t>Item 4.</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0">
              <w:r>
                <w:rPr>
                  <w:rStyle w:val="InternetLink"/>
                  <w:rFonts w:ascii="Times New Roman;serif" w:hAnsi="Times New Roman;serif"/>
                  <w:b w:val="false"/>
                  <w:color w:val="0000FF"/>
                  <w:sz w:val="20"/>
                  <w:u w:val="single"/>
                </w:rPr>
                <w:t>Controls and Procedures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30">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3">
              <w:r>
                <w:rPr>
                  <w:rStyle w:val="InternetLink"/>
                  <w:rFonts w:ascii="Times New Roman;serif" w:hAnsi="Times New Roman;serif"/>
                  <w:b w:val="false"/>
                  <w:color w:val="0000FF"/>
                  <w:sz w:val="20"/>
                  <w:u w:val="single"/>
                </w:rPr>
                <w:t>PART II. OTHER INFORMATION</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33">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6">
              <w:r>
                <w:rPr>
                  <w:rStyle w:val="InternetLink"/>
                  <w:rFonts w:ascii="Times New Roman;serif" w:hAnsi="Times New Roman;serif"/>
                  <w:b w:val="false"/>
                  <w:strike w:val="false"/>
                  <w:dstrike w:val="false"/>
                  <w:color w:val="000000"/>
                  <w:sz w:val="20"/>
                  <w:u w:val="none"/>
                  <w:effect w:val="none"/>
                </w:rPr>
                <w:t>Item 1.</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6">
              <w:r>
                <w:rPr>
                  <w:rStyle w:val="InternetLink"/>
                  <w:rFonts w:ascii="Times New Roman;serif" w:hAnsi="Times New Roman;serif"/>
                  <w:b w:val="false"/>
                  <w:color w:val="0000FF"/>
                  <w:sz w:val="20"/>
                  <w:u w:val="single"/>
                </w:rPr>
                <w:t>Legal Proceedings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36">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9">
              <w:r>
                <w:rPr>
                  <w:rStyle w:val="InternetLink"/>
                  <w:rFonts w:ascii="Times New Roman;serif" w:hAnsi="Times New Roman;serif"/>
                  <w:b w:val="false"/>
                  <w:strike w:val="false"/>
                  <w:dstrike w:val="false"/>
                  <w:color w:val="000000"/>
                  <w:sz w:val="20"/>
                  <w:u w:val="none"/>
                  <w:effect w:val="none"/>
                </w:rPr>
                <w:t>Item 1A.</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39">
              <w:r>
                <w:rPr>
                  <w:rStyle w:val="InternetLink"/>
                  <w:rFonts w:ascii="Times New Roman;serif" w:hAnsi="Times New Roman;serif"/>
                  <w:b w:val="false"/>
                  <w:color w:val="0000FF"/>
                  <w:sz w:val="20"/>
                  <w:u w:val="single"/>
                </w:rPr>
                <w:t>Risk Factors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39">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42">
              <w:r>
                <w:rPr>
                  <w:rStyle w:val="InternetLink"/>
                  <w:rFonts w:ascii="Times New Roman;serif" w:hAnsi="Times New Roman;serif"/>
                  <w:b w:val="false"/>
                  <w:strike w:val="false"/>
                  <w:dstrike w:val="false"/>
                  <w:color w:val="000000"/>
                  <w:sz w:val="20"/>
                  <w:u w:val="none"/>
                  <w:effect w:val="none"/>
                </w:rPr>
                <w:t>Item 2.</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42">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42">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45">
              <w:r>
                <w:rPr>
                  <w:rStyle w:val="InternetLink"/>
                  <w:rFonts w:ascii="Times New Roman;serif" w:hAnsi="Times New Roman;serif"/>
                  <w:b w:val="false"/>
                  <w:strike w:val="false"/>
                  <w:dstrike w:val="false"/>
                  <w:color w:val="000000"/>
                  <w:sz w:val="20"/>
                  <w:u w:val="none"/>
                  <w:effect w:val="none"/>
                </w:rPr>
                <w:t>Item 3.</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45">
              <w:r>
                <w:rPr>
                  <w:rStyle w:val="InternetLink"/>
                  <w:rFonts w:ascii="Times New Roman;serif" w:hAnsi="Times New Roman;serif"/>
                  <w:b w:val="false"/>
                  <w:color w:val="0000FF"/>
                  <w:sz w:val="20"/>
                  <w:u w:val="single"/>
                </w:rPr>
                <w:t>Defaults Upon Senior Securities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45">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48">
              <w:r>
                <w:rPr>
                  <w:rStyle w:val="InternetLink"/>
                  <w:rFonts w:ascii="Times New Roman;serif" w:hAnsi="Times New Roman;serif"/>
                  <w:b w:val="false"/>
                  <w:strike w:val="false"/>
                  <w:dstrike w:val="false"/>
                  <w:color w:val="000000"/>
                  <w:sz w:val="20"/>
                  <w:u w:val="none"/>
                  <w:effect w:val="none"/>
                </w:rPr>
                <w:t>Item 4.</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48">
              <w:r>
                <w:rPr>
                  <w:rStyle w:val="InternetLink"/>
                  <w:rFonts w:ascii="Times New Roman;serif" w:hAnsi="Times New Roman;serif"/>
                  <w:b w:val="false"/>
                  <w:color w:val="0000FF"/>
                  <w:sz w:val="20"/>
                  <w:u w:val="single"/>
                </w:rPr>
                <w:t>Mine Safety Disclosures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48">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51">
              <w:r>
                <w:rPr>
                  <w:rStyle w:val="InternetLink"/>
                  <w:rFonts w:ascii="Times New Roman;serif" w:hAnsi="Times New Roman;serif"/>
                  <w:b w:val="false"/>
                  <w:strike w:val="false"/>
                  <w:dstrike w:val="false"/>
                  <w:color w:val="000000"/>
                  <w:sz w:val="20"/>
                  <w:u w:val="none"/>
                  <w:effect w:val="none"/>
                </w:rPr>
                <w:t>Item 5.</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51">
              <w:r>
                <w:rPr>
                  <w:rStyle w:val="InternetLink"/>
                  <w:rFonts w:ascii="Times New Roman;serif" w:hAnsi="Times New Roman;serif"/>
                  <w:b w:val="false"/>
                  <w:color w:val="0000FF"/>
                  <w:sz w:val="20"/>
                  <w:u w:val="single"/>
                </w:rPr>
                <w:t>Other Information</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51">
              <w:r>
                <w:rPr>
                  <w:rStyle w:val="InternetLink"/>
                  <w:rFonts w:ascii="Times New Roman;serif" w:hAnsi="Times New Roman;serif"/>
                  <w:b w:val="false"/>
                  <w:strike w:val="false"/>
                  <w:dstrike w:val="false"/>
                  <w:color w:val="000000"/>
                  <w:sz w:val="20"/>
                  <w:u w:val="none"/>
                  <w:effect w:val="none"/>
                </w:rPr>
                <w:t>60</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57">
              <w:r>
                <w:rPr>
                  <w:rStyle w:val="InternetLink"/>
                  <w:rFonts w:ascii="Times New Roman;serif" w:hAnsi="Times New Roman;serif"/>
                  <w:b w:val="false"/>
                  <w:strike w:val="false"/>
                  <w:dstrike w:val="false"/>
                  <w:color w:val="000000"/>
                  <w:sz w:val="20"/>
                  <w:u w:val="none"/>
                  <w:effect w:val="none"/>
                </w:rPr>
                <w:t>Item 6.</w:t>
              </w:r>
            </w:hyperlink>
          </w:p>
        </w:tc>
        <w:tc>
          <w:tcPr>
            <w:tcW w:w="8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57">
              <w:r>
                <w:rPr>
                  <w:rStyle w:val="InternetLink"/>
                  <w:rFonts w:ascii="Times New Roman;serif" w:hAnsi="Times New Roman;serif"/>
                  <w:b w:val="false"/>
                  <w:color w:val="0000FF"/>
                  <w:sz w:val="20"/>
                  <w:u w:val="single"/>
                </w:rPr>
                <w:t>Exhibits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57">
              <w:r>
                <w:rPr>
                  <w:rStyle w:val="InternetLink"/>
                  <w:rFonts w:ascii="Times New Roman;serif" w:hAnsi="Times New Roman;serif"/>
                  <w:b w:val="false"/>
                  <w:strike w:val="false"/>
                  <w:dstrike w:val="false"/>
                  <w:color w:val="000000"/>
                  <w:sz w:val="20"/>
                  <w:u w:val="none"/>
                  <w:effect w:val="none"/>
                </w:rPr>
                <w:t>61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88861789234e70963f9707679f21cc_160">
              <w:r>
                <w:rPr>
                  <w:rStyle w:val="InternetLink"/>
                  <w:rFonts w:ascii="Times New Roman;serif" w:hAnsi="Times New Roman;serif"/>
                  <w:b w:val="false"/>
                  <w:color w:val="0000FF"/>
                  <w:sz w:val="20"/>
                  <w:u w:val="single"/>
                </w:rPr>
                <w:t>SIGNATURES</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888861789234e70963f9707679f21cc_160">
              <w:r>
                <w:rPr>
                  <w:rStyle w:val="InternetLink"/>
                  <w:rFonts w:ascii="Times New Roman;serif" w:hAnsi="Times New Roman;serif"/>
                  <w:b w:val="false"/>
                  <w:strike w:val="false"/>
                  <w:dstrike w:val="false"/>
                  <w:color w:val="000000"/>
                  <w:sz w:val="20"/>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execute our business strategy, including launching new product offerings and expanding information and technology capabilities;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market opportunity and our ability to acquire new customers and retain existing customers;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and impact of our growth initiatives on our future financial performance;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integrate the businesses and operations from our recent acquisitions with our current operations to realize the expected benefits of those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protect intellectual property and trade secrets;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ability to obtain additional capital, as necessary, including equity or debt financing, </w:t>
      </w:r>
      <w:r>
        <w:rPr>
          <w:rFonts w:ascii="Times New Roman;serif" w:hAnsi="Times New Roman;serif"/>
          <w:b w:val="false"/>
          <w:color w:val="000000"/>
          <w:sz w:val="20"/>
          <w:shd w:fill="FFFFFF" w:val="clear"/>
        </w:rPr>
        <w:t>on terms that are acceptable to us, if at all</w:t>
      </w:r>
      <w:r>
        <w:rPr>
          <w:rFonts w:ascii="Times New Roman;serif" w:hAnsi="Times New Roman;serif"/>
          <w:b w:val="false"/>
          <w:color w:val="000000"/>
          <w:sz w:val="20"/>
        </w:rPr>
        <w: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applicable laws or regulations and extensive and evolving government regulations that impact our operations and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attract or maintain a qualified workforce;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level of product service failures that could lead our customers to use competitors’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investigations, claims, disputes, enforcement actions, litigation patent infringements and/or other regulatory or legal proceedings, including with respect to our AI technology;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risks relating to uncertainty of our estimates of market opportunity and forecasts of market growth;</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possibility that we may be adversely affected by other economic, business, and/or competitive factors;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risks and uncertainties described under the section titled “Risk Factors” herein and in our Annual Report on Form 10-K which was filed with the Securities and Exchange Commission on March 11,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123"/>
        <w:gridCol w:w="2544"/>
        <w:gridCol w:w="2540"/>
        <w:gridCol w:w="166"/>
        <w:gridCol w:w="526"/>
        <w:gridCol w:w="109"/>
        <w:gridCol w:w="109"/>
        <w:gridCol w:w="109"/>
        <w:gridCol w:w="109"/>
        <w:gridCol w:w="170"/>
        <w:gridCol w:w="539"/>
        <w:gridCol w:w="161"/>
      </w:tblGrid>
      <w:tr>
        <w:trPr/>
        <w:tc>
          <w:tcPr>
            <w:tcW w:w="3123"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December 31,</w:t>
              <w:br/>
              <w:t>2024</w:t>
            </w:r>
          </w:p>
        </w:tc>
      </w:tr>
      <w:tr>
        <w:trPr/>
        <w:tc>
          <w:tcPr>
            <w:tcW w:w="8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2"/>
              </w:rPr>
              <w:t>Accounts receivable, net of allowances of $2,458 and $726 as of June 30, 2025 and December 31, 2024,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26,645 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255,520 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12,879 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579,494 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553,953 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(Note 16)</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286,898 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371,300 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 (Note 7)</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June 30, 2025 and December 31, 2024,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and 455,000,000 shares authorized as of June 30, 2025 and December 31, 2024, respectively; 373,055,866 and 361,096,457 shares issued and outstanding as of June 30, 2025 and December 31, 2024,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and 32,535,408 shares issued and outstanding as of June 30, 2025 and December 31, 2024,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1,247,394 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1,125,470 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(887,852)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(943,060)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Accumulated other comprehensive income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359,759 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182,653 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579,494 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553,953 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24"/>
        <w:gridCol w:w="1179"/>
        <w:gridCol w:w="1194"/>
        <w:gridCol w:w="264"/>
        <w:gridCol w:w="922"/>
        <w:gridCol w:w="109"/>
        <w:gridCol w:w="109"/>
        <w:gridCol w:w="109"/>
        <w:gridCol w:w="109"/>
        <w:gridCol w:w="264"/>
        <w:gridCol w:w="922"/>
        <w:gridCol w:w="109"/>
        <w:gridCol w:w="109"/>
        <w:gridCol w:w="109"/>
        <w:gridCol w:w="109"/>
        <w:gridCol w:w="268"/>
        <w:gridCol w:w="918"/>
        <w:gridCol w:w="109"/>
        <w:gridCol w:w="109"/>
        <w:gridCol w:w="109"/>
        <w:gridCol w:w="109"/>
        <w:gridCol w:w="264"/>
        <w:gridCol w:w="922"/>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dividends attributable to Series A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SoundHound common shareholders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400,124,499 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331,830,608 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397,026,119 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309,213,583 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402,043,468 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331,830,608 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414,145,877 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309,213,583 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2355" w:type="dxa"/>
        <w:jc w:val="left"/>
        <w:tblInd w:w="0" w:type="dxa"/>
        <w:tblLayout w:type="fixed"/>
        <w:tblCellMar>
          <w:top w:w="28" w:type="dxa"/>
          <w:left w:w="28" w:type="dxa"/>
          <w:bottom w:w="28" w:type="dxa"/>
          <w:right w:w="28" w:type="dxa"/>
        </w:tblCellMar>
      </w:tblPr>
      <w:tblGrid>
        <w:gridCol w:w="722"/>
        <w:gridCol w:w="134"/>
        <w:gridCol w:w="135"/>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5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color w:val="000000"/>
                <w:sz w:val="14"/>
              </w:rPr>
            </w:pPr>
            <w:r>
              <w:rPr>
                <w:rFonts w:ascii="Times New Roman;serif" w:hAnsi="Times New Roman;serif"/>
                <w:b/>
                <w:color w:val="000000"/>
                <w:sz w:val="14"/>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368,869,290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(813,128)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4"/>
              </w:rPr>
              <w:t xml:space="preserve">Issuance of Class A common stock under the </w:t>
            </w:r>
            <w:r>
              <w:rPr>
                <w:rFonts w:ascii="Times New Roman;serif" w:hAnsi="Times New Roman;serif"/>
                <w:b w:val="false"/>
                <w:color w:val="000000"/>
                <w:sz w:val="14"/>
                <w:shd w:fill="FFFFFF" w:val="clear"/>
              </w:rPr>
              <w:t>Second Equity Distribution Agreement</w:t>
            </w:r>
            <w:r>
              <w:rPr>
                <w:rFonts w:ascii="Times New Roman;serif" w:hAnsi="Times New Roman;serif"/>
                <w:b w:val="false"/>
                <w:color w:val="000000"/>
                <w:sz w:val="14"/>
              </w:rPr>
              <w: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646,000 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3,068,075 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due to settlement of contingent holdback consideration in connection with SYNQ3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373,055,866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1,247,394 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(887,852)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2385" w:type="dxa"/>
        <w:jc w:val="left"/>
        <w:tblInd w:w="0" w:type="dxa"/>
        <w:tblLayout w:type="fixed"/>
        <w:tblCellMar>
          <w:top w:w="28" w:type="dxa"/>
          <w:left w:w="28" w:type="dxa"/>
          <w:bottom w:w="28" w:type="dxa"/>
          <w:right w:w="28" w:type="dxa"/>
        </w:tblCellMar>
      </w:tblPr>
      <w:tblGrid>
        <w:gridCol w:w="722"/>
        <w:gridCol w:w="134"/>
        <w:gridCol w:w="135"/>
        <w:gridCol w:w="109"/>
        <w:gridCol w:w="109"/>
        <w:gridCol w:w="109"/>
        <w:gridCol w:w="203"/>
        <w:gridCol w:w="203"/>
        <w:gridCol w:w="171"/>
        <w:gridCol w:w="109"/>
        <w:gridCol w:w="109"/>
        <w:gridCol w:w="109"/>
        <w:gridCol w:w="181"/>
        <w:gridCol w:w="466"/>
        <w:gridCol w:w="109"/>
        <w:gridCol w:w="109"/>
        <w:gridCol w:w="109"/>
        <w:gridCol w:w="109"/>
        <w:gridCol w:w="398"/>
        <w:gridCol w:w="398"/>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616"/>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8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2024</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color w:val="000000"/>
                <w:sz w:val="14"/>
              </w:rPr>
            </w:pPr>
            <w:r>
              <w:rPr>
                <w:rFonts w:ascii="Times New Roman;serif" w:hAnsi="Times New Roman;serif"/>
                <w:b/>
                <w:color w:val="000000"/>
                <w:sz w:val="14"/>
              </w:rPr>
              <w:t>Balance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288,822,818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778,503 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(625,388)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under the Equity Distribution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21,228,617 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97,712 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2,548,809 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upon conversion of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2,553,361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period adjustments related to the acquisition of SYNQ3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315,153,605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886,412 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(662,710)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tbl>
      <w:tblPr>
        <w:tblW w:w="12355" w:type="dxa"/>
        <w:jc w:val="left"/>
        <w:tblInd w:w="0" w:type="dxa"/>
        <w:tblLayout w:type="fixed"/>
        <w:tblCellMar>
          <w:top w:w="28" w:type="dxa"/>
          <w:left w:w="28" w:type="dxa"/>
          <w:bottom w:w="28" w:type="dxa"/>
          <w:right w:w="28" w:type="dxa"/>
        </w:tblCellMar>
      </w:tblPr>
      <w:tblGrid>
        <w:gridCol w:w="550"/>
        <w:gridCol w:w="220"/>
        <w:gridCol w:w="221"/>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5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361,096,457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(943,060)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4"/>
              </w:rPr>
              <w:t xml:space="preserve">Issuance of Class A common stock under the </w:t>
            </w:r>
            <w:r>
              <w:rPr>
                <w:rFonts w:ascii="Times New Roman;serif" w:hAnsi="Times New Roman;serif"/>
                <w:b w:val="false"/>
                <w:color w:val="000000"/>
                <w:sz w:val="14"/>
                <w:shd w:fill="FFFFFF" w:val="clear"/>
              </w:rPr>
              <w:t>Second Equity Distribution Agreement</w:t>
            </w:r>
            <w:r>
              <w:rPr>
                <w:rFonts w:ascii="Times New Roman;serif" w:hAnsi="Times New Roman;serif"/>
                <w:b w:val="false"/>
                <w:color w:val="000000"/>
                <w:sz w:val="14"/>
              </w:rPr>
              <w: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4,894,900 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6,590,898 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in connection with the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due to settlement of contingent holdback consideration in connection with SYNQ3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472,501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373,055,866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1,247,394 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2514" w:type="dxa"/>
        <w:jc w:val="left"/>
        <w:tblInd w:w="0" w:type="dxa"/>
        <w:tblLayout w:type="fixed"/>
        <w:tblCellMar>
          <w:top w:w="28" w:type="dxa"/>
          <w:left w:w="28" w:type="dxa"/>
          <w:bottom w:w="28" w:type="dxa"/>
          <w:right w:w="28" w:type="dxa"/>
        </w:tblCellMar>
      </w:tblPr>
      <w:tblGrid>
        <w:gridCol w:w="550"/>
        <w:gridCol w:w="220"/>
        <w:gridCol w:w="221"/>
        <w:gridCol w:w="109"/>
        <w:gridCol w:w="109"/>
        <w:gridCol w:w="109"/>
        <w:gridCol w:w="212"/>
        <w:gridCol w:w="212"/>
        <w:gridCol w:w="207"/>
        <w:gridCol w:w="109"/>
        <w:gridCol w:w="109"/>
        <w:gridCol w:w="109"/>
        <w:gridCol w:w="181"/>
        <w:gridCol w:w="541"/>
        <w:gridCol w:w="109"/>
        <w:gridCol w:w="109"/>
        <w:gridCol w:w="109"/>
        <w:gridCol w:w="109"/>
        <w:gridCol w:w="398"/>
        <w:gridCol w:w="398"/>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616"/>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14"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2024</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216,943,349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37,485,408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606,135 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(592,379)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under the Sales Agreement and Equity Distribution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59,135,836 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231,551 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upon acquisition of SYNQ3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5,755,910 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shares of Class A common stock, subject to repurchase in connection with acquisition of SYNQ3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2,033,156 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7,641,157 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upon conversion of Class B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4,750,000 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upon conversion of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16,624,215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in connection with the cashless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2,269,982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315,153,605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32,735,408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886,412 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223,941 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3"/>
        <w:gridCol w:w="2424"/>
        <w:gridCol w:w="2443"/>
        <w:gridCol w:w="196"/>
        <w:gridCol w:w="736"/>
        <w:gridCol w:w="109"/>
        <w:gridCol w:w="109"/>
        <w:gridCol w:w="109"/>
        <w:gridCol w:w="109"/>
        <w:gridCol w:w="196"/>
        <w:gridCol w:w="736"/>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5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(40,440)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related to acquisition,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Class A common stock under the Sales Agreement, Equity Distribution Agreement, and Second Equity Distribution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financing costs associated with the Sales Agreement, Equity Distribution Agreement, and Second Equity Distribution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holdback liabilities from SYNQ3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notes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(105,540)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200,967 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97"/>
        <w:gridCol w:w="2455"/>
        <w:gridCol w:w="2468"/>
        <w:gridCol w:w="211"/>
        <w:gridCol w:w="736"/>
        <w:gridCol w:w="109"/>
        <w:gridCol w:w="109"/>
        <w:gridCol w:w="109"/>
        <w:gridCol w:w="109"/>
        <w:gridCol w:w="211"/>
        <w:gridCol w:w="736"/>
        <w:gridCol w:w="155"/>
      </w:tblGrid>
      <w:tr>
        <w:trPr/>
        <w:tc>
          <w:tcPr>
            <w:tcW w:w="279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amounts on the condensed consolidated balance sheets: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restricted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equivalents shown in the condensed consolidated statements of cash flows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200,967 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Series A Preferred Stock to Class A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Class A Common Stock to settle contingent holdback consideration of SYNQ3 acquisition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reclassified to additional paid-in capital</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financing costs in connection with the Equity Distribution Agreement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accrued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Class A common stock and deferred equity consideration issued to acquire SYNQ3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earnout consideration to acquire SYNQ3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holdback consideration to acquire SYNQ3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deferred cash consideration under other acquisition</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Nature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Refer to Note 3 for additional information.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Going Concern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inception, the Company has generated recurring losses as well as negative operating cash flows, except for a net income of $129.9 million reported for the three months ended March 31, 2025 and $55.2 million reported for the six months ended June 30, 2025, primarily due to the change in fair value of acquisition related liabilities. As of June 30, 2025, the Company had an accumulated deficit of $887.9 million. Management expects to continue to incur additional substantial losses in the foreseeable future. The Company has historically funded its operations primarily through equity or debt financings.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unrestricted cash and cash equivalents on hand as of June 30, 2025 was $230.3 million. Although the Company has incurred recurring losses each year since its inception, the Company expects it will be able to fund its operations for at least the next twelve months from the date these condensed consolidated financial statements are issued. The Company may seek funding through additional debt or equity financing arrangements to continue financing its operations. Refer to Note 11 for information regarding the Company's equity financing activity. The Company's condensed consolidated financial statements have been prepared assuming the Company will continue as a going concern, which contemplates, among other things, the realization of assets and satisfaction of liabilities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 condensed consolidated balance sheet as of December 31, 2024, which has been derived from audited financial statements as filed in the Company’s Form 10-K, which was originally filed with the Securities and Exchange Commission ("SEC") on March 11, 2025 and (b) 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unaudited interim condensed consolidated financial statements have been prepared on a basis consistent with the audited annual consolidated financial statements and in the opinion of management, all adjustments, consisting of normal recurring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considered necessary for a fair statement of its financial position as of June 30, 2025, and its results of operations for the three and six months ended June 30, 2025, and 2024, and cash flows for the six months ended June 30, 2025 and 2024 have been included. The results of operations for the three and six months ended June 30, 2025 are not necessarily indicative of the results for the fiscal year ending December 31, 2025 or any future interim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2024.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Amelia, no significant estimates were changed by management during the three and six months ended June 30, 2025 and 2024.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Concentrations of Credit Risk and Other Risks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Customer A accounted for 13% of the Company’s accounts receivable balance. As of December 31, 2024, accounts receivable balances due from Customer B accounted for 23% of the Company’s accounts receivable balance.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unbilled receivables from Customer C, D and E accounted for 39%, 22% and 18% of the Company’s unbilled receivables balance, respectively. As of December 31, 2024, unbilled receivables from Customer D and E accounted for 50% and 24% of the Company’s unbilled receivables balance,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Customer C, F and G accounted for 16%, 13% and 13% of the Company's revenue, respectively. For the six months ended June 30, 2025, there was no customer that accounted for more than 10% of total revenue.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2024, Customer D and E accounted for 27% and 35% of total revenue, respectively. For the six months ended June 30, 2024, Customer D and E accounted for 27% and 29% of total revenue, respectively.</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Combinations and Contingent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in the period they are identified. Acquisition-related expenses are recognized separately from the business combination and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Goodwill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and six months ended June 30, 2025 and June 30, 2024.</w:t>
      </w:r>
    </w:p>
    <w:p>
      <w:pPr>
        <w:pStyle w:val="TextBody"/>
        <w:bidi w:val="0"/>
        <w:spacing w:lineRule="auto" w:line="288" w:before="240" w:after="283"/>
        <w:jc w:val="both"/>
        <w:rPr/>
      </w:pPr>
      <w:r>
        <w:rPr>
          <w:rFonts w:ascii="Times New Roman;serif" w:hAnsi="Times New Roman;serif"/>
          <w:b/>
          <w:color w:val="000000"/>
          <w:sz w:val="20"/>
          <w:u w:val="single"/>
        </w:rPr>
        <w:t>Intangible Assets with Definite Lives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Recent Accounting Pronouncements —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2023, the FASB issued ASU 2023-07, "Segment Reporting (Topic 280): Improvements to Reportable Segment Disclosures," ("ASU 2023-07")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The Company adopted the standard during the year ended December 31, 2024. See Note 17 to our consolidated financial statements included within this report for more information on the increased disclosure for the Company's single reportable segment.</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Recent Accounting Pronouncements —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issued Accounting Standards Update No.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is currently evaluating the impact that the updated standard will have on the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BUSINESS COMBINATIONS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SYNQ3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 2024 (the "SYNQ3 Acquisition Date"), the Company acquired all of the issued and outstanding equity of SYNQ3, a provider of voice AI and other technology solutions to the restaurant industry, for total purchase consideration of $15.8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Holdback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$0.5 million in cash and 1,179,514 shares of the Company's Class A Common Stock were withheld for a period of 15 months (the "Holdback Amount"). The Company determined that there are two components to the Holdback Amount related to deferred consideration and contingent consideration, each comprised of cash and shares.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deferred cash holdback consideration of $0.1 million and the deferred share holdback consideration of 361,145 shares of the Company's Class A Common Stock (collectively the "Deferred Consideration") were not recognized as of the SYNQ3 Acquisition Date as such amounts were offset by the indemnification obligations of SYNQ3's former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Holdback Consideration as a liability on the condensed consolidated balance sheet. As of the SYNQ3 Acquisition Date, the Contingent Holdback Consideration was estimated to be $0.6 million in aggregate and to be settled in $0.1 million cash and the remainder in shares of the Company’s Class A Common Stock. During the year ended December 31, 2024, the Company issued 38,277 shares of the Company’s Class A Common Stock and paid an immaterial amount in cash from the Contingent Holdback Consideration to SYNQ3's former stockholders as a result of the net working capital adjustments settled during the year. The Contingent Holdback Consideration will be subsequently remeasured at each reporting date with changes in fair value recognized as a component of operating expense on the Company’s condensed consolidated statement of operations and comprehensive income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April 2025, the Contingent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June 30, 2025. See Note 16 to our unaudited condensed consolidated financial statements included within this report for more information on the fair value measurement of shares associated with the holdback.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Contingent SYNQ3 Earnout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the SYNQ3 Acquisition Date, the Contingent SYNQ3 Earnout Consideration was estimated to be $1.7 million in aggregate and to be settled in $0.2 million cash and the remainder in shares of the Company’s Class A Common Stock. See Note 16 to our unaudited condensed consolidated financial statements included within this report for more information on the fair value measurement of Contingent SYNQ3 Earnout Consideration. As of June 30, 2025, the 2024 revenue target was not met. The Company assessed the 2025 revenue target was not probable of being met but the 2026 revenue target was probable of being met. No earnout consideration was issued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12 to our unaudited condensed consolidated financial statements included within this report for more information on stock-based awards issued in connection with the SYNQ3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was performed as of January 3, 2024 and allocated to the assets acquired and liabilities assumed based on their respective fair values, as follows (in thousands):</w:t>
      </w:r>
    </w:p>
    <w:p>
      <w:pPr>
        <w:pStyle w:val="TextBody"/>
        <w:bidi w:val="0"/>
        <w:spacing w:before="0" w:after="0"/>
        <w:jc w:val="both"/>
        <w:rPr/>
      </w:pPr>
      <w:r>
        <w:rPr/>
      </w:r>
    </w:p>
    <w:tbl>
      <w:tblPr>
        <w:tblW w:w="5220" w:type="dxa"/>
        <w:jc w:val="left"/>
        <w:tblInd w:w="0" w:type="dxa"/>
        <w:tblLayout w:type="fixed"/>
        <w:tblCellMar>
          <w:top w:w="28" w:type="dxa"/>
          <w:left w:w="28" w:type="dxa"/>
          <w:bottom w:w="28" w:type="dxa"/>
          <w:right w:w="28" w:type="dxa"/>
        </w:tblCellMar>
      </w:tblPr>
      <w:tblGrid>
        <w:gridCol w:w="1331"/>
        <w:gridCol w:w="1169"/>
        <w:gridCol w:w="1190"/>
        <w:gridCol w:w="329"/>
        <w:gridCol w:w="961"/>
        <w:gridCol w:w="240"/>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holdback consideration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on acquisition</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has been finalized as of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2323"/>
          <w:sz w:val="20"/>
        </w:rPr>
        <w:t xml:space="preserve">The following table summarizes the fair values of the identifiable intangible assets acquired </w:t>
      </w:r>
      <w:r>
        <w:rPr>
          <w:rFonts w:ascii="Times New Roman;serif" w:hAnsi="Times New Roman;serif"/>
          <w:b w:val="false"/>
          <w:color w:val="000000"/>
          <w:sz w:val="20"/>
        </w:rPr>
        <w:t>(in thousands)</w:t>
      </w:r>
      <w:r>
        <w:rPr>
          <w:rFonts w:ascii="Times New Roman;serif" w:hAnsi="Times New Roman;serif"/>
          <w:b w:val="false"/>
          <w:color w:val="232323"/>
          <w:sz w:val="20"/>
        </w:rPr>
        <w:t>:</w:t>
      </w:r>
    </w:p>
    <w:p>
      <w:pPr>
        <w:pStyle w:val="TextBody"/>
        <w:bidi w:val="0"/>
        <w:spacing w:before="0" w:after="0"/>
        <w:jc w:val="both"/>
        <w:rPr/>
      </w:pPr>
      <w:r>
        <w:rPr/>
      </w:r>
    </w:p>
    <w:tbl>
      <w:tblPr>
        <w:tblW w:w="5008" w:type="dxa"/>
        <w:jc w:val="left"/>
        <w:tblInd w:w="0" w:type="dxa"/>
        <w:tblLayout w:type="fixed"/>
        <w:tblCellMar>
          <w:top w:w="28" w:type="dxa"/>
          <w:left w:w="28" w:type="dxa"/>
          <w:bottom w:w="28" w:type="dxa"/>
          <w:right w:w="28" w:type="dxa"/>
        </w:tblCellMar>
      </w:tblPr>
      <w:tblGrid>
        <w:gridCol w:w="723"/>
        <w:gridCol w:w="634"/>
        <w:gridCol w:w="638"/>
        <w:gridCol w:w="314"/>
        <w:gridCol w:w="314"/>
        <w:gridCol w:w="316"/>
        <w:gridCol w:w="401"/>
        <w:gridCol w:w="1374"/>
        <w:gridCol w:w="29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Preliminary fair value</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incurred $2.2 million in acquisition related expenses, of which less than $0.1 million and $0.1 million were incurred during the three and six months ended June 30, 2025, respectively. The Company incurred $0.5 million and $0.8 million acquisition related expenses during the three and six months ended June 30, 2024, respectively. These acquisition related expenses were recorded as general and administration expenses in its condensed consolidated statements of operations and comprehensive income (loss).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Amelia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energy and retail, expanding its market reach.</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preliminary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and consequently there is a six-month holding period. The Company also paid $8.4 million of cash for seller transaction expenses in connection with the closing of the Amelia Acquisition. The Company agreed to issue up to 16,822,429 shares to the selling shareholders based on achievement of certain revenue targets in fiscal years 2025 and 2026 (the "Amelia Contingent Earnout Consideration). The fair value of the preliminary purchase consideration was $98.6 million.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Amelia Acquisition, the Company assumed the amended senior secured term loan facility from Amelia in an aggregate principal amount of $121.5 million (“Amelia Debt”). On December 3, 2024, the Company entered into a letter agreement (the “Amelia Debt Payoff Letter”) to prepay in full all indebtedness and other amounts outstanding and owing under the Amelia Debt Credit Agreement and the Amelia Debt was repaid in full.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Escrow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stock price. See Note 16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Contingent Amelia Earnout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As of the Amelia Acquisition Date, the Contingent Amelia Earnout Consideration had an estimated fair value of $66.3 million. For the three and six months ended June 30, 2025, the Company recognized a loss of $32.6 million and a gain of $136.1 million, respectively, related to the Contingent Amelia Earnout Consideration, reflected in the change in fair value of contingent acquisition liabilities in the condensed consolidated statement of operations and comprehensive income (loss). As of June 30, 2025, the Company assessed the 2025 and 2026 revenue targets were probable of being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Preliminary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was performed as of August 6, 2024 and allocated to the assets acquired and liabilities assumed based on their respective fair values,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5294" w:type="dxa"/>
        <w:jc w:val="left"/>
        <w:tblInd w:w="0" w:type="dxa"/>
        <w:tblLayout w:type="fixed"/>
        <w:tblCellMar>
          <w:top w:w="28" w:type="dxa"/>
          <w:left w:w="28" w:type="dxa"/>
          <w:bottom w:w="28" w:type="dxa"/>
          <w:right w:w="28" w:type="dxa"/>
        </w:tblCellMar>
      </w:tblPr>
      <w:tblGrid>
        <w:gridCol w:w="1440"/>
        <w:gridCol w:w="1265"/>
        <w:gridCol w:w="1285"/>
        <w:gridCol w:w="253"/>
        <w:gridCol w:w="866"/>
        <w:gridCol w:w="185"/>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Preliminary: </w:t>
              <w:br/>
              <w:t>Aug 6, 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 in escrow</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 - current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191,931 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portion of Amelia Debt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liability, current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Amelia Debt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liability, net of current portion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liabilities assumed</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on acquisition</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95,210 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the Company recorded a decrease of $0.5 million to the goodwill recognized. The measurement period adjustments were recorded in the condensed consolidated financial statements as of and for the six months ended June 30, 2025 and were made to reflect facts and circumstances that existed as of the Amelia Acquisition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has not been finalized as of June 30, 2025 primarily due to the final assessment of the contingent tax liability assumed.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Amelia Acquisition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2323"/>
          <w:sz w:val="20"/>
        </w:rPr>
        <w:t xml:space="preserve">The following table summarizes the preliminary fair values of the identifiable intangible assets acquired </w:t>
      </w:r>
      <w:r>
        <w:rPr>
          <w:rFonts w:ascii="Times New Roman;serif" w:hAnsi="Times New Roman;serif"/>
          <w:b w:val="false"/>
          <w:color w:val="000000"/>
          <w:sz w:val="20"/>
        </w:rPr>
        <w:t>(in thousands)</w:t>
      </w:r>
      <w:r>
        <w:rPr>
          <w:rFonts w:ascii="Times New Roman;serif" w:hAnsi="Times New Roman;serif"/>
          <w:b w:val="false"/>
          <w:color w:val="232323"/>
          <w:sz w:val="20"/>
        </w:rPr>
        <w:t>:</w:t>
      </w:r>
    </w:p>
    <w:p>
      <w:pPr>
        <w:pStyle w:val="TextBody"/>
        <w:bidi w:val="0"/>
        <w:spacing w:before="0" w:after="0"/>
        <w:jc w:val="both"/>
        <w:rPr/>
      </w:pPr>
      <w:r>
        <w:rPr/>
      </w:r>
    </w:p>
    <w:tbl>
      <w:tblPr>
        <w:tblW w:w="5068" w:type="dxa"/>
        <w:jc w:val="left"/>
        <w:tblInd w:w="0" w:type="dxa"/>
        <w:tblLayout w:type="fixed"/>
        <w:tblCellMar>
          <w:top w:w="28" w:type="dxa"/>
          <w:left w:w="28" w:type="dxa"/>
          <w:bottom w:w="28" w:type="dxa"/>
          <w:right w:w="28" w:type="dxa"/>
        </w:tblCellMar>
      </w:tblPr>
      <w:tblGrid>
        <w:gridCol w:w="745"/>
        <w:gridCol w:w="653"/>
        <w:gridCol w:w="657"/>
        <w:gridCol w:w="314"/>
        <w:gridCol w:w="314"/>
        <w:gridCol w:w="316"/>
        <w:gridCol w:w="365"/>
        <w:gridCol w:w="1434"/>
        <w:gridCol w:w="270"/>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Preliminary fair value</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at acquisition</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Developed technology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Customer relationships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Trade names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2323"/>
          <w:sz w:val="20"/>
        </w:rPr>
        <w:t xml:space="preserve">The Company incurred </w:t>
      </w:r>
      <w:r>
        <w:rPr>
          <w:rFonts w:ascii="Times New Roman;serif" w:hAnsi="Times New Roman;serif"/>
          <w:b w:val="false"/>
          <w:color w:val="000000"/>
          <w:sz w:val="20"/>
        </w:rPr>
        <w:t xml:space="preserve">$6.7 million </w:t>
      </w:r>
      <w:r>
        <w:rPr>
          <w:rFonts w:ascii="Times New Roman;serif" w:hAnsi="Times New Roman;serif"/>
          <w:b w:val="false"/>
          <w:color w:val="232323"/>
          <w:sz w:val="20"/>
        </w:rPr>
        <w:t xml:space="preserve">in acquisition related expenses, of which </w:t>
      </w:r>
      <w:r>
        <w:rPr>
          <w:rFonts w:ascii="Times New Roman;serif" w:hAnsi="Times New Roman;serif"/>
          <w:b w:val="false"/>
          <w:color w:val="000000"/>
          <w:sz w:val="20"/>
        </w:rPr>
        <w:t>$0.3 million and $0.9 million was</w:t>
      </w:r>
      <w:r>
        <w:rPr>
          <w:color w:val="232323"/>
        </w:rPr>
        <w:t xml:space="preserve"> </w:t>
      </w:r>
      <w:r>
        <w:rPr>
          <w:rFonts w:ascii="Times New Roman;serif" w:hAnsi="Times New Roman;serif"/>
          <w:b w:val="false"/>
          <w:color w:val="232323"/>
          <w:sz w:val="20"/>
        </w:rPr>
        <w:t xml:space="preserve">incurred during the </w:t>
      </w:r>
      <w:r>
        <w:rPr>
          <w:rFonts w:ascii="Times New Roman;serif" w:hAnsi="Times New Roman;serif"/>
          <w:b w:val="false"/>
          <w:color w:val="000000"/>
          <w:sz w:val="20"/>
        </w:rPr>
        <w:t xml:space="preserve">three and six months ended June 30, 2025, respectively, </w:t>
      </w:r>
      <w:r>
        <w:rPr>
          <w:rFonts w:ascii="Times New Roman;serif" w:hAnsi="Times New Roman;serif"/>
          <w:b w:val="false"/>
          <w:color w:val="232323"/>
          <w:sz w:val="20"/>
        </w:rPr>
        <w:t xml:space="preserve">and recorded as general and administration expenses in its condensed consolidated statements of operations and comprehensive </w:t>
      </w:r>
      <w:r>
        <w:rPr>
          <w:rFonts w:ascii="Times New Roman;serif" w:hAnsi="Times New Roman;serif"/>
          <w:b w:val="false"/>
          <w:color w:val="000000"/>
          <w:sz w:val="20"/>
        </w:rPr>
        <w:t>income (loss)</w:t>
      </w:r>
      <w:r>
        <w:rPr>
          <w:rFonts w:ascii="Times New Roman;serif" w:hAnsi="Times New Roman;serif"/>
          <w:b w:val="false"/>
          <w:color w:val="232323"/>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Unaudited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results of SYNQ3 and Amelia are included in these unaudited condensed consolidated financial statements from the date of the acquisition. SYNQ3 contributed revenue of $3.1 million and $6.1 million, and net loss of $1.7 million and $3.3 million to the Company for the three and six months ended June 30, 2024, respectively.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unaudited pro forma financial information that presents combined results of the Company as if the SYNQ3 and Amelia acquisitions were completed on January 1, 2023, the beginning of the comparable prior annual reporting period. </w:t>
      </w:r>
    </w:p>
    <w:p>
      <w:pPr>
        <w:pStyle w:val="TextBody"/>
        <w:bidi w:val="0"/>
        <w:spacing w:before="0" w:after="0"/>
        <w:jc w:val="both"/>
        <w:rPr/>
      </w:pPr>
      <w:r>
        <w:rPr/>
      </w:r>
    </w:p>
    <w:tbl>
      <w:tblPr>
        <w:tblW w:w="7273" w:type="dxa"/>
        <w:jc w:val="left"/>
        <w:tblInd w:w="0" w:type="dxa"/>
        <w:tblLayout w:type="fixed"/>
        <w:tblCellMar>
          <w:top w:w="28" w:type="dxa"/>
          <w:left w:w="28" w:type="dxa"/>
          <w:bottom w:w="28" w:type="dxa"/>
          <w:right w:w="28" w:type="dxa"/>
        </w:tblCellMar>
      </w:tblPr>
      <w:tblGrid>
        <w:gridCol w:w="1344"/>
        <w:gridCol w:w="1183"/>
        <w:gridCol w:w="1192"/>
        <w:gridCol w:w="354"/>
        <w:gridCol w:w="1338"/>
        <w:gridCol w:w="183"/>
        <w:gridCol w:w="305"/>
        <w:gridCol w:w="1152"/>
        <w:gridCol w:w="222"/>
      </w:tblGrid>
      <w:tr>
        <w:trPr/>
        <w:tc>
          <w:tcPr>
            <w:tcW w:w="134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SoundHound AI, Inc.</w:t>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financial information includes the combined historical operating results of the Company, SYNQ3 and Amelia prior to the acquisition, with adjustments to give effect for the acquisitions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transaction costs related to the acquisitions, adjustments to interest expense related to previously outstanding debt held by Amelia, and the related tax effects of pro forma adjustments for the period. These unaudited pro forma results are presented for informational purposes only and are not necessarily indicative of what the actual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of the combined company would have been if the acquisition had occurred at the beginning of the period presented, nor are they indicative of future results of operations. Given the paydown of Amelia Debt occurred in December 2024, which was shortly after the Amelia Acquisition Date, the interest expenses from Amelia Debt were excluded from the unaudited pro forma financial information. The unaudited pro forma results are based on the preliminary purchase price allocation and will be updated to reflect the final amounts as the allocation is finalized during the measurement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material nonrecurring pro forma adjustments directly attributable to the business combination included in the reported pro forma revenue and earnings.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Other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14, 2024, the Company completed an immaterial acquisition for total preliminary purchase consideration of $1.0 million. As part of the acquisition, the Company acquired net assets of $2.2 million, including intangible assets of $2.6 million, and recognized a preliminary gain on bargain purchase of $1.2 million within other income, net in the condensed consolidated statements of operations and comprehensive income (loss) during the quarter of the acquisition,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w:t>
      </w:r>
      <w:r>
        <w:rPr>
          <w:rFonts w:ascii="Times New Roman;serif" w:hAnsi="Times New Roman;serif"/>
          <w:b w:val="false"/>
          <w:color w:val="000000"/>
          <w:sz w:val="20"/>
          <w:shd w:fill="FFFFFF" w:val="clear"/>
        </w:rPr>
        <w:t>e preliminary purchase price allocation has been finalized as of March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2323"/>
          <w:sz w:val="20"/>
        </w:rPr>
        <w:t xml:space="preserve">The following table summarizes the preliminary fair values of the identifiable intangible assets acquired </w:t>
      </w:r>
      <w:r>
        <w:rPr>
          <w:rFonts w:ascii="Times New Roman;serif" w:hAnsi="Times New Roman;serif"/>
          <w:b w:val="false"/>
          <w:color w:val="000000"/>
          <w:sz w:val="20"/>
        </w:rPr>
        <w:t>(in thousands)</w:t>
      </w:r>
      <w:r>
        <w:rPr>
          <w:rFonts w:ascii="Times New Roman;serif" w:hAnsi="Times New Roman;serif"/>
          <w:b w:val="false"/>
          <w:color w:val="232323"/>
          <w:sz w:val="20"/>
        </w:rPr>
        <w:t>:</w:t>
      </w:r>
    </w:p>
    <w:p>
      <w:pPr>
        <w:pStyle w:val="TextBody"/>
        <w:bidi w:val="0"/>
        <w:spacing w:before="0" w:after="0"/>
        <w:jc w:val="both"/>
        <w:rPr/>
      </w:pPr>
      <w:r>
        <w:rPr/>
      </w:r>
    </w:p>
    <w:tbl>
      <w:tblPr>
        <w:tblW w:w="4288" w:type="dxa"/>
        <w:jc w:val="left"/>
        <w:tblInd w:w="0" w:type="dxa"/>
        <w:tblLayout w:type="fixed"/>
        <w:tblCellMar>
          <w:top w:w="28" w:type="dxa"/>
          <w:left w:w="28" w:type="dxa"/>
          <w:bottom w:w="28" w:type="dxa"/>
          <w:right w:w="28" w:type="dxa"/>
        </w:tblCellMar>
      </w:tblPr>
      <w:tblGrid>
        <w:gridCol w:w="723"/>
        <w:gridCol w:w="634"/>
        <w:gridCol w:w="638"/>
        <w:gridCol w:w="314"/>
        <w:gridCol w:w="314"/>
        <w:gridCol w:w="316"/>
        <w:gridCol w:w="289"/>
        <w:gridCol w:w="847"/>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at acquisition</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results of the acquired entity are included in these unaudited condensed consolidated financial statements from the date of the acquisition, and are immaterial. The Company has not separately presented unaudited pro forma results of operations reflecting the acquisition as the impacts were not material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judgement in identifying and evaluating any terms and conditions in contracts which impact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performance obligations in contracts with customers: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Hosted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Hosted services, along with non-distinct customization, integration, maintenance and support professional services, allow customers to access the Houndify and Amelia Software Platform over the contract period without taking possession of the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Hosted services may include up-front services to develop and/or customize the applications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revenues derived as a result of the SYNQ3 Acquisition, and substantial revenues derived as a result of the Amelia Acquisition are categorized as hosted services revenue.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Professional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distinct professional services determined to be recognized over-time, measuring the stage of completion of a project requires significant judgement and estimates and is based on either input or output measures. During the three and six months ended June 30, 2025, $3.2 million and $6.3 million, respectively, of professional service revenue was recognized over time, with the remaining $0.1 million and $0.3 million, respectively, recognized at a point in time when the performance obligation was fulfilled, and control of the service was transferred to the customer. During the three and six months ended June 30, 2024, $1.4 million and $2.9 million, respectively, of professional service revenue was recognized over time, and there was immaterial professional service revenue recognized at a point in time when the performance obligation was fulfilled, and control of the service was transferred to the customer.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Monetization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it does not act as the principal in monetization arrangements because it does not control the transfer of the service and it does not set the price. Based on these factors, the Company reports revenue on a net basis.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Licensing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licenses voice and Amelia’s software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of developing and supplying each performance obligation;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Industry standards;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Major product groupings;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Gross margin objectives and pricing practices, such as contractually stated prices, discounts offered, and applicable price lists.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revenue under each performance obligation was as follows (in thousands):</w:t>
      </w:r>
    </w:p>
    <w:tbl>
      <w:tblPr>
        <w:tblW w:w="6989" w:type="dxa"/>
        <w:jc w:val="left"/>
        <w:tblInd w:w="0" w:type="dxa"/>
        <w:tblLayout w:type="fixed"/>
        <w:tblCellMar>
          <w:top w:w="28" w:type="dxa"/>
          <w:left w:w="28" w:type="dxa"/>
          <w:bottom w:w="28" w:type="dxa"/>
          <w:right w:w="28" w:type="dxa"/>
        </w:tblCellMar>
      </w:tblPr>
      <w:tblGrid>
        <w:gridCol w:w="651"/>
        <w:gridCol w:w="573"/>
        <w:gridCol w:w="57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Hosted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disaggregated revenue by geographic location* was as follows (in thousands):</w:t>
      </w:r>
    </w:p>
    <w:tbl>
      <w:tblPr>
        <w:tblW w:w="638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disaggregated revenue by recognition pattern was as follows (in thousands):</w:t>
      </w:r>
    </w:p>
    <w:tbl>
      <w:tblPr>
        <w:tblW w:w="6794" w:type="dxa"/>
        <w:jc w:val="left"/>
        <w:tblInd w:w="0" w:type="dxa"/>
        <w:tblLayout w:type="fixed"/>
        <w:tblCellMar>
          <w:top w:w="28" w:type="dxa"/>
          <w:left w:w="28" w:type="dxa"/>
          <w:bottom w:w="28" w:type="dxa"/>
          <w:right w:w="28" w:type="dxa"/>
        </w:tblCellMar>
      </w:tblPr>
      <w:tblGrid>
        <w:gridCol w:w="580"/>
        <w:gridCol w:w="511"/>
        <w:gridCol w:w="51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and Amelia services,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and Amelia services may include professional services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develop and customize the Houndify platform and Amelia Software Platform to fit customers’ specific needs, and any post-contract support for on-premise solutions. Revenues from Monetization are generated from the SoundHound music identification app and are primarily attributable to user ad impression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and 2024, the disaggregated revenue by service type was as follows (in thousands): </w:t>
      </w:r>
    </w:p>
    <w:tbl>
      <w:tblPr>
        <w:tblW w:w="7035"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Contract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January 1, 2024, accounts receivable, net of allowances, was $4.1 million, contract assets were $28.3 million and deferred revenue was $9.2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contract asset and unbilled accounts receivable, net as of June 30, 2025 and December 31, 2024 consists of the following (in thousands):</w:t>
      </w:r>
    </w:p>
    <w:tbl>
      <w:tblPr>
        <w:tblW w:w="10205" w:type="dxa"/>
        <w:jc w:val="left"/>
        <w:tblInd w:w="0" w:type="dxa"/>
        <w:tblLayout w:type="fixed"/>
        <w:tblCellMar>
          <w:top w:w="28" w:type="dxa"/>
          <w:left w:w="28" w:type="dxa"/>
          <w:bottom w:w="28" w:type="dxa"/>
          <w:right w:w="28" w:type="dxa"/>
        </w:tblCellMar>
      </w:tblPr>
      <w:tblGrid>
        <w:gridCol w:w="976"/>
        <w:gridCol w:w="810"/>
        <w:gridCol w:w="812"/>
        <w:gridCol w:w="1563"/>
        <w:gridCol w:w="1563"/>
        <w:gridCol w:w="1567"/>
        <w:gridCol w:w="109"/>
        <w:gridCol w:w="109"/>
        <w:gridCol w:w="109"/>
        <w:gridCol w:w="211"/>
        <w:gridCol w:w="721"/>
        <w:gridCol w:w="109"/>
        <w:gridCol w:w="109"/>
        <w:gridCol w:w="109"/>
        <w:gridCol w:w="109"/>
        <w:gridCol w:w="235"/>
        <w:gridCol w:w="807"/>
        <w:gridCol w:w="177"/>
      </w:tblGrid>
      <w:tr>
        <w:trPr/>
        <w:tc>
          <w:tcPr>
            <w:tcW w:w="9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Presentation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 receivables - current</w:t>
            </w:r>
          </w:p>
        </w:tc>
        <w:tc>
          <w:tcPr>
            <w:tcW w:w="46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and unbilled receivables, net of allowance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4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 receivables - non-current</w:t>
            </w:r>
          </w:p>
        </w:tc>
        <w:tc>
          <w:tcPr>
            <w:tcW w:w="4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non-current,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non-current</w:t>
            </w:r>
          </w:p>
        </w:tc>
        <w:tc>
          <w:tcPr>
            <w:tcW w:w="4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non-current,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Company's unbilled accounts receivable and contract assets during the current period was primarily the result of customer invoicing and the performance of the Company's contracts, respectively. The Company has not recorded any asset impairment charges related to contract assets during the periods presented in the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recognized included in the balances of the deferred revenue at the beginning of the reporting period were $10.9 million and $16.7 million, respectively, for the three and six months ended June 30, 2025 as compared to $1.3 million and $3.0 million for the three and six months ended June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aggregate amount of the transaction price allocated to the remaining performance obligations related to customer contracts that were unsatisfied or partially unsatisfied was $69.2 million. Given the applicable contract terms, $40.8 million is expected to be recognized as revenue within one year, $26.5 million is expected to be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between 2 to 5 years and the remainder of $1.9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GOODWILL AND INTANGIBLE ASSETS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carrying value of goodwill including the effect of measurement period adjustments for the six months ended June 30, 2025, was as follows (in thousands):</w:t>
      </w:r>
    </w:p>
    <w:tbl>
      <w:tblPr>
        <w:tblW w:w="4010" w:type="dxa"/>
        <w:jc w:val="left"/>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applied the acquisition method of accounting in accordance with ASC 805 and recognized assets acquired and liabilities assumed of SYNQ3 and Amelia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Amelia Acquisition.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gross carrying value, accumulated amortization and net carrying value of intangible assets consisted of the following (in thousands):</w:t>
      </w:r>
    </w:p>
    <w:tbl>
      <w:tblPr>
        <w:tblW w:w="9870" w:type="dxa"/>
        <w:jc w:val="left"/>
        <w:tblInd w:w="0" w:type="dxa"/>
        <w:tblLayout w:type="fixed"/>
        <w:tblCellMar>
          <w:top w:w="28" w:type="dxa"/>
          <w:left w:w="28" w:type="dxa"/>
          <w:bottom w:w="28" w:type="dxa"/>
          <w:right w:w="28" w:type="dxa"/>
        </w:tblCellMar>
      </w:tblPr>
      <w:tblGrid>
        <w:gridCol w:w="723"/>
        <w:gridCol w:w="634"/>
        <w:gridCol w:w="638"/>
        <w:gridCol w:w="453"/>
        <w:gridCol w:w="453"/>
        <w:gridCol w:w="459"/>
        <w:gridCol w:w="384"/>
        <w:gridCol w:w="1503"/>
        <w:gridCol w:w="198"/>
        <w:gridCol w:w="506"/>
        <w:gridCol w:w="1734"/>
        <w:gridCol w:w="265"/>
        <w:gridCol w:w="340"/>
        <w:gridCol w:w="1332"/>
        <w:gridCol w:w="2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years)</w:t>
            </w:r>
          </w:p>
        </w:tc>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Gross Carrying Value </w:t>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Accumulated Amortization </w:t>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Net Carrying Value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89,815 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3.0 - 7.0</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63,418 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2.0 - 5.0</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189,755 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29,875 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159,880 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9" w:type="dxa"/>
        <w:jc w:val="left"/>
        <w:tblInd w:w="0" w:type="dxa"/>
        <w:tblLayout w:type="fixed"/>
        <w:tblCellMar>
          <w:top w:w="28" w:type="dxa"/>
          <w:left w:w="28" w:type="dxa"/>
          <w:bottom w:w="28" w:type="dxa"/>
          <w:right w:w="28" w:type="dxa"/>
        </w:tblCellMar>
      </w:tblPr>
      <w:tblGrid>
        <w:gridCol w:w="723"/>
        <w:gridCol w:w="634"/>
        <w:gridCol w:w="638"/>
        <w:gridCol w:w="314"/>
        <w:gridCol w:w="314"/>
        <w:gridCol w:w="316"/>
        <w:gridCol w:w="384"/>
        <w:gridCol w:w="1503"/>
        <w:gridCol w:w="198"/>
        <w:gridCol w:w="506"/>
        <w:gridCol w:w="1734"/>
        <w:gridCol w:w="265"/>
        <w:gridCol w:w="340"/>
        <w:gridCol w:w="1332"/>
        <w:gridCol w:w="2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years)</w:t>
            </w:r>
          </w:p>
        </w:tc>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Gross Carrying Value </w:t>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Accumulated Amortization </w:t>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Net Carrying Value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97,944 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2.0 - 5.0</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189,755 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14,812 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174,943 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intangible assets was $7.6 million and $15.1 million for the three and six months ended June 30, 2025, respectively. These expenses were recorded as $4.1 million and $8.1 million, respectively, within cost of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Amortization expense of intangible assets was $1.0 million and $2.1 million for the three and six months ended June 30, 2024, respectively. These expenses were recorded as $0.4 million and $0.9 million, respectively, within cost of revenues for the three and six months ended June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of intangible assets held as of June 30, 2025, is as follows (in thousands):</w:t>
      </w:r>
    </w:p>
    <w:tbl>
      <w:tblPr>
        <w:tblW w:w="3456" w:type="dxa"/>
        <w:jc w:val="left"/>
        <w:tblInd w:w="0" w:type="dxa"/>
        <w:tblLayout w:type="fixed"/>
        <w:tblCellMar>
          <w:top w:w="28" w:type="dxa"/>
          <w:left w:w="28" w:type="dxa"/>
          <w:bottom w:w="28" w:type="dxa"/>
          <w:right w:w="28" w:type="dxa"/>
        </w:tblCellMar>
      </w:tblPr>
      <w:tblGrid>
        <w:gridCol w:w="820"/>
        <w:gridCol w:w="720"/>
        <w:gridCol w:w="725"/>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ACCRUED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5433" w:type="dxa"/>
        <w:jc w:val="left"/>
        <w:tblInd w:w="0" w:type="dxa"/>
        <w:tblLayout w:type="fixed"/>
        <w:tblCellMar>
          <w:top w:w="28" w:type="dxa"/>
          <w:left w:w="28" w:type="dxa"/>
          <w:bottom w:w="28" w:type="dxa"/>
          <w:right w:w="28" w:type="dxa"/>
        </w:tblCellMar>
      </w:tblPr>
      <w:tblGrid>
        <w:gridCol w:w="1000"/>
        <w:gridCol w:w="878"/>
        <w:gridCol w:w="882"/>
        <w:gridCol w:w="211"/>
        <w:gridCol w:w="721"/>
        <w:gridCol w:w="109"/>
        <w:gridCol w:w="109"/>
        <w:gridCol w:w="109"/>
        <w:gridCol w:w="109"/>
        <w:gridCol w:w="253"/>
        <w:gridCol w:w="867"/>
        <w:gridCol w:w="18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payables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Contracts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non-cancelable future minimum payments were as follows as of June 30, 2025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The Company's assessment may change over time as individual proceedings or claims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SYNQ3 v. TEBO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SYNQ3 Acquisition, SYNQ3 filed a litigation against its landlord, TEBO in the United States District Court of Colorado, and TEBO counterclaimed in May 2022. On June 2, 2022, the District Court entered a judgment that was in favor of SYNQ3. TEBO filed the notice of appeal in July, 2023. On June 27, 2024, the Colorado Court of Appeals reversed the judgment and remanded the case to the District Court to enter judgment in favor of TEBO on both SYNQ3’s claim and TEBO’s counterclaim and to conduct further proceedings as are necessary to determine the damages, attorney fees and costs, if any, to be awarded to TEBO. On January 15, 2025, the Company entered a Settlement Agreement with TEBO. The Settlement Agreement requires SYNQ3 to pay $1.8 million to TEBO in January 2025 to resolve all matters related to the litigation and dispute. Therefore, the Company paid $1.8 million to TEBO under the Settlement Agreement during the first quarter of 2025, which was offset by the Deferred Consideration and Contingent Holdback Consideration under the SYNQ3 Acquisition and was withheld from the sellers when the Holdback Amount was settled in April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VB Assets, LLC v. SoundHound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At the appropriate time, the Company will deny all infringement allegations and allege that VB Assets, LLC patents asserted against the Company are invalid and/or unenforceable. The Company intends to vigorously defend itself in all respects. As of June 30, 2025, no determination can be made as to the likelihood of a favorable or unfavorable outcome. In accordance with ASC 450, Contingencies, no reasonably possible loss or range of loss can be estimated and accrued as of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 things, claims under Sections 10(b) and 20(a) of the Securities Exchange Act of 1934, as amended. Plaintiff seeks to represent a putative class of shareholders who purchased or otherwise acquired SoundHound securities between May 10, 2024 and March 3, 2025, both dates inclusive. The Company intends to vigorously defend the claims and believes the complaint lacks merit. As of June 30, 2025, no determination can be made as to the likelihood of a favorable or unfavorable outcome. In accordance with ASC 450, Contingencies, no reasonably possible loss or range of loss can be estimated and accrued as of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As of June 30, 2025, no determination can be made as to the likelihood of a favorable or unfavorable outcome. In accordance with ASC 450, Contingencies, no reasonably possible loss or range of loss can be estimated and accrued as of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Corporate Opportunity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2025, a stockholder of the Company filed a putative class action (the “Corporate Opportunity Action”), alleging inter alia that Article XII, Section 12.1 of the Company’s Certificate of Incorporation violates Delaware law. The Company and its directors denied any and all wrongdoing alleged in the Corporate Opportunity Action but, to avoid the cost and distraction of litigation, the Board determined that it was advisable and in the best interests of the Company and its stockholders to revise Article XII of the Certificate of Incorporation (the “Opportunity Waiver Limitation Amendment”) and to submit the Opportunity Waiver Limitation Amendment to Company’s stockholders for approval.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Corporate Opportunity Action plaintiff agreed that the proposed language mooted his claims. The Company's stockholders approved the Opportunity Waiver Limitation Amendment on May 23, 2025. The Company reached an agreement whereby, without admitting any fault or wrongdoing, the Company agreed to pay $85.0 thousand in attorneys’ fees and expenses to the plaintiff’s counsel (including a $0.5 thousand service award to the plaintiff) as the mootness fee to resolve this matter. On July 24, 2025, the Court entered an order closing the case, subject to the Company filing an affidavit with the Court confirming compliance with the order. In entering the order, the Court did not review, and did not pass judgment on, the payment of the mootness fee.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Other Matters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analyze potential sales tax exposure using a state-by-state assessment. In accordance with ASC 450, Contingencies, the Company estimated and recorded a liability of $2.6 million as of June 30, 2025 and $3.1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WARRANTS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Term Loan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connection with the Credit Agreement (as defined in Note 9),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w:t>
      </w:r>
      <w:r>
        <w:rPr>
          <w:rFonts w:ascii="Times New Roman;serif" w:hAnsi="Times New Roman;serif"/>
          <w:b w:val="false"/>
          <w:color w:val="000000"/>
          <w:sz w:val="20"/>
        </w:rPr>
        <w:t>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condensed consolidated balance sheets.</w:t>
      </w:r>
    </w:p>
    <w:p>
      <w:pPr>
        <w:pStyle w:val="TextBody"/>
        <w:bidi w:val="0"/>
        <w:spacing w:lineRule="auto" w:line="288" w:before="240" w:after="283"/>
        <w:jc w:val="both"/>
        <w:rPr/>
      </w:pPr>
      <w:r>
        <w:rPr>
          <w:rFonts w:ascii="Times New Roman;serif" w:hAnsi="Times New Roman;serif"/>
          <w:b w:val="false"/>
          <w:color w:val="000000"/>
          <w:sz w:val="20"/>
        </w:rPr>
        <w:t xml:space="preserve">In March 2024, the Company issued 2,269,982 shares of the Company's </w:t>
      </w:r>
      <w:r>
        <w:rPr>
          <w:rFonts w:ascii="Times New Roman;serif" w:hAnsi="Times New Roman;serif"/>
          <w:b w:val="false"/>
          <w:color w:val="000000"/>
          <w:sz w:val="20"/>
          <w:shd w:fill="FFFFFF" w:val="clear"/>
        </w:rPr>
        <w:t>Class A Common Stock</w:t>
      </w:r>
      <w:r>
        <w:rPr>
          <w:color w:val="000000"/>
        </w:rPr>
        <w:t xml:space="preserve"> </w:t>
      </w:r>
      <w:r>
        <w:rPr>
          <w:rFonts w:ascii="Times New Roman;serif" w:hAnsi="Times New Roman;serif"/>
          <w:b w:val="false"/>
          <w:color w:val="000000"/>
          <w:sz w:val="20"/>
        </w:rPr>
        <w:t>resulting from the cashless exercise in full of the Term Loan Warrants that were outstanding. As of December 31, 2024, all of the Term Loan Warrants had been exercised and no Term Loan Warrants are outstanding.</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Warrants Related to the Business Combination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closing of the ATSP Merger, the Company’s Public Warrants continue to be classified as equity instruments, as they are indexed to the Company’s stock.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Private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there were 3,662,845 and 3,663,955 Public Warrants and Private Warrants issued and outstanding, respectively. During the three and six months ended June 30, 2025, the Company issued zero and 1,110 shares, respectively, of the Company's Class A Common Stock resulting from the exercise of Public Warrants and Private Warrants that were outstanding and raised zero and less than $0.1 million, respectively, in cash proceeds. There was no common stock warrant exercises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NOTE PAYABLE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Term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Guarantee and Collateral Agreement. In addition, the Company is obligated to pay incremental lender fees (the "Lender Fees"), beginning on the Term Loan closing date, initially at the rate of 3.50% of the principal amount of the Term Loans for the first 18 months paid semi-annually to provide a collateral protection insurance policy on behalf of the lenders. Such rate for the Lender Fees will decrease to 2.50%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 with respect to SOFR loans, and 7.50% per annum with respect to ABR loans. As of </w:t>
      </w:r>
      <w:r>
        <w:rPr>
          <w:rFonts w:ascii="Times New Roman;serif" w:hAnsi="Times New Roman;serif"/>
          <w:b w:val="false"/>
          <w:color w:val="000000"/>
          <w:sz w:val="20"/>
        </w:rPr>
        <w:t>June 30, 2024,</w:t>
      </w:r>
      <w:r>
        <w:rPr>
          <w:color w:val="000000"/>
          <w:shd w:fill="FFFFFF" w:val="clear"/>
        </w:rPr>
        <w:t xml:space="preserve"> </w:t>
      </w:r>
      <w:r>
        <w:rPr>
          <w:rFonts w:ascii="Times New Roman;serif" w:hAnsi="Times New Roman;serif"/>
          <w:b w:val="false"/>
          <w:color w:val="000000"/>
          <w:sz w:val="20"/>
          <w:shd w:fill="FFFFFF" w:val="clear"/>
        </w:rPr>
        <w:t xml:space="preserve">the contractual interest rate was approximately 14.0%. The Company was amortizing the discounts on an effective interest basis over the period from issuance through April 14, 2027 (the “Maturity Date”). The effective interest rate was 25.18% for the quarter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The Company incurred $2.6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$6.0 million, respectively, in stated interest in the condensed consolidated statements of operations and comprehensive loss for the </w:t>
      </w:r>
      <w:r>
        <w:rPr>
          <w:rFonts w:ascii="Times New Roman;serif" w:hAnsi="Times New Roman;serif"/>
          <w:b w:val="false"/>
          <w:color w:val="000000"/>
          <w:sz w:val="20"/>
        </w:rPr>
        <w:t xml:space="preserve">three and six months ended June 30, 2024, and </w:t>
      </w:r>
      <w:r>
        <w:rPr>
          <w:rFonts w:ascii="Times New Roman;serif" w:hAnsi="Times New Roman;serif"/>
          <w:b w:val="false"/>
          <w:color w:val="000000"/>
          <w:sz w:val="20"/>
          <w:shd w:fill="FFFFFF" w:val="clear"/>
        </w:rPr>
        <w:t xml:space="preserve">paid zero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$3.5 million</w:t>
      </w:r>
      <w:r>
        <w:rPr>
          <w:color w:val="000000"/>
        </w:rPr>
        <w:t xml:space="preserve"> </w:t>
      </w:r>
      <w:r>
        <w:rPr>
          <w:rFonts w:ascii="Times New Roman;serif" w:hAnsi="Times New Roman;serif"/>
          <w:b w:val="false"/>
          <w:color w:val="000000"/>
          <w:sz w:val="20"/>
        </w:rPr>
        <w:t xml:space="preserve">for the respective periods.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the Company recorded</w:t>
      </w:r>
      <w:r>
        <w:rPr>
          <w:color w:val="000000"/>
        </w:rPr>
        <w:t xml:space="preserve"> </w:t>
      </w:r>
      <w:r>
        <w:rPr>
          <w:rFonts w:ascii="Times New Roman;serif" w:hAnsi="Times New Roman;serif"/>
          <w:b w:val="false"/>
          <w:color w:val="000000"/>
          <w:sz w:val="20"/>
          <w:shd w:fill="FFFFFF" w:val="clear"/>
        </w:rPr>
        <w:t>$0.3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$1.5 million, respectively,</w:t>
      </w:r>
      <w:r>
        <w:rPr>
          <w:color w:val="000000"/>
        </w:rPr>
        <w:t xml:space="preserv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interest expense related to the debt discount.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June 7, 2024, the Company entered into a letter agreement (the “Payoff Letter”) to prepay in full all indebtedness and other amounts outstanding and owing under the Credit Agreement. </w:t>
      </w:r>
      <w:r>
        <w:rPr>
          <w:rFonts w:ascii="Times New Roman;serif" w:hAnsi="Times New Roman;serif"/>
          <w:b w:val="false"/>
          <w:color w:val="000000"/>
          <w:sz w:val="20"/>
        </w:rPr>
        <w:t xml:space="preserve">In connection with the Term Loan prepayment, the Company paid a total of </w:t>
      </w:r>
      <w:r>
        <w:rPr>
          <w:rFonts w:ascii="Times New Roman;serif" w:hAnsi="Times New Roman;serif"/>
          <w:b w:val="false"/>
          <w:color w:val="000000"/>
          <w:sz w:val="20"/>
          <w:shd w:fill="FFFFFF" w:val="clear"/>
        </w:rPr>
        <w:t>$105.6 million</w:t>
      </w:r>
      <w:r>
        <w:rPr>
          <w:color w:val="000000"/>
        </w:rPr>
        <w:t xml:space="preserve"> </w:t>
      </w:r>
      <w:r>
        <w:rPr>
          <w:rFonts w:ascii="Times New Roman;serif" w:hAnsi="Times New Roman;serif"/>
          <w:b w:val="false"/>
          <w:color w:val="000000"/>
          <w:sz w:val="20"/>
        </w:rPr>
        <w:t xml:space="preserve">on June 7, 2024, which consisted of (i) the remaining principal amount outstanding of </w:t>
      </w:r>
      <w:r>
        <w:rPr>
          <w:rFonts w:ascii="Times New Roman;serif" w:hAnsi="Times New Roman;serif"/>
          <w:b w:val="false"/>
          <w:color w:val="000000"/>
          <w:sz w:val="20"/>
          <w:shd w:fill="FFFFFF" w:val="clear"/>
        </w:rPr>
        <w:t>$100.0 million</w:t>
      </w:r>
      <w:r>
        <w:rPr>
          <w:rFonts w:ascii="Times New Roman;serif" w:hAnsi="Times New Roman;serif"/>
          <w:b w:val="false"/>
          <w:color w:val="000000"/>
          <w:sz w:val="20"/>
        </w:rPr>
        <w:t xml:space="preserve">, (ii) a prepayment premium of </w:t>
      </w:r>
      <w:r>
        <w:rPr>
          <w:rFonts w:ascii="Times New Roman;serif" w:hAnsi="Times New Roman;serif"/>
          <w:b w:val="false"/>
          <w:color w:val="000000"/>
          <w:sz w:val="20"/>
          <w:shd w:fill="FFFFFF" w:val="clear"/>
        </w:rPr>
        <w:t>$5.0 million</w:t>
      </w:r>
      <w:r>
        <w:rPr>
          <w:rFonts w:ascii="Times New Roman;serif" w:hAnsi="Times New Roman;serif"/>
          <w:b w:val="false"/>
          <w:color w:val="000000"/>
          <w:sz w:val="20"/>
        </w:rPr>
        <w:t xml:space="preserve">, (iii) transaction expenses of </w:t>
      </w:r>
      <w:r>
        <w:rPr>
          <w:rFonts w:ascii="Times New Roman;serif" w:hAnsi="Times New Roman;serif"/>
          <w:b w:val="false"/>
          <w:color w:val="000000"/>
          <w:sz w:val="20"/>
          <w:shd w:fill="FFFFFF" w:val="clear"/>
        </w:rPr>
        <w:t>$0.6 million</w:t>
      </w:r>
      <w:r>
        <w:rPr>
          <w:rFonts w:ascii="Times New Roman;serif" w:hAnsi="Times New Roman;serif"/>
          <w:b w:val="false"/>
          <w:color w:val="000000"/>
          <w:sz w:val="20"/>
        </w:rPr>
        <w:t xml:space="preserve">, resulting in a loss on debt extinguishment of </w:t>
      </w:r>
      <w:r>
        <w:rPr>
          <w:rFonts w:ascii="Times New Roman;serif" w:hAnsi="Times New Roman;serif"/>
          <w:b w:val="false"/>
          <w:color w:val="000000"/>
          <w:sz w:val="20"/>
          <w:shd w:fill="FFFFFF" w:val="clear"/>
        </w:rPr>
        <w:t>$15.6 million</w:t>
      </w:r>
      <w:r>
        <w:rPr>
          <w:rFonts w:ascii="Times New Roman;serif" w:hAnsi="Times New Roman;serif"/>
          <w:b w:val="false"/>
          <w:color w:val="000000"/>
          <w:sz w:val="20"/>
        </w:rPr>
        <w:t xml:space="preserve">. Accordingly, the accrued and unpaid interest of </w:t>
      </w:r>
      <w:r>
        <w:rPr>
          <w:rFonts w:ascii="Times New Roman;serif" w:hAnsi="Times New Roman;serif"/>
          <w:b w:val="false"/>
          <w:color w:val="000000"/>
          <w:sz w:val="20"/>
          <w:shd w:fill="FFFFFF" w:val="clear"/>
        </w:rPr>
        <w:t>$2.6 million</w:t>
      </w:r>
      <w:r>
        <w:rPr>
          <w:color w:val="000000"/>
        </w:rPr>
        <w:t xml:space="preserve"> </w:t>
      </w:r>
      <w:r>
        <w:rPr>
          <w:rFonts w:ascii="Times New Roman;serif" w:hAnsi="Times New Roman;serif"/>
          <w:b w:val="false"/>
          <w:color w:val="000000"/>
          <w:sz w:val="20"/>
        </w:rPr>
        <w:t xml:space="preserve">was waived under the Payoff Letter.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PREFERRED STOCK</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Series A 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June 30, 2025 and December 31, 2024, all the Series A Preferred Stock have been converted to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Liquidation Preference</w:t>
      </w:r>
    </w:p>
    <w:p>
      <w:pPr>
        <w:pStyle w:val="TextBody"/>
        <w:bidi w:val="0"/>
        <w:spacing w:lineRule="auto" w:line="288" w:before="240" w:after="283"/>
        <w:jc w:val="both"/>
        <w:rPr/>
      </w:pPr>
      <w:r>
        <w:rPr>
          <w:rFonts w:ascii="Times New Roman;serif" w:hAnsi="Times New Roman;serif"/>
          <w:b w:val="false"/>
          <w:color w:val="000000"/>
          <w:sz w:val="20"/>
        </w:rPr>
        <w:t>The Liquidation Preference per share of Preferred Stock was initially equal to $30.00, the original issue price per share. On</w:t>
      </w:r>
      <w:r>
        <w:rPr>
          <w:color w:val="000000"/>
          <w:shd w:fill="FFFFFF" w:val="clear"/>
        </w:rPr>
        <w:t xml:space="preserve"> </w:t>
      </w:r>
      <w:r>
        <w:rPr>
          <w:rFonts w:ascii="Times New Roman;serif" w:hAnsi="Times New Roman;serif"/>
          <w:b w:val="false"/>
          <w:color w:val="000000"/>
          <w:sz w:val="20"/>
        </w:rPr>
        <w:t>January 1, 2024</w:t>
      </w:r>
      <w:r>
        <w:rPr>
          <w:rFonts w:ascii="Times New Roman;serif" w:hAnsi="Times New Roman;serif"/>
          <w:b w:val="false"/>
          <w:color w:val="000000"/>
          <w:sz w:val="20"/>
          <w:shd w:fill="FFFFFF" w:val="clear"/>
        </w:rPr>
        <w:t xml:space="preserve">, the Company's Series A Preferred Stock holders received their latest dividends paid-in-kind as an increase in Liquidation Preference, thereby increasing the Liquidation Preference per share to approximately </w:t>
      </w:r>
      <w:r>
        <w:rPr>
          <w:rFonts w:ascii="Times New Roman;serif" w:hAnsi="Times New Roman;serif"/>
          <w:b w:val="false"/>
          <w:color w:val="000000"/>
          <w:sz w:val="20"/>
        </w:rPr>
        <w:t>$34.13</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Redemption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is not mandatorily redeemable.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December 31, 2024, the condition of automatic conversion was met and all the remaining Series A Preferred Stock were automatically converted.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2024, 70,241 and 475,005 shares, respectively, of preferred stock were converted into 2,553,361 and 16,624,215 shares, respectively, of Class A Common Stock. The conversion was pursuant to the original terms of the agreement and therefore the carrying value of Series A Preferred Stock was converted into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Common Stock with no gain or loss upon conversion. There were no conversions during the three and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2025 Annual Meeting of Stockholders held on May 23, 2025, the Company’s stockholders approved to increase the number of authorized shares of Class A Common Stock from 455,000,000 to 755,000,000. As of June 30, 2025, the Company is authorized to issue 800,000,000 shares of capital stock, consisting of (a) 755,000,000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rights, including the liquidation and dividend rights, of the holders of the Company’s Class A and Class B common stock are identical, except with respect to voting.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2024, certain holders of Class B Common Stock optionally converted zero and 4,750,000 shares, respectively, of Class B Common Stock into the same number of shares of Class A Common Stock. There was no conversion of Class B Common Stock during the three and six months ended June 30, 2025.</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Sales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also agreed to reimburse the Sales Agents for certain specified expenses, including the reasonable and documented fees and disbursements of its legal counsel in an amount of $75,000 in the aggregate in connection with the execution of the Sales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rPr>
        <w:t>During the three and six months ended June 30, 2024</w:t>
      </w:r>
      <w:r>
        <w:rPr>
          <w:rFonts w:ascii="Times New Roman;serif" w:hAnsi="Times New Roman;serif"/>
          <w:b w:val="false"/>
          <w:color w:val="000000"/>
          <w:sz w:val="20"/>
          <w:shd w:fill="FFFFFF" w:val="clear"/>
        </w:rPr>
        <w:t xml:space="preserve">, the Company sold a total of </w:t>
      </w:r>
      <w:r>
        <w:rPr>
          <w:rFonts w:ascii="Times New Roman;serif" w:hAnsi="Times New Roman;serif"/>
          <w:b w:val="false"/>
          <w:color w:val="000000"/>
          <w:sz w:val="20"/>
        </w:rPr>
        <w:t>zero and 37,907,219</w:t>
      </w:r>
      <w:r>
        <w:rPr>
          <w:color w:val="000000"/>
          <w:shd w:fill="FFFFFF" w:val="clear"/>
        </w:rPr>
        <w:t xml:space="preserve"> </w:t>
      </w:r>
      <w:r>
        <w:rPr>
          <w:rFonts w:ascii="Times New Roman;serif" w:hAnsi="Times New Roman;serif"/>
          <w:b w:val="false"/>
          <w:color w:val="000000"/>
          <w:sz w:val="20"/>
          <w:shd w:fill="FFFFFF" w:val="clear"/>
        </w:rPr>
        <w:t xml:space="preserve">shares of our Class A common stock under the Sales Agreement, at a weighted-average price of </w:t>
      </w:r>
      <w:r>
        <w:rPr>
          <w:rFonts w:ascii="Times New Roman;serif" w:hAnsi="Times New Roman;serif"/>
          <w:b w:val="false"/>
          <w:color w:val="000000"/>
          <w:sz w:val="20"/>
        </w:rPr>
        <w:t>$3.62</w:t>
      </w:r>
      <w:r>
        <w:rPr>
          <w:color w:val="000000"/>
          <w:shd w:fill="FFFFFF" w:val="clear"/>
        </w:rPr>
        <w:t xml:space="preserve"> </w:t>
      </w:r>
      <w:r>
        <w:rPr>
          <w:rFonts w:ascii="Times New Roman;serif" w:hAnsi="Times New Roman;serif"/>
          <w:b w:val="false"/>
          <w:color w:val="000000"/>
          <w:sz w:val="20"/>
          <w:shd w:fill="FFFFFF" w:val="clear"/>
        </w:rPr>
        <w:t xml:space="preserve">per share and raised </w:t>
      </w:r>
      <w:r>
        <w:rPr>
          <w:rFonts w:ascii="Times New Roman;serif" w:hAnsi="Times New Roman;serif"/>
          <w:b w:val="false"/>
          <w:color w:val="000000"/>
          <w:sz w:val="20"/>
        </w:rPr>
        <w:t>$137.3 million</w:t>
      </w:r>
      <w:r>
        <w:rPr>
          <w:color w:val="000000"/>
          <w:shd w:fill="FFFFFF" w:val="clear"/>
        </w:rPr>
        <w:t xml:space="preserve"> </w:t>
      </w:r>
      <w:r>
        <w:rPr>
          <w:rFonts w:ascii="Times New Roman;serif" w:hAnsi="Times New Roman;serif"/>
          <w:b w:val="false"/>
          <w:color w:val="000000"/>
          <w:sz w:val="20"/>
          <w:shd w:fill="FFFFFF" w:val="clear"/>
        </w:rPr>
        <w:t xml:space="preserve">of gross proceeds, which resulted in complete utilization of the Sales Agreement as of March 31, 2024. After deducting approximately </w:t>
      </w:r>
      <w:r>
        <w:rPr>
          <w:rFonts w:ascii="Times New Roman;serif" w:hAnsi="Times New Roman;serif"/>
          <w:b w:val="false"/>
          <w:color w:val="000000"/>
          <w:sz w:val="20"/>
        </w:rPr>
        <w:t xml:space="preserve">$3.4 million of </w:t>
      </w:r>
      <w:r>
        <w:rPr>
          <w:rFonts w:ascii="Times New Roman;serif" w:hAnsi="Times New Roman;serif"/>
          <w:b w:val="false"/>
          <w:color w:val="000000"/>
          <w:sz w:val="20"/>
          <w:shd w:fill="FFFFFF" w:val="clear"/>
        </w:rPr>
        <w:t>commissions and offering costs incurred by the Company</w:t>
      </w:r>
      <w:r>
        <w:rPr>
          <w:rFonts w:ascii="Times New Roman;serif" w:hAnsi="Times New Roman;serif"/>
          <w:b w:val="false"/>
          <w:color w:val="000000"/>
          <w:sz w:val="20"/>
        </w:rPr>
        <w:t>, th</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 xml:space="preserve">net proceeds from sales of Class A common stock was $133.8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this program, the Company was able to offer and sell up to $150.0 million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 As of December 31, 2024, the Company had no remaining capacity to sell the Company's Class A common stock under the Equity Distribution Agreement. </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Execute 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2024, the Company entered into an Execute Equity Distribution Agreement (the “Execute Equity Distribution Agreement”) with Barclays Capital Inc., Piper Sandler &amp; Co., D.A. Davidson &amp; Co., H.C. Wainwright &amp; Co., LLC, and Joseph Gunnar &amp; Co., LLC, (each, an “Agent,” and, collectively, the “Agents”) with respect to an at-the-market equity program. Under this program, the Company was able to offer and sell up to $120.0 million of shares of its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 As of December 31, 2024, the Company had no remaining capacity to sell the Company's Class A common stock under the Execute Equity Distribution Agreement. </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Second 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24, 2025, the Company entered into an Equity Distribution Agreement (the "Second Equity Distribution Agreement") with Cantor Fitzgerald &amp; Co., Guggenheim Securities, LLC, Oppenheimer &amp; Co. Inc., Wedbush Securities Inc., Ladenburg Thalmann &amp; Co. Inc. and Northland Securities, Inc. (each, an “Sales Manager,” and, collectively, the “Sales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 During the three and six months ended June 30, 2025, the Company sold 646,000 shares and 4,894,900 shares, respectively, of its common stock under the Second Equity Distribution Agreement, at an average price of $12.16 and $15.44 per share, respectively, and raised $7.9 million and $75.6 million of gross proceeds, respectively. The commissions and offering costs borne by us were approximately $0.2 million and $1.5 million, respectively. As of June 30, 2025, the Company had a remaining capacity to sell up to an additional $174.4 million of its common stock under the Second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STOCK INCENTIVE PLANS</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2016 Equity Incentive Plan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April 2016, we adopted the 2016 Equity Incentive Plan (the “2016 Plan”) as a successor and continuation of the 2006 Plan. Under the 2016 Plan, the Company was permitted to grant awards of stock options and Restricted Stock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("RSUs"), as well as stock appreciation rights and other stock awards. The Company no longer has shares available for issuance under the 2016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2022 Incentive Award Plan</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w:t>
      </w:r>
      <w:r>
        <w:rPr>
          <w:rFonts w:ascii="Times New Roman;serif" w:hAnsi="Times New Roman;serif"/>
          <w:b w:val="false"/>
          <w:color w:val="000000"/>
          <w:sz w:val="20"/>
        </w:rPr>
        <w:t xml:space="preserve">any’s common stock outstanding immediately after the Closing and is subject to increase each year over a ten-year period. As of June 30, 2025, the Company had </w:t>
      </w:r>
      <w:r>
        <w:rPr>
          <w:rFonts w:ascii="Times New Roman;serif" w:hAnsi="Times New Roman;serif"/>
          <w:b w:val="false"/>
          <w:color w:val="000000"/>
          <w:sz w:val="20"/>
          <w:shd w:fill="FFFFFF" w:val="clear"/>
        </w:rPr>
        <w:t>17,288,175</w:t>
      </w:r>
      <w:r>
        <w:rPr>
          <w:color w:val="000000"/>
        </w:rPr>
        <w:t xml:space="preserve"> </w:t>
      </w:r>
      <w:r>
        <w:rPr>
          <w:rFonts w:ascii="Times New Roman;serif" w:hAnsi="Times New Roman;serif"/>
          <w:b w:val="false"/>
          <w:color w:val="000000"/>
          <w:sz w:val="20"/>
        </w:rPr>
        <w:t>shares remaining for issuance under the 2022 Incentive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2022 Employee Stock Purchase Plan</w:t>
      </w:r>
    </w:p>
    <w:p>
      <w:pPr>
        <w:pStyle w:val="TextBody"/>
        <w:bidi w:val="0"/>
        <w:spacing w:lineRule="auto" w:line="288" w:before="240" w:after="283"/>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w:t>
      </w:r>
      <w:r>
        <w:rPr>
          <w:rFonts w:ascii="Times New Roman;serif" w:hAnsi="Times New Roman;serif"/>
          <w:b w:val="false"/>
          <w:color w:val="000000"/>
          <w:sz w:val="20"/>
        </w:rPr>
        <w:t>2%</w:t>
      </w:r>
      <w:r>
        <w:rPr>
          <w:color w:val="000000"/>
          <w:shd w:fill="FFFFFF" w:val="clear"/>
        </w:rPr>
        <w:t xml:space="preserve"> </w:t>
      </w:r>
      <w:r>
        <w:rPr>
          <w:rFonts w:ascii="Times New Roman;serif" w:hAnsi="Times New Roman;serif"/>
          <w:b w:val="false"/>
          <w:color w:val="000000"/>
          <w:sz w:val="20"/>
          <w:shd w:fill="FFFFFF" w:val="clear"/>
        </w:rPr>
        <w:t xml:space="preserve">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w:t>
      </w:r>
      <w:r>
        <w:rPr>
          <w:rFonts w:ascii="Times New Roman;serif" w:hAnsi="Times New Roman;serif"/>
          <w:b w:val="false"/>
          <w:color w:val="000000"/>
          <w:sz w:val="20"/>
        </w:rPr>
        <w:t>85%</w:t>
      </w:r>
      <w:r>
        <w:rPr>
          <w:color w:val="000000"/>
          <w:shd w:fill="FFFFFF" w:val="clear"/>
        </w:rPr>
        <w:t xml:space="preserve"> </w:t>
      </w:r>
      <w:r>
        <w:rPr>
          <w:rFonts w:ascii="Times New Roman;serif" w:hAnsi="Times New Roman;serif"/>
          <w:b w:val="false"/>
          <w:color w:val="000000"/>
          <w:sz w:val="20"/>
          <w:shd w:fill="FFFFFF" w:val="clear"/>
        </w:rPr>
        <w:t>of the lower of the f</w:t>
      </w:r>
      <w:r>
        <w:rPr>
          <w:rFonts w:ascii="Times New Roman;serif" w:hAnsi="Times New Roman;serif"/>
          <w:b w:val="false"/>
          <w:color w:val="000000"/>
          <w:sz w:val="20"/>
        </w:rPr>
        <w:t>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June 30, 2025, 1,074,224 shares of Class A Common Stock were issued under the ESPP.</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2024 Employment Inducement Incentive Award Plan</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adopted 2024 Employment Inducement Incentive Award Plan (the “2024 Inducement Plan”, collectively, with the 2016 Plan and the 2022 Incentive Plan, the “Plans”) effective August</w:t>
      </w:r>
      <w:r>
        <w:rPr>
          <w:color w:val="000000"/>
        </w:rPr>
        <w:t xml:space="preserve"> </w:t>
      </w:r>
      <w:r>
        <w:rPr>
          <w:rFonts w:ascii="Times New Roman;serif" w:hAnsi="Times New Roman;serif"/>
          <w:b w:val="false"/>
          <w:color w:val="000000"/>
          <w:sz w:val="20"/>
        </w:rPr>
        <w:t>6, 2024. The Company reserved 6,000,000 shares of Class A Common Stock for the issuance of awards under the 2024 Inducement Plan. As of June 30, 2025, the Company had 2,493,542 shares remaining for issuance under the 2024 Inducement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 Options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Options granted generally have a maximum term of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years from grant date, are exercisable upon vesting unless otherwise designated for early exercise by the Board of Directors at the time of grant, and generally vest over a four-year period, with a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cliff vesting after one year and then ratably on a monthly basis for the remaining three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total unrecognized stock-based compensation expense related to the unvested stock options was approximately $0.4 million, which we expect to recognize over a weighted-average period of 0.32 years. There were no options granted during the three and six months ended June 30, 2025.</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Units ("RSUs")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connection with the SYNQ3 Acquisition, the Company granted </w:t>
      </w:r>
      <w:r>
        <w:rPr>
          <w:rFonts w:ascii="Times New Roman;serif" w:hAnsi="Times New Roman;serif"/>
          <w:b w:val="false"/>
          <w:color w:val="000000"/>
          <w:sz w:val="20"/>
        </w:rPr>
        <w:t>1,434,978</w:t>
      </w:r>
      <w:r>
        <w:rPr>
          <w:color w:val="000000"/>
          <w:shd w:fill="FFFFFF" w:val="clear"/>
        </w:rPr>
        <w:t xml:space="preserve"> </w:t>
      </w:r>
      <w:r>
        <w:rPr>
          <w:rFonts w:ascii="Times New Roman;serif" w:hAnsi="Times New Roman;serif"/>
          <w:b w:val="false"/>
          <w:color w:val="000000"/>
          <w:sz w:val="20"/>
          <w:shd w:fill="FFFFFF" w:val="clear"/>
        </w:rPr>
        <w:t xml:space="preserve">RSUs (the "Retention Pool"),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of which is subject to service conditions that vest at the end of each of the upcoming three fiscal years and </w:t>
      </w:r>
      <w:r>
        <w:rPr>
          <w:rFonts w:ascii="Times New Roman;serif" w:hAnsi="Times New Roman;serif"/>
          <w:b w:val="false"/>
          <w:color w:val="000000"/>
          <w:sz w:val="20"/>
        </w:rPr>
        <w:t>75% of which</w:t>
      </w:r>
      <w:r>
        <w:rPr>
          <w:color w:val="000000"/>
          <w:shd w:fill="FFFFFF" w:val="clear"/>
        </w:rPr>
        <w:t xml:space="preserve"> </w:t>
      </w:r>
      <w:r>
        <w:rPr>
          <w:rFonts w:ascii="Times New Roman;serif" w:hAnsi="Times New Roman;serif"/>
          <w:b w:val="false"/>
          <w:color w:val="000000"/>
          <w:sz w:val="20"/>
          <w:shd w:fill="FFFFFF" w:val="clear"/>
        </w:rPr>
        <w:t>is subject to both service and performance-based vesting conditions at the end of each of the upcoming three fiscal years,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probability of vesting of the above performance-based awards from the Retention Pool every reporting period. As of June 30, 2025, performance level of 2024 revenue amount was not met. The Company assessed the performance level of 2025 was not probable of being met but the performance level of 2026 was probable of being met. </w:t>
      </w:r>
    </w:p>
    <w:p>
      <w:pPr>
        <w:pStyle w:val="TextBody"/>
        <w:bidi w:val="0"/>
        <w:spacing w:lineRule="auto" w:line="288" w:before="240" w:after="283"/>
        <w:jc w:val="both"/>
        <w:rPr/>
      </w:pPr>
      <w:r>
        <w:rPr>
          <w:rFonts w:ascii="Times New Roman;serif" w:hAnsi="Times New Roman;serif"/>
          <w:b w:val="false"/>
          <w:color w:val="000000"/>
          <w:sz w:val="20"/>
        </w:rPr>
        <w:t xml:space="preserve">The Company also granted zero and 3,533,500 RSUs that vest over a four-year requisite service period to Amelia employees under </w:t>
      </w:r>
      <w:r>
        <w:rPr>
          <w:rFonts w:ascii="Times New Roman;serif" w:hAnsi="Times New Roman;serif"/>
          <w:b w:val="false"/>
          <w:color w:val="000000"/>
          <w:sz w:val="20"/>
          <w:shd w:fill="FFFFFF" w:val="clear"/>
        </w:rPr>
        <w:t>2024 Inducement Plan</w:t>
      </w:r>
      <w:r>
        <w:rPr>
          <w:color w:val="000000"/>
        </w:rPr>
        <w:t xml:space="preserve"> </w:t>
      </w:r>
      <w:r>
        <w:rPr>
          <w:rFonts w:ascii="Times New Roman;serif" w:hAnsi="Times New Roman;serif"/>
          <w:b w:val="false"/>
          <w:color w:val="000000"/>
          <w:sz w:val="20"/>
        </w:rPr>
        <w:t>during the three and six months ended June 30, 2025, respectively. Additionally, the Company granted 587,697 and 1,967,609 RSUs to other employees of the Company during the three and six months ended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total unrecognized stock-based compensation expense related to the unvested RSUs with service conditions was approximately $113.6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no unrecognized stock-based compensation expense related to the unvested Market-Based RSUs. There were no Market-Based RSUs granted during the three and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total unrecognized stock-based compensation expense related to the unvested Performance-based RSUs was approximately $6.0 million. There were zero and 50,000 Performance-Based RSUs granted under 2024 Inducement Plan during the three and six months ended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unrecognized stock-based compensation related to unvested RSUs is $119.6 million as of June 30, 2025 and this will vest over a weighted average period of 2.65 years.</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Awards</w:t>
      </w:r>
    </w:p>
    <w:p>
      <w:pPr>
        <w:pStyle w:val="TextBody"/>
        <w:bidi w:val="0"/>
        <w:spacing w:lineRule="auto" w:line="288" w:before="240" w:after="283"/>
        <w:jc w:val="both"/>
        <w:rPr/>
      </w:pPr>
      <w:r>
        <w:rPr>
          <w:rFonts w:ascii="Times New Roman;serif" w:hAnsi="Times New Roman;serif"/>
          <w:b w:val="false"/>
          <w:color w:val="000000"/>
          <w:sz w:val="20"/>
        </w:rPr>
        <w:t xml:space="preserve">In connection with the SYNQ3 Acquisition, a total of 2,033,156 unvested restricted Class A Common Stock shares </w:t>
      </w:r>
      <w:r>
        <w:rPr>
          <w:rFonts w:ascii="Times New Roman;serif" w:hAnsi="Times New Roman;serif"/>
          <w:b w:val="false"/>
          <w:i/>
          <w:color w:val="000000"/>
          <w:sz w:val="20"/>
        </w:rPr>
        <w:t>("RSAs")</w:t>
      </w:r>
      <w:r>
        <w:rPr>
          <w:color w:val="000000"/>
        </w:rPr>
        <w:t xml:space="preserve"> </w:t>
      </w:r>
      <w:r>
        <w:rPr>
          <w:rFonts w:ascii="Times New Roman;serif" w:hAnsi="Times New Roman;serif"/>
          <w:b w:val="false"/>
          <w:color w:val="000000"/>
          <w:sz w:val="20"/>
        </w:rPr>
        <w:t xml:space="preserve">were issued, 25% of which are subject to service conditions that vest at the end of each of the upcoming three fiscal years in three tranches, and 75% of which is subject to both service and performance-based vesting conditions in three tranches.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probability of vesting of the above performance-based awards every reporting period. As of June 30, 2025, the performance level of the 2024 revenue amount was not met. The Company assessed the performance level of 2025 was not probable of being met but the performance level 2026 was probable of being met.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total unrecognized stock-based compensation expense related to the unvested RSAs subject to service-based vesting condition and unvested RSAs subject to performance-based vesting condition was approximately $0.1 million and $0.7 million, respectively, over a weighted average period of 1.21 years. Refer to Note 3 for further information on the SYNQ3 Acquisition.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Stock-Based Compensation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Stock-based compensation is classified in the following expense accounts on the condensed consolidated statements of operations and comprehensive income (loss) for the </w:t>
      </w:r>
      <w:r>
        <w:rPr>
          <w:rFonts w:ascii="Times New Roman;serif" w:hAnsi="Times New Roman;serif"/>
          <w:b w:val="false"/>
          <w:color w:val="000000"/>
          <w:sz w:val="20"/>
        </w:rPr>
        <w:t xml:space="preserve">three and six months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June 30, 2025, and 2024 </w:t>
      </w:r>
      <w:r>
        <w:rPr>
          <w:rFonts w:ascii="Times New Roman;serif" w:hAnsi="Times New Roman;serif"/>
          <w:b w:val="false"/>
          <w:color w:val="000000"/>
          <w:sz w:val="20"/>
          <w:shd w:fill="FFFFFF" w:val="clear"/>
        </w:rPr>
        <w:t xml:space="preserve">(in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395"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OTHER INCOME,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on the condensed consolidated statements of operations is comprised of the following for the three and six months ended June 30, 2025 and 2024 (in thousands):</w:t>
      </w:r>
    </w:p>
    <w:tbl>
      <w:tblPr>
        <w:tblW w:w="7619" w:type="dxa"/>
        <w:jc w:val="left"/>
        <w:tblInd w:w="0" w:type="dxa"/>
        <w:tblLayout w:type="fixed"/>
        <w:tblCellMar>
          <w:top w:w="28" w:type="dxa"/>
          <w:left w:w="28" w:type="dxa"/>
          <w:bottom w:w="28" w:type="dxa"/>
          <w:right w:w="28" w:type="dxa"/>
        </w:tblCellMar>
      </w:tblPr>
      <w:tblGrid>
        <w:gridCol w:w="1030"/>
        <w:gridCol w:w="908"/>
        <w:gridCol w:w="91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NET INCOME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 attributable to common stockholders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746"/>
        <w:gridCol w:w="1431"/>
        <w:gridCol w:w="1434"/>
        <w:gridCol w:w="227"/>
        <w:gridCol w:w="795"/>
        <w:gridCol w:w="119"/>
        <w:gridCol w:w="109"/>
        <w:gridCol w:w="109"/>
        <w:gridCol w:w="109"/>
        <w:gridCol w:w="227"/>
        <w:gridCol w:w="795"/>
        <w:gridCol w:w="119"/>
        <w:gridCol w:w="109"/>
        <w:gridCol w:w="109"/>
        <w:gridCol w:w="109"/>
        <w:gridCol w:w="231"/>
        <w:gridCol w:w="790"/>
        <w:gridCol w:w="120"/>
        <w:gridCol w:w="109"/>
        <w:gridCol w:w="109"/>
        <w:gridCol w:w="109"/>
        <w:gridCol w:w="227"/>
        <w:gridCol w:w="793"/>
        <w:gridCol w:w="170"/>
      </w:tblGrid>
      <w:tr>
        <w:trPr/>
        <w:tc>
          <w:tcPr>
            <w:tcW w:w="174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 held in escrow in connection with Amelia acquisition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dividends attributable to Series A Preferred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 basic</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dilutive instruments classified as derivatives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dividends attributable to Series A Preferred Stock</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 diluted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(75,326)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(70,747)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400,124,499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331,830,608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397,026,119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309,213,583</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17,119,758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402,043,468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331,830,608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414,145,877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309,213,583</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three and six months ended June 30, 2024, the diluted net loss per share is equal to the basic net loss per share as the effect of potentially dilutive securities would have been antidilutive.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shares of potentially dilutive securities that were excluded from the calculation of diluted earnings per share because their inclusion would have been anti-dilutive The following table summarizes the outstanding shares of potentially dilutive securities that were excluded from the calculation of diluted earnings per share because their inclusion would have been anti-dilutive for the three months ended June 30, 2025 and three and six months ended June 30, 2024:</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5297" w:type="dxa"/>
        <w:jc w:val="left"/>
        <w:tblInd w:w="0" w:type="dxa"/>
        <w:tblLayout w:type="fixed"/>
        <w:tblCellMar>
          <w:top w:w="28" w:type="dxa"/>
          <w:left w:w="28" w:type="dxa"/>
          <w:bottom w:w="28" w:type="dxa"/>
          <w:right w:w="28" w:type="dxa"/>
        </w:tblCellMar>
      </w:tblPr>
      <w:tblGrid>
        <w:gridCol w:w="999"/>
        <w:gridCol w:w="880"/>
        <w:gridCol w:w="881"/>
        <w:gridCol w:w="344"/>
        <w:gridCol w:w="344"/>
        <w:gridCol w:w="348"/>
        <w:gridCol w:w="140"/>
        <w:gridCol w:w="140"/>
        <w:gridCol w:w="140"/>
        <w:gridCol w:w="316"/>
        <w:gridCol w:w="316"/>
        <w:gridCol w:w="449"/>
      </w:tblGrid>
      <w:tr>
        <w:trPr/>
        <w:tc>
          <w:tcPr>
            <w:tcW w:w="99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12,477,419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28,919,026</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3,665,996</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280,953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2,033,156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shares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1,906,746</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12,768,757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36,524,924</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does not include: (i) 1,871,293 and zero shares of unvested stock-based awards and restricted stock awards, respectively, and (ii) 17,992,461 and zero shares of contingently issuable earnout shares, respectively; outstanding as of June 30, 2025 and 2024, as these awards are subject to performance conditions that were not met as of those dates.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and diluted net income per share attributable to common stockholders for the three and six months ended June 30, 2025 excludes the 2,149,530 shares and 230,561 shares, respectively, of the Company's Class A Common Stock held in escrow as they are considered contingently returnable shares</w:t>
      </w:r>
      <w:r>
        <w:rPr>
          <w:color w:val="000000"/>
        </w:rPr>
        <w:t xml:space="preserve"> </w:t>
      </w:r>
      <w:r>
        <w:rPr>
          <w:rFonts w:ascii="Times New Roman;serif" w:hAnsi="Times New Roman;serif"/>
          <w:b w:val="false"/>
          <w:color w:val="000000"/>
          <w:sz w:val="20"/>
        </w:rPr>
        <w:t>until the indemnifications subject to escrow have been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tax expense (benefit) and the effective tax rate were as follows (in thousands):</w:t>
      </w:r>
    </w:p>
    <w:tbl>
      <w:tblPr>
        <w:tblW w:w="8680" w:type="dxa"/>
        <w:jc w:val="left"/>
        <w:tblInd w:w="0" w:type="dxa"/>
        <w:tblLayout w:type="fixed"/>
        <w:tblCellMar>
          <w:top w:w="28" w:type="dxa"/>
          <w:left w:w="28" w:type="dxa"/>
          <w:bottom w:w="28" w:type="dxa"/>
          <w:right w:w="28" w:type="dxa"/>
        </w:tblCellMar>
      </w:tblPr>
      <w:tblGrid>
        <w:gridCol w:w="1037"/>
        <w:gridCol w:w="910"/>
        <w:gridCol w:w="918"/>
        <w:gridCol w:w="455"/>
        <w:gridCol w:w="340"/>
        <w:gridCol w:w="389"/>
        <w:gridCol w:w="156"/>
        <w:gridCol w:w="156"/>
        <w:gridCol w:w="156"/>
        <w:gridCol w:w="455"/>
        <w:gridCol w:w="340"/>
        <w:gridCol w:w="389"/>
        <w:gridCol w:w="109"/>
        <w:gridCol w:w="109"/>
        <w:gridCol w:w="109"/>
        <w:gridCol w:w="381"/>
        <w:gridCol w:w="340"/>
        <w:gridCol w:w="337"/>
        <w:gridCol w:w="135"/>
        <w:gridCol w:w="135"/>
        <w:gridCol w:w="135"/>
        <w:gridCol w:w="398"/>
        <w:gridCol w:w="398"/>
        <w:gridCol w:w="393"/>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ind w:left="0" w:right="0" w:hanging="1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(69,398)</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recorded effective tax rate differs from the U.S. statutory rate primarily due to an increase in the domestic valuation allowance caused by tax losses, foreign withholding taxes, and foreign tax rate differentials from the U.S. domestic statutory tax rate and tax benefit resulting from an acquisition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Company's financial instruments that are measured or disclosed at fair value on a recurring basis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6590" w:type="dxa"/>
        <w:jc w:val="left"/>
        <w:tblInd w:w="0" w:type="dxa"/>
        <w:tblLayout w:type="fixed"/>
        <w:tblCellMar>
          <w:top w:w="28" w:type="dxa"/>
          <w:left w:w="28" w:type="dxa"/>
          <w:bottom w:w="28" w:type="dxa"/>
          <w:right w:w="28" w:type="dxa"/>
        </w:tblCellMar>
      </w:tblPr>
      <w:tblGrid>
        <w:gridCol w:w="1035"/>
        <w:gridCol w:w="911"/>
        <w:gridCol w:w="919"/>
        <w:gridCol w:w="211"/>
        <w:gridCol w:w="826"/>
        <w:gridCol w:w="109"/>
        <w:gridCol w:w="109"/>
        <w:gridCol w:w="109"/>
        <w:gridCol w:w="109"/>
        <w:gridCol w:w="213"/>
        <w:gridCol w:w="411"/>
        <w:gridCol w:w="110"/>
        <w:gridCol w:w="109"/>
        <w:gridCol w:w="109"/>
        <w:gridCol w:w="109"/>
        <w:gridCol w:w="211"/>
        <w:gridCol w:w="826"/>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15"/>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June 30, 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06" w:type="dxa"/>
        <w:jc w:val="left"/>
        <w:tblInd w:w="0" w:type="dxa"/>
        <w:tblLayout w:type="fixed"/>
        <w:tblCellMar>
          <w:top w:w="28" w:type="dxa"/>
          <w:left w:w="28" w:type="dxa"/>
          <w:bottom w:w="28" w:type="dxa"/>
          <w:right w:w="28" w:type="dxa"/>
        </w:tblCellMar>
      </w:tblPr>
      <w:tblGrid>
        <w:gridCol w:w="1089"/>
        <w:gridCol w:w="958"/>
        <w:gridCol w:w="967"/>
        <w:gridCol w:w="211"/>
        <w:gridCol w:w="826"/>
        <w:gridCol w:w="109"/>
        <w:gridCol w:w="109"/>
        <w:gridCol w:w="109"/>
        <w:gridCol w:w="109"/>
        <w:gridCol w:w="213"/>
        <w:gridCol w:w="411"/>
        <w:gridCol w:w="110"/>
        <w:gridCol w:w="109"/>
        <w:gridCol w:w="109"/>
        <w:gridCol w:w="109"/>
        <w:gridCol w:w="211"/>
        <w:gridCol w:w="826"/>
        <w:gridCol w:w="221"/>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holdback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acquisition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286,898 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290,974 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Escrow Consideration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Derivative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derivative measured at fair value on a recurring basis using unobservable inputs (Level 3) is as follows:</w:t>
      </w:r>
    </w:p>
    <w:p>
      <w:pPr>
        <w:pStyle w:val="TextBody"/>
        <w:bidi w:val="0"/>
        <w:spacing w:before="0" w:after="0"/>
        <w:jc w:val="both"/>
        <w:rPr/>
      </w:pPr>
      <w:r>
        <w:rPr/>
      </w:r>
    </w:p>
    <w:tbl>
      <w:tblPr>
        <w:tblW w:w="4131" w:type="dxa"/>
        <w:jc w:val="left"/>
        <w:tblInd w:w="0" w:type="dxa"/>
        <w:tblLayout w:type="fixed"/>
        <w:tblCellMar>
          <w:top w:w="28" w:type="dxa"/>
          <w:left w:w="28" w:type="dxa"/>
          <w:bottom w:w="28" w:type="dxa"/>
          <w:right w:w="28" w:type="dxa"/>
        </w:tblCellMar>
      </w:tblPr>
      <w:tblGrid>
        <w:gridCol w:w="1141"/>
        <w:gridCol w:w="1001"/>
        <w:gridCol w:w="1008"/>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Escrow Consideration under Amelia acquisition as equity-classified shares issued as part of the consideration transferred. Upon the settlement of any valid indemnification claims against the selling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three and six months ended June 30, 2025, the Company recognized $0.9 million and $2.2 million gains, respectively, related to the change in fair value of derivative under other income in the condensed consolidated statement of operations and comprehensive income (loss).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Contingent Acquisition Liabilities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Contingent Holdback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Contingent Holdback Consideration measured at fair value, including the effect of measurement period adjustments, on a recurring basis using unobservable inputs (Level 3) is as follows:</w:t>
      </w:r>
    </w:p>
    <w:tbl>
      <w:tblPr>
        <w:tblW w:w="3966" w:type="dxa"/>
        <w:jc w:val="left"/>
        <w:tblInd w:w="0" w:type="dxa"/>
        <w:tblLayout w:type="fixed"/>
        <w:tblCellMar>
          <w:top w:w="28" w:type="dxa"/>
          <w:left w:w="28" w:type="dxa"/>
          <w:bottom w:w="28" w:type="dxa"/>
          <w:right w:w="28" w:type="dxa"/>
        </w:tblCellMar>
      </w:tblPr>
      <w:tblGrid>
        <w:gridCol w:w="1081"/>
        <w:gridCol w:w="949"/>
        <w:gridCol w:w="955"/>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66" w:type="dxa"/>
        <w:jc w:val="left"/>
        <w:tblInd w:w="0" w:type="dxa"/>
        <w:tblLayout w:type="fixed"/>
        <w:tblCellMar>
          <w:top w:w="28" w:type="dxa"/>
          <w:left w:w="28" w:type="dxa"/>
          <w:bottom w:w="28" w:type="dxa"/>
          <w:right w:w="28" w:type="dxa"/>
        </w:tblCellMar>
      </w:tblPr>
      <w:tblGrid>
        <w:gridCol w:w="1081"/>
        <w:gridCol w:w="949"/>
        <w:gridCol w:w="955"/>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SYNQ3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cash portion of the Contingent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Holdback Consideration was estimated based upon the value of the Company’s Class A Common Stock price. The fair value of the Contingent Holdback Consideration was initially measured on January 3, 2024, the date on which the Company completed the acquisition of SYNQ3. For the three and six months ended June 30, 2025, the Company recognized a loss of $2.4 million and a gain of less than $0.1 million, respectively, related to the Contingent Holdback Consideration. For the three and six months ended June 30, 2024, the Company recognized a gain of $1.2 million and a loss of $0.3 million, respectively, related to the Contingent Holdback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Holdback Consideration has been estimated as of the Closing Date, June 30, 2024 and June 30, 2025, under the following assumptions:</w:t>
      </w:r>
    </w:p>
    <w:tbl>
      <w:tblPr>
        <w:tblW w:w="4649" w:type="dxa"/>
        <w:jc w:val="left"/>
        <w:tblInd w:w="0" w:type="dxa"/>
        <w:tblLayout w:type="fixed"/>
        <w:tblCellMar>
          <w:top w:w="28" w:type="dxa"/>
          <w:left w:w="28" w:type="dxa"/>
          <w:bottom w:w="28" w:type="dxa"/>
          <w:right w:w="28" w:type="dxa"/>
        </w:tblCellMar>
      </w:tblPr>
      <w:tblGrid>
        <w:gridCol w:w="668"/>
        <w:gridCol w:w="586"/>
        <w:gridCol w:w="590"/>
        <w:gridCol w:w="331"/>
        <w:gridCol w:w="331"/>
        <w:gridCol w:w="823"/>
        <w:gridCol w:w="268"/>
        <w:gridCol w:w="268"/>
        <w:gridCol w:w="78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 period</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years</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years</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Contingent Earnout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contingent earnout consideration measured at fair value on a recurring basis using unobservable inputs (Level 3) is as follows:</w:t>
      </w:r>
    </w:p>
    <w:tbl>
      <w:tblPr>
        <w:tblW w:w="4176" w:type="dxa"/>
        <w:jc w:val="left"/>
        <w:tblInd w:w="0" w:type="dxa"/>
        <w:tblLayout w:type="fixed"/>
        <w:tblCellMar>
          <w:top w:w="28" w:type="dxa"/>
          <w:left w:w="28" w:type="dxa"/>
          <w:bottom w:w="28" w:type="dxa"/>
          <w:right w:w="28" w:type="dxa"/>
        </w:tblCellMar>
      </w:tblPr>
      <w:tblGrid>
        <w:gridCol w:w="1081"/>
        <w:gridCol w:w="949"/>
        <w:gridCol w:w="955"/>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66" w:type="dxa"/>
        <w:jc w:val="left"/>
        <w:tblInd w:w="0" w:type="dxa"/>
        <w:tblLayout w:type="fixed"/>
        <w:tblCellMar>
          <w:top w:w="28" w:type="dxa"/>
          <w:left w:w="28" w:type="dxa"/>
          <w:bottom w:w="28" w:type="dxa"/>
          <w:right w:w="28" w:type="dxa"/>
        </w:tblCellMar>
      </w:tblPr>
      <w:tblGrid>
        <w:gridCol w:w="1081"/>
        <w:gridCol w:w="949"/>
        <w:gridCol w:w="955"/>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SYNQ3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recognized a loss of $29.0 million and a gain of $144.8 million, respectively, related to the Contingent Earnout Consideration. For the three and six months ended June 30, 2024, the Company recognized a loss of $0.1 million and $2.7 million, respectively, related to the Contingent Earnout Consideration. These gains and losses are reflected in the change in fair value of contingent acquisition liabilities in the condensed consolidated statement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SYNQ3 Earnout Consideration acquired from SYNQ3 Acquisition has been estimated as of the Closing Date, June 30, 2024 and June 30, 2025, with the following assumptions for the unobservable inputs:</w:t>
      </w:r>
    </w:p>
    <w:tbl>
      <w:tblPr>
        <w:tblW w:w="6842" w:type="dxa"/>
        <w:jc w:val="left"/>
        <w:tblInd w:w="0" w:type="dxa"/>
        <w:tblLayout w:type="fixed"/>
        <w:tblCellMar>
          <w:top w:w="28" w:type="dxa"/>
          <w:left w:w="28" w:type="dxa"/>
          <w:bottom w:w="28" w:type="dxa"/>
          <w:right w:w="28" w:type="dxa"/>
        </w:tblCellMar>
      </w:tblPr>
      <w:tblGrid>
        <w:gridCol w:w="950"/>
        <w:gridCol w:w="834"/>
        <w:gridCol w:w="841"/>
        <w:gridCol w:w="331"/>
        <w:gridCol w:w="331"/>
        <w:gridCol w:w="823"/>
        <w:gridCol w:w="339"/>
        <w:gridCol w:w="282"/>
        <w:gridCol w:w="711"/>
        <w:gridCol w:w="323"/>
        <w:gridCol w:w="293"/>
        <w:gridCol w:w="78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c>
          <w:tcPr>
            <w:tcW w:w="13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0.5 - 2.5 years</w:t>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0.25 - 2 years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0.25 - 1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Amelia Earnout Consideration acquired from Amelia Acquisition has been estimated as of the Closing Date and June 30, 2025, with the following assumptions for the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6123" w:type="dxa"/>
        <w:jc w:val="left"/>
        <w:tblInd w:w="0" w:type="dxa"/>
        <w:tblLayout w:type="fixed"/>
        <w:tblCellMar>
          <w:top w:w="28" w:type="dxa"/>
          <w:left w:w="28" w:type="dxa"/>
          <w:bottom w:w="28" w:type="dxa"/>
          <w:right w:w="28" w:type="dxa"/>
        </w:tblCellMar>
      </w:tblPr>
      <w:tblGrid>
        <w:gridCol w:w="1200"/>
        <w:gridCol w:w="1056"/>
        <w:gridCol w:w="1059"/>
        <w:gridCol w:w="301"/>
        <w:gridCol w:w="301"/>
        <w:gridCol w:w="748"/>
        <w:gridCol w:w="406"/>
        <w:gridCol w:w="268"/>
        <w:gridCol w:w="78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6, 2024</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specific discount rate</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 discount rate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metric volatility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target revenue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stock price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1.4 - 2.4 years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0.5 - 1.5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Level 1, Level 2 and Level 3 during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loss that also is reported on the income statement as consolidated net loss. The CODM compares net loss from budget to actual result to assess segment performance and adjust resource allocations as necessary.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adoption of ASU 2023-07 in 2024, the Company determined to disclose personnel costs which requires retrospective application to all prior periods presented in the financial statements. The personnel-related costs are the significant segment expenses included in the net loss that are regularly provided to the CODM. Personnel-related costs were $52.8 million and $97.8 million, respectively, and represented 64.5% and 64.6%, respectively, of total operating expenses during the three and six months ended June 30, 2025. Personnel-related costs were $22.3 million and $44.9 million, respectively, and represented 62.7% and 63.8%, respectively, of total operating expenses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NOTE 18.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11 to the unaudited condensed consolidated financial statements for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brother of one of our Board of Directors is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three and six months ended June 30, 2025, the Company paid commissions of $35.4 thousand and $0.3 million, respectively, to Guggenheim Securities, LLC for the Class A Common Stock sold through it as a Sales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NOTE 19.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United States. Included in this legislation are provisions that allow for the immediate expensing of domestic United States research and development expenses and acceleration of tax deductions for qualified capital expenditures acquired and placed into service after January 19, 2025, and other changes to the U.S. taxation of profits derived from foreign operations. The legislation has multiple effective dates, with certain provisions effective in 2025 and others implemented through 2027. We are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evaluating the impact of the new legislation but do not anticipate a significant impact to our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July and August 2025, the Company sold 6,109,714 shares of our common stock under the Second Equity Distribution Agreement at an average price of $13.45 per share for $82.2 million of gross proceeds. The commissions and offering costs borne by the Company were approximately $1.6 million. Following this issuance, the Company has a remaining capacity to sell up to an additional $92.3 million of the Company's common stock under the Second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2024 included in our Annual Report on Form 10</w:t>
        <w:noBreakHyphen/>
        <w:t>K for 2024 filed with the SEC on March 11, 2025 ("Form 10-K" or the "Annual Report). Some of the information contained in this discussion and analysis or set forth elsewhere in this report and in our Form 10-K,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market position is strengthened by the technical barriers to entry in the Voice AI space, which tend to discourage new market participants. Furthermore, our technology is backed by significant investments in intellectual property, with over 205 patents granted and over 112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Amelia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6, 2024, we completed the acquisition of Amelia, a privately-held conversational AI software company involved in the development and delivery of AI and automation solutions and related services to improve customer experience and optimize business outcomes. We expect Amelia will bring together decades of experience in conversational AI, and highly complementary product portfolios, to offer best-in-class, scalable customer service support to a vast spectrum of businesses. These include some of the very largest multinational enterprise brands, top 15 global banks, and Fortune 500 organizations, with the combined company spanning nearly 200 marquee customers. We believe the acquisition of Amelia is expected to strengthen SoundHound’s position in voice and conversational AI and allow us to enter new industries such as healthcare, insurance, financial services, energy and retail, expanding our market reach. Refer to the "Liquidity and Capital Resources" section for discussion on the purchase price and the Acquisition's impact on SoundHound's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Known Trends, Demands, Commitments, Events or Uncertainties Impacting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performance and future success depend on many factors that present significant opportunities for us but also pose risks and challenges,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Investments in Technology. </w:t>
      </w:r>
      <w:r>
        <w:rPr>
          <w:rFonts w:ascii="Times New Roman;serif" w:hAnsi="Times New Roman;serif"/>
          <w:b w:val="false"/>
          <w:color w:val="000000"/>
          <w:sz w:val="20"/>
        </w:rPr>
        <w:t>Our business model since inception has been to invest in our technology in the form of dedicated research and 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Revenue Growth. </w:t>
      </w:r>
      <w:r>
        <w:rPr>
          <w:rFonts w:ascii="Times New Roman;serif" w:hAnsi="Times New Roman;serif"/>
          <w:b w:val="false"/>
          <w:color w:val="000000"/>
          <w:sz w:val="20"/>
        </w:rPr>
        <w:t>Our commercial success, including acceptance and use of our applications, will depend on a number of factors, some of which are 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and Amelia which have synergistic businesses to ours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and Amelia, we may look to acquire other companies in the industry to develop synergies with our existing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Cost of Revenues. </w:t>
      </w:r>
      <w:r>
        <w:rPr>
          <w:rFonts w:ascii="Times New Roman;serif" w:hAnsi="Times New Roman;serif"/>
          <w:b w:val="false"/>
          <w:color w:val="000000"/>
          <w:sz w:val="20"/>
        </w:rPr>
        <w:t>The results of our business will depend in part on our ability to establish and 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Seasonality. </w:t>
      </w:r>
      <w:r>
        <w:rPr>
          <w:rFonts w:ascii="Times New Roman;serif" w:hAnsi="Times New Roman;serif"/>
          <w:b w:val="false"/>
          <w:color w:val="000000"/>
          <w:sz w:val="20"/>
        </w:rPr>
        <w:t>Our ability to accurately forecast demand for our technology could be negatively affected by many factors, including seasonal demand. 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Development of International Markets. </w:t>
      </w:r>
      <w:r>
        <w:rPr>
          <w:rFonts w:ascii="Times New Roman;serif" w:hAnsi="Times New Roman;serif"/>
          <w:b w:val="false"/>
          <w:color w:val="000000"/>
          <w:sz w:val="20"/>
        </w:rPr>
        <w:t>We have rapidly expanded our capabilities and global reach. For example, we have globalized our solution to include 25 languages. We view opportunities for conversational Voice AI to be global in reach, and we expect our growth to be fueled across multiple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 xml:space="preserve">Amelia Software Platform”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 services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offered and included within professional services revenue. The revenues from Amelia Software Platform are included within Service Subscriptions, and are recognized point in time or over time depending on the arrangement.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and may continue to experience volatility for our remaining performance obligations and deferred revenue as a result of the timing for completing our performance obligations. We had remaining performance obligations in the amount of $69.2 million as of June 30, 2025. Given the applicable contract terms, $40.8 million is expected to be recognized as revenue within one year, $26.5 million is expected to be recognized between 2 to 5 years and the remainder of $1.9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report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and other acquisition as intangible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personnel-related costs of the sales and marketing team, promotional campaigns, advertising fees and other marketing related costs. Advertising costs are expensed to sales and marketing when incurred.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are our largest operating expense as we continue to develop our software platforms and produce new technological capabilities.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personnel-related costs, accounting and legal expenses, third-party consulting costs, insurance and allocated overhead including rent, depreciation and utilities.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Acquisition Liabilities</w:t>
      </w:r>
    </w:p>
    <w:p>
      <w:pPr>
        <w:pStyle w:val="TextBody"/>
        <w:bidi w:val="0"/>
        <w:spacing w:lineRule="auto" w:line="288" w:before="240" w:after="283"/>
        <w:jc w:val="both"/>
        <w:rPr/>
      </w:pPr>
      <w:r>
        <w:rPr>
          <w:rFonts w:ascii="Times New Roman;serif" w:hAnsi="Times New Roman;serif"/>
          <w:b w:val="false"/>
          <w:color w:val="000000"/>
          <w:sz w:val="20"/>
        </w:rPr>
        <w:t>The change in fair value of contingent acquisition liabilities is related to contingent consideration from the SYNQ3 and Amelia acquisitions.</w:t>
      </w:r>
      <w:r>
        <w:rPr>
          <w:color w:val="000000"/>
          <w:shd w:fill="FFFFFF" w:val="clear"/>
        </w:rPr>
        <w:t xml:space="preserve"> </w:t>
      </w:r>
      <w:r>
        <w:rPr>
          <w:rFonts w:ascii="Times New Roman;serif" w:hAnsi="Times New Roman;serif"/>
          <w:b w:val="false"/>
          <w:color w:val="000000"/>
          <w:sz w:val="20"/>
          <w:shd w:fill="FFFFFF" w:val="clear"/>
        </w:rPr>
        <w:t>The contingent consideration</w:t>
      </w:r>
      <w:r>
        <w:rPr>
          <w:color w:val="000000"/>
        </w:rPr>
        <w:t xml:space="preserve"> </w:t>
      </w:r>
      <w:r>
        <w:rPr>
          <w:rFonts w:ascii="Times New Roman;serif" w:hAnsi="Times New Roman;serif"/>
          <w:b w:val="false"/>
          <w:color w:val="000000"/>
          <w:sz w:val="20"/>
        </w:rPr>
        <w:t>was determined to be liability classified and is remeasured as of each reporting period with a corresponding change in fair value recorded.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three and six months ended June 30, 2025 due to the repayment of Amelia Debt in December 2024 and the repayment of Term Loan in June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consists of the change in fair value related to our derivative liability, interest income and other income (expense).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includes federal, state and foreign taxes and is based on reported income before income taxes. We are in a cumulative loss position for tax purposes based on historical earnings. As of December 31, 2024, we had $548.4 million of U.S. federal and $208.1 million of state net operating loss carryforwards available to reduce future taxable income. The federal and state net operating loss carryforwards will start to expire in 2025 and 2028, respectively, with the exception of $403.3 million federal net operating loss carryforwards and $11.0 million state net operating loss carryforwards, which can be carried forward indefinitely.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had federal and state research and development credit carryforwards of $21.4 million and $13.3 million, respectively, as of December 31, 2024. The federal credits will expire starting in 2029 if not utilized. The state credits can be carried forward indefinitely. We also had Canadian SR&amp;ED tax credits of $1.6 million, which expire starting in 2038 if not utilized.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significant components of our results of operations for the three and six months ended June 30, 2025 and 2024 ($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tbl>
      <w:tblPr>
        <w:tblW w:w="9986" w:type="dxa"/>
        <w:jc w:val="left"/>
        <w:tblInd w:w="0" w:type="dxa"/>
        <w:tblLayout w:type="fixed"/>
        <w:tblCellMar>
          <w:top w:w="28" w:type="dxa"/>
          <w:left w:w="28" w:type="dxa"/>
          <w:bottom w:w="28" w:type="dxa"/>
          <w:right w:w="28" w:type="dxa"/>
        </w:tblCellMar>
      </w:tblPr>
      <w:tblGrid>
        <w:gridCol w:w="1700"/>
        <w:gridCol w:w="1488"/>
        <w:gridCol w:w="150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323"/>
        <w:gridCol w:w="323"/>
        <w:gridCol w:w="316"/>
      </w:tblGrid>
      <w:tr>
        <w:trPr/>
        <w:tc>
          <w:tcPr>
            <w:tcW w:w="170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941" w:type="dxa"/>
        <w:jc w:val="left"/>
        <w:tblInd w:w="0" w:type="dxa"/>
        <w:tblLayout w:type="fixed"/>
        <w:tblCellMar>
          <w:top w:w="28" w:type="dxa"/>
          <w:left w:w="28" w:type="dxa"/>
          <w:bottom w:w="28" w:type="dxa"/>
          <w:right w:w="28" w:type="dxa"/>
        </w:tblCellMar>
      </w:tblPr>
      <w:tblGrid>
        <w:gridCol w:w="1700"/>
        <w:gridCol w:w="1488"/>
        <w:gridCol w:w="1507"/>
        <w:gridCol w:w="211"/>
        <w:gridCol w:w="721"/>
        <w:gridCol w:w="109"/>
        <w:gridCol w:w="109"/>
        <w:gridCol w:w="109"/>
        <w:gridCol w:w="109"/>
        <w:gridCol w:w="211"/>
        <w:gridCol w:w="796"/>
        <w:gridCol w:w="109"/>
        <w:gridCol w:w="109"/>
        <w:gridCol w:w="109"/>
        <w:gridCol w:w="109"/>
        <w:gridCol w:w="211"/>
        <w:gridCol w:w="826"/>
        <w:gridCol w:w="109"/>
        <w:gridCol w:w="109"/>
        <w:gridCol w:w="109"/>
        <w:gridCol w:w="109"/>
        <w:gridCol w:w="323"/>
        <w:gridCol w:w="323"/>
        <w:gridCol w:w="316"/>
      </w:tblGrid>
      <w:tr>
        <w:trPr/>
        <w:tc>
          <w:tcPr>
            <w:tcW w:w="170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16 to our unaudited condensed consolidated financial statements included within this report for more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profit and gross margin ($ in thousands):</w:t>
      </w:r>
    </w:p>
    <w:tbl>
      <w:tblPr>
        <w:tblW w:w="5468" w:type="dxa"/>
        <w:jc w:val="left"/>
        <w:tblInd w:w="0" w:type="dxa"/>
        <w:tblLayout w:type="fixed"/>
        <w:tblCellMar>
          <w:top w:w="28" w:type="dxa"/>
          <w:left w:w="28" w:type="dxa"/>
          <w:bottom w:w="28" w:type="dxa"/>
          <w:right w:w="28" w:type="dxa"/>
        </w:tblCellMar>
      </w:tblPr>
      <w:tblGrid>
        <w:gridCol w:w="533"/>
        <w:gridCol w:w="467"/>
        <w:gridCol w:w="470"/>
        <w:gridCol w:w="211"/>
        <w:gridCol w:w="721"/>
        <w:gridCol w:w="271"/>
        <w:gridCol w:w="109"/>
        <w:gridCol w:w="109"/>
        <w:gridCol w:w="109"/>
        <w:gridCol w:w="211"/>
        <w:gridCol w:w="721"/>
        <w:gridCol w:w="271"/>
        <w:gridCol w:w="109"/>
        <w:gridCol w:w="109"/>
        <w:gridCol w:w="109"/>
        <w:gridCol w:w="233"/>
        <w:gridCol w:w="233"/>
        <w:gridCol w:w="472"/>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468" w:type="dxa"/>
        <w:jc w:val="left"/>
        <w:tblInd w:w="0" w:type="dxa"/>
        <w:tblLayout w:type="fixed"/>
        <w:tblCellMar>
          <w:top w:w="28" w:type="dxa"/>
          <w:left w:w="28" w:type="dxa"/>
          <w:bottom w:w="28" w:type="dxa"/>
          <w:right w:w="28" w:type="dxa"/>
        </w:tblCellMar>
      </w:tblPr>
      <w:tblGrid>
        <w:gridCol w:w="533"/>
        <w:gridCol w:w="467"/>
        <w:gridCol w:w="470"/>
        <w:gridCol w:w="211"/>
        <w:gridCol w:w="721"/>
        <w:gridCol w:w="271"/>
        <w:gridCol w:w="109"/>
        <w:gridCol w:w="109"/>
        <w:gridCol w:w="109"/>
        <w:gridCol w:w="211"/>
        <w:gridCol w:w="721"/>
        <w:gridCol w:w="271"/>
        <w:gridCol w:w="109"/>
        <w:gridCol w:w="109"/>
        <w:gridCol w:w="109"/>
        <w:gridCol w:w="233"/>
        <w:gridCol w:w="233"/>
        <w:gridCol w:w="472"/>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revenues by type and geographic regions for the three and six months ended June 30, 2025 and 2024 ($ in thousands):</w:t>
      </w:r>
    </w:p>
    <w:tbl>
      <w:tblPr>
        <w:tblW w:w="6731"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731"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tbl>
      <w:tblPr>
        <w:tblW w:w="5757" w:type="dxa"/>
        <w:jc w:val="left"/>
        <w:tblInd w:w="0" w:type="dxa"/>
        <w:tblLayout w:type="fixed"/>
        <w:tblCellMar>
          <w:top w:w="28" w:type="dxa"/>
          <w:left w:w="28" w:type="dxa"/>
          <w:bottom w:w="28" w:type="dxa"/>
          <w:right w:w="28" w:type="dxa"/>
        </w:tblCellMar>
      </w:tblPr>
      <w:tblGrid>
        <w:gridCol w:w="315"/>
        <w:gridCol w:w="277"/>
        <w:gridCol w:w="2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757" w:type="dxa"/>
        <w:jc w:val="left"/>
        <w:tblInd w:w="0" w:type="dxa"/>
        <w:tblLayout w:type="fixed"/>
        <w:tblCellMar>
          <w:top w:w="28" w:type="dxa"/>
          <w:left w:w="28" w:type="dxa"/>
          <w:bottom w:w="28" w:type="dxa"/>
          <w:right w:w="28" w:type="dxa"/>
        </w:tblCellMar>
      </w:tblPr>
      <w:tblGrid>
        <w:gridCol w:w="315"/>
        <w:gridCol w:w="277"/>
        <w:gridCol w:w="2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revenues increased by $29.2 million, or 217%, in the three months ended June 30, 2025 compared to the same period in 2024. Service subscription increased by $28.4 million, with all regions contributing, and was driven by the contribution of revenue from acquisitions. Product royalties increased by $0.8 million, primarily due to the increase of revenue in Asia.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revenues increased by $46.8 million, or 187%, in the six months ended June 30, 2025 compared to the same period in 2024. Service subscription increased by $49.4 million, primarily from the Americas region, and was driven by the contribution of revenue from acquisitions. This was offset by a decrease in product royalty licensing revenue in the EMEA region.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$21.0 million and $34.9 million, or 423% and 362% in the three and six months ended June 30, 2025, respectively, compared to the same period in 2024. Gross margin decreased to 39% and 38% during the three and six months ended June 30, 2025, respectively, compared to 63% and 61%, respectively, during the same period in 2024 primarily due to the acquisition of Amelia in 2024, which included a amortization of acquired intangible assets in the amount of $3.5 million and $7.0 million for the three and six months ended June 30, 2025, respectively. In the past, our gross margin has fluctuated and may continue to fluctuate from quarter to quarter due to revenue contributions from varying product mixes. However, we expect to gradually improve gross margins in the mid-term, especially as it relates the integration of Amelia and SYNQ3.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$10.2 million, or 180%, in the three months ended June 30, 2025 compared to the same period in 2024, primarily due to increases in 2025 of $8.4 million in personnel-related costs caused by Amelia acquisition, $0.8 million in office expense, $0.4 million in advertising expenses, $0.3 million in consulting fees, $0.3 million in travel expenses, $0.2 million in legal and professional fees, and $0.1 million in meals and entertainment, which were partially offset by a decrease of $0.4 million incurred for information technology and facility allocations.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$16.6 million, or 149%, in the six months ended June 30, 2025 compared to the same period in 2024, primarily due to increases in 2025 of $14.0 million in personnel-related costs caused by Amelia acquisition, $1.3 million in office expense, $0.7 million in advertising expenses, $0.6 million in consulting fees, $0.4 million in travel expenses and $0.3 million in legal and professional fees, which were partially offset by a decrease of $0.8 million incurred for information technology and facility allocations.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our sales and marketing expenses to remain stable in the short term. However, in the long term, we expect sales and marketing expenses to grow at a rate below that of our revenue, aligning with our strategic emphasis on cost effectiveness and sustainable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$10.1 million, or 64%, in the three months ended June 30, 2025 compared to the same period in 2024. The increase in research and development expenses was primarily due to increases in 2025 of $10.1 million in personnel-related costs caused by Amelia acquisition, $0.4 million in legal and professional fees, $0.3 million in consulting fees, $0.2 million in cloud computing services, and $0.1 million in office expense, which were partially offset by a decrease of $1.1 million incurred for information technology and facility allocations.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$19.9 million, or 65%, in the six months ended June 30, 2025 compared to the same period in 2024. The increase in research and development expenses was primarily due to increases in 2025 of $19.1 million in personnel-related costs caused by Amelia acquisition, $1.8 million in cloud computing services, $0.7 million in consulting fees, $0.5 million in legal and professional fees, $0.3 million in office expense, and $0.1 million in travel expense, which were partially offset by a decrease of $2.4 million incurred for information technology and facility allocations and $0.2 million in rent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remain stable in the short term. However, in the long term, we expect research and development expenses to grow at a rate below that of our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$8.7 million, or 91%, in the three months ended June 30, 2025 compared to the same period in 2024. The increase in general and administrative expenses was primarily due to increases in 2025 of $4.5 million in personnel-related costs caused by Amelia acquisition, $1.5 million in information technology and facility allocations, $1.0 million in legal and professional fees, $0.7 million in bad debt expense, $0.6 million in office expense, $0.2 million in insurance expense and $0.1 million in utilities.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$16.8 million, or 85%, in the six months ended June 30, 2025 compared to the same period in 2024. The increase in general and administrative expenses was primarily due to increases in 2025 of $9.1 million in personnel-related costs caused by Amelia acquisition, $3.2 million in information technology and facility allocations, $1.5 million in bad debt expense, $1.2 million in office expense, $1.2 million in legal and professional fees, $0.3 million in insurance expense, $0.3 million in cloud computing services, $0.2 million in consulting fees, $0.1 million in taxes and licenses, $0.1 million in tax filing fees, $0.1 million in utilities, and $0.1 million in hardware cost, which were partially offset by a decrease of $0.5 million in rent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Acquisition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acquisition related liabilities, which is marked-to-market based on the movements in our stock price and changes in the assessed probability of achieving certain future revenue targets, was a loss of $31.4 million and a gain of $144.7 million for the three and six months ended June 30, 2025. The increase of the Company's stock price as of June 30, 2025 compared to the stock price as of March 31, 2025, which was partially offset by the decreased probability of achieving the 2025 revenue target under the Contingent SYNQ3 Earnout Consideration, resulted in an increase in its fair value of contingent acquisition liabilities during the three months ended June 30, 2025. The fluctuation is non-operating and non-cash in nature. We will continue to review our estimates on the quarterly basis over the remaining earnout period until 2026. See Note 16 to our unaudited condensed consolidated financial statements included within this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amortization of intangible assets by operating expense category ($ in thousands): </w:t>
      </w:r>
    </w:p>
    <w:tbl>
      <w:tblPr>
        <w:tblW w:w="6236" w:type="dxa"/>
        <w:jc w:val="left"/>
        <w:tblInd w:w="0" w:type="dxa"/>
        <w:tblLayout w:type="fixed"/>
        <w:tblCellMar>
          <w:top w:w="28" w:type="dxa"/>
          <w:left w:w="28" w:type="dxa"/>
          <w:bottom w:w="28" w:type="dxa"/>
          <w:right w:w="28" w:type="dxa"/>
        </w:tblCellMar>
      </w:tblPr>
      <w:tblGrid>
        <w:gridCol w:w="618"/>
        <w:gridCol w:w="545"/>
        <w:gridCol w:w="547"/>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85"/>
        <w:gridCol w:w="286"/>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491" w:type="dxa"/>
        <w:jc w:val="left"/>
        <w:tblInd w:w="0" w:type="dxa"/>
        <w:tblLayout w:type="fixed"/>
        <w:tblCellMar>
          <w:top w:w="28" w:type="dxa"/>
          <w:left w:w="28" w:type="dxa"/>
          <w:bottom w:w="28" w:type="dxa"/>
          <w:right w:w="28" w:type="dxa"/>
        </w:tblCellMar>
      </w:tblPr>
      <w:tblGrid>
        <w:gridCol w:w="618"/>
        <w:gridCol w:w="545"/>
        <w:gridCol w:w="54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increased by $6.6 million and $13.0 million, or 670% and 615% in the three and six months ended June 30, 2025 compared to the same period in 2024. The increase in amortization of intangibles was primarily attributable to the Amelia Acquisition that was closed during the third quarter of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by $3.9 million and $9.3 million, or 96% and 96% in the three and six months ended June 30, 2025 compared to the same period in 2024. The decrease in interest expense was primarily attributable to the early repayment of Term Loan in June, 2024, resulting in the decrease in interest expense.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other income, net, by type ($ in thousands):</w:t>
      </w:r>
    </w:p>
    <w:tbl>
      <w:tblPr>
        <w:tblW w:w="7346" w:type="dxa"/>
        <w:jc w:val="left"/>
        <w:tblInd w:w="0" w:type="dxa"/>
        <w:tblLayout w:type="fixed"/>
        <w:tblCellMar>
          <w:top w:w="28" w:type="dxa"/>
          <w:left w:w="28" w:type="dxa"/>
          <w:bottom w:w="28" w:type="dxa"/>
          <w:right w:w="28" w:type="dxa"/>
        </w:tblCellMar>
      </w:tblPr>
      <w:tblGrid>
        <w:gridCol w:w="1032"/>
        <w:gridCol w:w="905"/>
        <w:gridCol w:w="913"/>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33"/>
        <w:gridCol w:w="233"/>
        <w:gridCol w:w="31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tbl>
      <w:tblPr>
        <w:tblW w:w="7421" w:type="dxa"/>
        <w:jc w:val="left"/>
        <w:tblInd w:w="0" w:type="dxa"/>
        <w:tblLayout w:type="fixed"/>
        <w:tblCellMar>
          <w:top w:w="28" w:type="dxa"/>
          <w:left w:w="28" w:type="dxa"/>
          <w:bottom w:w="28" w:type="dxa"/>
          <w:right w:w="28" w:type="dxa"/>
        </w:tblCellMar>
      </w:tblPr>
      <w:tblGrid>
        <w:gridCol w:w="1032"/>
        <w:gridCol w:w="905"/>
        <w:gridCol w:w="91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31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$0.4 million or 14% and remained consistent in the three and six months ended June 30, 2025, respectively, compared to the same period in 2024. The decrease was primarily attributable to interest earned on greater money market and treasury bond balances during the three months ended June 30, 2024, as we engaged in significant transactions that increased our liquidity. Refer to "Liquidity and Capital Resources" for a discussion of the changes in our business that led to an increase in cash for the period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loss on extinguishment of debt of $15.6 million recorded in the three and six months ended 2024 was attributable to a loss on repayment of Term Loan in June 2024. See Note 9 to our unaudited condensed consolidated financial statements included within this report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on Bargain Purchase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gain on bargain purchase of $1.2 million was recorded within other income (expense), net in the condensed consolidated statements of operations and comprehensive loss in the three and six months ended June 30, 2024 as a result of a favorable fair value of identifiable net assets acquired from an immaterial acquisition at the date of acquisition as compared with the purchase price. See Note 3 to our unaudited condensed consolidated financial statements included within this report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 in fair value of derivative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derivative increased by $0.9 million and $2.2 million, or 100% in the three and six months ended June 30, 2025 compared to the same period in 2024. The increase was primarily attributable to the remeasurement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gain from the change in fair value of a derivative assumed from Amelia acquisition. See Note 16 to our unaudited condensed consolidated financial statements included within this report for more information.</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provision for income taxes ($ in thousands): </w:t>
      </w:r>
    </w:p>
    <w:tbl>
      <w:tblPr>
        <w:tblW w:w="6446" w:type="dxa"/>
        <w:jc w:val="left"/>
        <w:tblInd w:w="0" w:type="dxa"/>
        <w:tblLayout w:type="fixed"/>
        <w:tblCellMar>
          <w:top w:w="28" w:type="dxa"/>
          <w:left w:w="28" w:type="dxa"/>
          <w:bottom w:w="28" w:type="dxa"/>
          <w:right w:w="28" w:type="dxa"/>
        </w:tblCellMar>
      </w:tblPr>
      <w:tblGrid>
        <w:gridCol w:w="825"/>
        <w:gridCol w:w="726"/>
        <w:gridCol w:w="72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180"/>
        <w:gridCol w:w="181"/>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240" w:after="283"/>
              <w:jc w:val="left"/>
              <w:rPr/>
            </w:pPr>
            <w:r>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701" w:type="dxa"/>
        <w:jc w:val="left"/>
        <w:tblInd w:w="0" w:type="dxa"/>
        <w:tblLayout w:type="fixed"/>
        <w:tblCellMar>
          <w:top w:w="28" w:type="dxa"/>
          <w:left w:w="28" w:type="dxa"/>
          <w:bottom w:w="28" w:type="dxa"/>
          <w:right w:w="28" w:type="dxa"/>
        </w:tblCellMar>
      </w:tblPr>
      <w:tblGrid>
        <w:gridCol w:w="825"/>
        <w:gridCol w:w="726"/>
        <w:gridCol w:w="72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33"/>
        <w:gridCol w:w="233"/>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240" w:after="283"/>
              <w:jc w:val="left"/>
              <w:rPr/>
            </w:pPr>
            <w:r>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Provision for income taxes increased by $0.6 million and $1.1 million, or 97% and 122% in the three and six months ended June 30, 2025, respectively, compared to the same period in 2024. This increase was primarily attributable to increased withholding tax from foreign customers, increased foreign taxes and decreased tax benefit from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unrestricted cash and cash equivalents on hand as of June 30, 2025 was $230.3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and, available cash balances and expected cash proceeds from the on-going at-the-market equity program. Our condensed consolidated financial statements have been prepared assuming that we will continue as a going concern, which contemplates, among other things, the realization of assets and satisfaction of liabilities in the normal course of business.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Sources of Cash and Material Cash Requirements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which are sourced primarily from the sale of marketable securities. The primary uses of cash include the funding of operating expenses. There were no material changes to our material cash requirements as disclosed in our audited consolidated financial statements for the fiscal year ended December 31, 2024 in our Form 10-K.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Second 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at-the-market equity program. Under this program, we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our Class A Common Stock. During the three and six months ended June 30, 2025, we sold 646,000 shares and 4,894,900 shares, respectively, of our common stock under the Second Equity Distribution Agreement, at an average price of $12.16 and $15.44 per share, respectively, and raised $7.9 million and $75.6 million of gross proceeds, respectively. The commissions and offering costs borne by us were approximately $0.2 million and $1.5 million, respectively. As of June 30, 2025, the Company had a remaining capacity to sell up to an additional $174.4 million of our common stock under the Second 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July and August 2025, we sold 6,109,714 shares of our common stock under the Second Equity Distribution Agreement at an average price of $13.45 per share for $82.2 million of gross proceeds. The commissions and offering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borne by the Company were approximately $1.6 million. Following this issuance, the Company has a remaining capacity to sell up to an additional $92.3 million of the Company's common stock under the Second Equity Distribution Agreement.</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SYNQ3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$2.2 million in acquisition related expenses, of which $44.3 thousand and $0.1 million were incurred during the three and six months ended June 30, 2025, respectively. We incurred $0.5 million and $0.8 million acquisition related expenses during the three and six months ended June 30, 2024, respectively. These acquisition related expenses were recorded as general and administration expenses in our condensed consolidated statements of operations and comprehensive income (loss).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Holdback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$0.5 million in cash and 1,179,514 shares of our Class A Common Stock were withheld for a period of 15 months (the “Holdback Amount”). We determined that there are two components to the Holdback Amount related to deferred consideration and contingent consideration, each comprised of cash and shares.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Holdback Consideration as a liability on the condensed consolidated balance sheet. As of the SYNQ3 Acquisition Date, the Contingent Holdback Consideration was estimated to be $0.6 million in aggregate and to be settled in $0.1 million cash and the remainder in shares of our Class A Common Stock. During the year ended December 31, 2024, we issued 38,277 shares of our Class A Common Stock and paid an immaterial amount in cash from the Contingent Holdback Consideration to SYNQ3's former stockholders as a result of the net working capital adjustments settled during the year. The Contingent Holdback Consideration will be subsequently remeasured at each reporting date with changes in fair value recognized as a component of operating expense on our condensed consolidated statement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Contingent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June 30, 2025. See Note 16 to our unaudited condensed consolidated financial statements included within this report for more information on the fair value measurement of Contingent Holdback Consideration.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Contingent SYNQ3 Earnout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condensed consolidated balance sheets and will subsequently remeasure the liability at each reporting date with changes in fair value recognized as a component of operating expense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condensed consolidated statement of operations and comprehensive income (loss). As of the SYNQ3 Acquisition Date, the Contingent SYNQ3 Earnout Consideration was estimated to be $1.7 million in aggregate and to be settled in $0.2 million cash and the remainder in shares of our Class A Common Stock. See Note 16 to our unaudited condensed consolidated financial statements included within this report for more information on the fair value measurement of Contingent SYNQ3 Earnout Consideration. As of June 30, 2025, the 2024 revenue target was not met. The Company assessed the 2025 revenue target was not probable of being met but the 2026 revenue target was probable of being met. No earnout consideration was issued as of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has been finalized as of December 31, 2024.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Amelia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preliminary purchase consideration was $98.6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Amelia Acquisition, we assumed the amended senior secured term loan facility from Amelia in an aggregate principal amount of $121.5 million (“Amelia Debt”). On December 3, 2024, we entered into a letter agreement (the “Amelia Debt Payoff Letter”) to prepay in full all indebtedness and other amounts outstanding and owing under the Amelia Debt Credit Agreement and the Amelia Debt was subsequently paid in full.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Escrow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the Amelia Acquisition Date, we issued and deposited 2,149,530 shares of our Class A Common Stock into and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This derivative did not have a material impact to the financial statements for the three and six months ended June 30, 2025. Upon the expiration of the escrow period, any remaining shares in the escrow account will be released to the selling shareholders. See Note 16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Contingent Amelia Earnout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the our condensed consolidated balance sheet and will subsequently remeasure the liability at each reporting date with changes in fair value recognized as a component of operating expense in our condensed consolidated statement of operations and comprehensive income (loss). As of the Amelia Acquisition Date, the Contingent Amelia Earnout Consideration had an estimated fair value of $66.3 million and will be settled in shares of our Class A Common Stock. For the three and six months ended June 30, 2025, we recognized a loss of $32.6 million and a gain of $136.1 million, respectively, related to the Contingent Amelia Earnout Consideration, reflected in the change in fair value of contingent acquisition liabilities in the condensed consolidated statement of operations and comprehensive income (loss). As of June 30, 2025, the Company assessed the 2025 and 2026 revenue targets were probable of being met.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we recorded a decrease of $0.5 million to the goodwill recognized. The measurement period adjustments were recorded in the condensed consolidated financial statements as of and for the six months ended June 30, 2025 and were made to reflect facts and circumstances that existed as of the Amelia Acquisition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has not been finalized as of June 30, 2025 primarily due to the final assessment of the contingent tax liability assumed.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Amelia Acquisition Date.</w:t>
      </w:r>
    </w:p>
    <w:p>
      <w:pPr>
        <w:pStyle w:val="TextBody"/>
        <w:bidi w:val="0"/>
        <w:spacing w:lineRule="auto" w:line="288" w:before="240" w:after="283"/>
        <w:jc w:val="both"/>
        <w:rPr/>
      </w:pPr>
      <w:r>
        <w:rPr>
          <w:rFonts w:ascii="Times New Roman;serif" w:hAnsi="Times New Roman;serif"/>
          <w:b w:val="false"/>
          <w:color w:val="000000"/>
          <w:sz w:val="20"/>
        </w:rPr>
        <w:t>We incurred $6.7 million in acquisition related expenses, of which $0.3 million and $0.9 million was incurred during the three and six months ended June 30, 2025 and recorded as general and administration expenses in its condensed consolidated statements of operat</w:t>
      </w:r>
      <w:r>
        <w:rPr>
          <w:rFonts w:ascii="Times New Roman;serif" w:hAnsi="Times New Roman;serif"/>
          <w:b w:val="false"/>
          <w:color w:val="232323"/>
          <w:sz w:val="20"/>
        </w:rPr>
        <w:t>ions and comprehensive income (loss).</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Other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14, 2024, we completed an immaterial acquisition for total preliminary purchase consideration of $1.0 million. As part of the acquisition, we acquired net assets of $2.2 million, including intangible assets of $2.6 million, and recognized a preliminary gain on bargain purchase of $1.2 million within other income, net in the condensed consolidated statements of operations and comprehensive income (loss) during the quarter of the acquisition,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has been finalized as of March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and Other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9 to the unaudited condensed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 in thousands):</w:t>
      </w:r>
    </w:p>
    <w:tbl>
      <w:tblPr>
        <w:tblW w:w="8274" w:type="dxa"/>
        <w:jc w:val="left"/>
        <w:tblInd w:w="0" w:type="dxa"/>
        <w:tblLayout w:type="fixed"/>
        <w:tblCellMar>
          <w:top w:w="28" w:type="dxa"/>
          <w:left w:w="28" w:type="dxa"/>
          <w:bottom w:w="28" w:type="dxa"/>
          <w:right w:w="28" w:type="dxa"/>
        </w:tblCellMar>
      </w:tblPr>
      <w:tblGrid>
        <w:gridCol w:w="2051"/>
        <w:gridCol w:w="1807"/>
        <w:gridCol w:w="1812"/>
        <w:gridCol w:w="211"/>
        <w:gridCol w:w="796"/>
        <w:gridCol w:w="109"/>
        <w:gridCol w:w="109"/>
        <w:gridCol w:w="109"/>
        <w:gridCol w:w="109"/>
        <w:gridCol w:w="211"/>
        <w:gridCol w:w="796"/>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$43.7 million during the six months ended June 30, 2025 compared to $40.4 million during the six months ended June 30, 2024. The $3.2 million increase in cash used in operating activities was primarily due to increases of $125.5 million in net income, $27.0 million in stock-based compensation, $12.8 million in depreciation and amortization, $2.9 million in other non-cash loss, and $0.4 million in deferred income taxes, which were partially offset by the movement of $147.8 million from change in the fair value of contingent acquisition liabilities, decrease of $15.6 million in loss on early extinguishment of debt, $3.9 million in changes in operating assets and liabilities, $2.2 million in change in fair value of derivative, $1.5 million in amortization of debt issuance cost, non-cash lease amortization of $0.1 million and increase of $0.8 million in foreign currency gain from remeasurement. Within the increase of $27.0 million in stock-based compensation, $3.8 million was related to accelerated vesting of RSAs during the three months ended June 30, 2025 as part of our integration plan of SYNQ3.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$0.4 million during the six months ended June 30, 2025 compared to $4.8 million during the six months ended June 30, 2024. The $4.4 million decrease in cash used in investing activities was primarily driven by the decrease of payments related to acquisitions of $4.5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$76.6 million during the six months ended June 30, 2025 compared to $137.0 million during the six months ended June 30, 2024. The $60.4 million decrease in cash provided by financing activities was primarily due to decreases of $162.1 million in net proceeds from sales of Class A Common Stock under the Sales Agreement and Second Equity Distribution Agreement and $7.9 million in proceeds from exercise of stock options and employee stock purchase plan, and an increase of $0.2 million in the payment to settle contingent holdback liabilities from SYNQ3 acquisition, which were partially offset by a decreases of $105.5 million in the payment of notes payable, and $4.1 million in the payment of financing costs associated with the Sales Agreement and Second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issuance of securities (including pursuant to our at-the-market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Management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see “Management’s discussion and analysis of financial condition and results of operations” and the notes to the condensed consolidated financial statements included in our Form 10-K, which was filed with the SEC on March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risks from the information presented in Part II, Item 7A. “Quantitative and Qualitative Disclosures About Market Risk” in our Form 10-K, except as disclosed below.</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Exchange Risk</w:t>
      </w:r>
    </w:p>
    <w:p>
      <w:pPr>
        <w:pStyle w:val="TextBody"/>
        <w:bidi w:val="0"/>
        <w:spacing w:lineRule="auto" w:line="288" w:before="240" w:after="283"/>
        <w:jc w:val="both"/>
        <w:rPr/>
      </w:pPr>
      <w:r>
        <w:rPr>
          <w:rFonts w:ascii="Times New Roman;serif" w:hAnsi="Times New Roman;serif"/>
          <w:b w:val="false"/>
          <w:color w:val="000000"/>
          <w:sz w:val="20"/>
          <w:shd w:fill="FFFFFF" w:val="clear"/>
        </w:rPr>
        <w:t>Ou</w:t>
      </w:r>
      <w:r>
        <w:rPr>
          <w:rFonts w:ascii="Times New Roman;serif" w:hAnsi="Times New Roman;serif"/>
          <w:b w:val="false"/>
          <w:color w:val="000000"/>
          <w:sz w:val="20"/>
        </w:rPr>
        <w:t xml:space="preserve">r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approximately less than $0.1 million and $0.5 million during the three and six months ended June 30, 2025, respectively, and $0.2 million and $0.4 million during the three and six months ended June 30, 2024, respectively. </w:t>
      </w:r>
      <w:r>
        <w:rPr>
          <w:rFonts w:ascii="Times New Roman;serif" w:hAnsi="Times New Roman;serif"/>
          <w:b w:val="false"/>
          <w:color w:val="000000"/>
          <w:sz w:val="20"/>
          <w:shd w:fill="FFFFFF" w:val="clear"/>
        </w:rPr>
        <w:t>We do not believe that an immediate 10% increase or decrease in the relative value of the U.S. dollar to other currencies would have a material effect on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Quarterly Report on Form 10-Q. Based on this evaluation, our Chief Executive Officer and Chief Financial Officer have concluded that our disclosure controls and procedures were not effective as of June 30, 2025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Quarterly Report on Form 10-Q were prepared in accordance with U.S. GAAP, the Company’s management has concluded that its consolidated financial statements present fairly, in all material respects, its financial position, results of operations and cash flows for the periods presented in conformity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As of June 30, 2025, the material weakness were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including the SYNQ3 and Amelia entities which were acquired during 2024, not designing and maintaining effective controls related to substantially all accounts and disclosures. These material weaknesses contributed to the following additional material weaknesses: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Company did not design and maintain effective controls related to the identification of and accounting for certain non-routine, unusual or complex transactions, including the accounting for complex financing transactions and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immaterial errors related to SYNQ3 and Amelia acquisitions during the year ended December 31, 2024 and immaterial errors in various accounts during the interim and annual periods during 2023, 2024, first quarter and second quarter of 2025.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Plan to Remediate the Material Weaknesses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continues to make significant progress towards completion of the remediation activities as disclosed in Item 9A of the 2024 Form 10-K. The following remediation actions were completed during the second quarter: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Updated the SOX Scoping and Risk Assessment analysis to identify key business processes and IT control activities, including those related to Amelia and SYNQ3.</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Designed and implemented new control activities and enhanced the design of existing control activities related to the following business processes: Equity, Fixed Assets &amp; Leases, Income Taxes and Procure to Pay.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Enhanced the design of existing controls over user access reviews, program change management controls, computer operations controls.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Enhanced the design and implementation of existing controls related to the review of Service Organization Control reports, which cover program change management and computer operations for significant in-scope SOX applications that we rely on for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Completed the implementation of technological enhancements including the consolidation of disparate ERP systems into one ERP system.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progress was made during the second quarter, management continues to execute the activities needed to implement its remediation plan. The material weaknesses will not be considered remediated until management completes the design and implementation of the necessary controls, the controls operate for a sufficient period of time, and management has concluded, through testing, that the controls are operating effectively.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there were changes in the Company’s internal control over financial reporting (as defined in Rule 13a-15(f) of the Exchange Act) during the quarterly period ended June 30, 2025 that materially affected, or are reasonably likely to materially affect, the Company’s internal control over financial reporting.</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material set forth in the section titled “Legal Proceedings” in Note 7 of our Notes to condensed consolidated Financial Statements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below and those described in Part I, Item 1A, "Risk Factors" in our Annual Report on Form 10-K for the year ended December 31, 2024, as updated in our Quarterly Report on Form 10-Q for the quarter ended March 31, 2025, which could adversely affect our business, financial condition, results of operations, cash flows, and the trading price of our stock. Other than as described below, there have been no material changes from these risk factors during the quarter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Changes to U.S. tax laws could adversely impact our results of operations and cash flow.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U.S. tax laws and regulations, which are complex and often changing. Changes in tax rules and regulations, or a failure to comply with any new tax laws and regulations, may adversely affect our results of operations and cash flow. On July 4, 2025, the United States enacted tax reform legislation through the One Big Beautiful Bill Act. Included in this legislation are provisions that allow for the immediate expensing of domestic United States research and development expenses, immediate expensing of certain capital expenditures, and other changes to the U.S. taxation of profits derived from foreign operations. We do not expect that the enactment of the legislation will lead to a significant change of our tax expense during the third and fourth quarters of 2025, primarily due to our taxable loss position and the full valuation allowance on deferred tax assets in the US jurisdiction. The Company continues to evaluate the impact the new legislation will have on our annual or interim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2025, the following Section 16 officers and directors adopted, modified or terminated a “Rule 10b5-1 trading arrangement” (as defined in Item 408 of Regulation S-K of the Exchange Act):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Dr. Keyvan Mohajer, Chief Executive Officer and Director, adopted a new trading plan on May 16, 2025 (with the first trade under the new plan not to be made prior to August 15, 2025). The trading plan will be effective until November 30, 2025 and provides for the sale of up to 2,400,000 shares of Dr. Mohajer's 14,139,064 shares of Class B common stock and up to 728,124 shares of Class A common stock issuable upon vesting and settlement of certain RSUs and PSUs, provided that certain conditions are met.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“non-Rule 10b5-1 trading arrangements” (as defined in Item 408 of Regulation S-K of the Exchange Act) adopted, modified or terminated during the fiscal quarter ended June 30, 2025 by our directors and Section 16 officers. Each of the Rule 10b5-1 trading arrangements is in accordance with our Insider Trading Policy and actual sale transactions made pursuant to such trading arrangements will be disclosed publicly in Section 16 filings with the SEC in accordance with applicable securities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888861789234e70963f9707679f21cc_7">
        <w:r>
          <w:rPr>
            <w:rStyle w:val="InternetLink"/>
          </w:rPr>
          <w:t>Table</w:t>
        </w:r>
      </w:hyperlink>
      <w:hyperlink w:anchor="i2888861789234e70963f9707679f21cc_7">
        <w:r>
          <w:rPr>
            <w:rStyle w:val="InternetLink"/>
          </w:rPr>
          <w:t xml:space="preserve"> </w:t>
        </w:r>
      </w:hyperlink>
      <w:hyperlink w:anchor="i2888861789234e70963f9707679f21cc_7">
        <w:r>
          <w:rPr>
            <w:rStyle w:val="InternetLink"/>
          </w:rPr>
          <w:t>o</w:t>
        </w:r>
      </w:hyperlink>
      <w:hyperlink w:anchor="i2888861789234e70963f9707679f21cc_7">
        <w:r>
          <w:rPr>
            <w:rStyle w:val="InternetLink"/>
          </w:rPr>
          <w:t>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report.</w:t>
      </w:r>
    </w:p>
    <w:tbl>
      <w:tblPr>
        <w:tblW w:w="10205" w:type="dxa"/>
        <w:jc w:val="left"/>
        <w:tblInd w:w="0" w:type="dxa"/>
        <w:tblLayout w:type="fixed"/>
        <w:tblCellMar>
          <w:top w:w="28" w:type="dxa"/>
          <w:left w:w="28" w:type="dxa"/>
          <w:bottom w:w="28" w:type="dxa"/>
          <w:right w:w="28" w:type="dxa"/>
        </w:tblCellMar>
      </w:tblPr>
      <w:tblGrid>
        <w:gridCol w:w="187"/>
        <w:gridCol w:w="164"/>
        <w:gridCol w:w="167"/>
        <w:gridCol w:w="109"/>
        <w:gridCol w:w="109"/>
        <w:gridCol w:w="109"/>
        <w:gridCol w:w="2873"/>
        <w:gridCol w:w="2697"/>
        <w:gridCol w:w="3790"/>
      </w:tblGrid>
      <w:tr>
        <w:trPr/>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soun-20250630x10qxexx311.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oun-20250630x10qxexx312.htm">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soun-20250630x10q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oun-20250630x10q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SoundHound AI, Inc.'s Quarterly Report on Form 10-Q for the quarter ended June 30, 2025 formatted in Inline XBRL (Extensible Business Reporting Language) includes: (i) the condensed consolidated balance sheets, (ii) the condensed consolidated statements of operations and comprehensive income (loss), (iii) the condensed consolidated statements of stockholders' equity, (iv) the condensed consolidated statements of cash flows, and (vi) the notes to condensed consolidated financial statements.</w:t>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Furnished or filed in other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2888861789234e70963f9707679f21cc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Exchange Act, the registrant caused this report to be signed on its behalf by the undersigned, thereunto duly authorized.</w:t>
      </w:r>
    </w:p>
    <w:tbl>
      <w:tblPr>
        <w:tblW w:w="6764" w:type="dxa"/>
        <w:jc w:val="left"/>
        <w:tblInd w:w="0" w:type="dxa"/>
        <w:tblLayout w:type="fixed"/>
        <w:tblCellMar>
          <w:top w:w="28" w:type="dxa"/>
          <w:left w:w="28" w:type="dxa"/>
          <w:bottom w:w="28" w:type="dxa"/>
          <w:right w:w="28" w:type="dxa"/>
        </w:tblCellMar>
      </w:tblPr>
      <w:tblGrid>
        <w:gridCol w:w="705"/>
        <w:gridCol w:w="621"/>
        <w:gridCol w:w="624"/>
        <w:gridCol w:w="350"/>
        <w:gridCol w:w="350"/>
        <w:gridCol w:w="350"/>
        <w:gridCol w:w="1100"/>
        <w:gridCol w:w="1100"/>
        <w:gridCol w:w="156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SOUNDHOUND AI,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Dr. Keyvan Mohajer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Keyvan Mohajer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Nitesh Sharan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Nitesh Sharan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31.1</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Dr. Keyvan Mohajer,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17" w:type="dxa"/>
        <w:jc w:val="left"/>
        <w:tblInd w:w="0" w:type="dxa"/>
        <w:tblLayout w:type="fixed"/>
        <w:tblCellMar>
          <w:top w:w="28" w:type="dxa"/>
          <w:left w:w="28" w:type="dxa"/>
          <w:bottom w:w="28" w:type="dxa"/>
          <w:right w:w="28" w:type="dxa"/>
        </w:tblCellMar>
      </w:tblPr>
      <w:tblGrid>
        <w:gridCol w:w="531"/>
        <w:gridCol w:w="468"/>
        <w:gridCol w:w="470"/>
        <w:gridCol w:w="224"/>
        <w:gridCol w:w="224"/>
        <w:gridCol w:w="226"/>
        <w:gridCol w:w="722"/>
        <w:gridCol w:w="722"/>
        <w:gridCol w:w="103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Dr. Keyvan Mohajer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Dr. Keyvan Mohajer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Nitesh Sharan,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7" w:type="dxa"/>
        <w:jc w:val="left"/>
        <w:tblInd w:w="0" w:type="dxa"/>
        <w:tblLayout w:type="fixed"/>
        <w:tblCellMar>
          <w:top w:w="28" w:type="dxa"/>
          <w:left w:w="28" w:type="dxa"/>
          <w:bottom w:w="28" w:type="dxa"/>
          <w:right w:w="28" w:type="dxa"/>
        </w:tblCellMar>
      </w:tblPr>
      <w:tblGrid>
        <w:gridCol w:w="531"/>
        <w:gridCol w:w="468"/>
        <w:gridCol w:w="470"/>
        <w:gridCol w:w="224"/>
        <w:gridCol w:w="224"/>
        <w:gridCol w:w="226"/>
        <w:gridCol w:w="707"/>
        <w:gridCol w:w="707"/>
        <w:gridCol w:w="100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Nitesh Sharan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Nitesh Sharan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SoundHound AI, Inc. (the “Company’s Quarterly Report”) on Form 10-Q for the period ended June 30, 2025,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5007" w:type="dxa"/>
        <w:jc w:val="left"/>
        <w:tblInd w:w="0" w:type="dxa"/>
        <w:tblLayout w:type="fixed"/>
        <w:tblCellMar>
          <w:top w:w="28" w:type="dxa"/>
          <w:left w:w="28" w:type="dxa"/>
          <w:bottom w:w="28" w:type="dxa"/>
          <w:right w:w="28" w:type="dxa"/>
        </w:tblCellMar>
      </w:tblPr>
      <w:tblGrid>
        <w:gridCol w:w="1678"/>
        <w:gridCol w:w="1476"/>
        <w:gridCol w:w="1481"/>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11,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SoundHound AI, Inc. (the “Company’s Quarterly Report”) on Form 10-Q for the period ended June 30, 2025,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4887" w:type="dxa"/>
        <w:jc w:val="left"/>
        <w:tblInd w:w="0" w:type="dxa"/>
        <w:tblLayout w:type="fixed"/>
        <w:tblCellMar>
          <w:top w:w="28" w:type="dxa"/>
          <w:left w:w="28" w:type="dxa"/>
          <w:bottom w:w="28" w:type="dxa"/>
          <w:right w:w="28" w:type="dxa"/>
        </w:tblCellMar>
      </w:tblPr>
      <w:tblGrid>
        <w:gridCol w:w="1635"/>
        <w:gridCol w:w="1434"/>
        <w:gridCol w:w="1446"/>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Nitesh Sharan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Nitesh Sharan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11,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34800</Words>
  <Characters>192041</Characters>
  <CharactersWithSpaces>224834</CharactersWithSpaces>
  <Paragraphs>3557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