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0"/>
          <w:szCs w:val="20"/>
          <w:b w:val="1"/>
          <w:bCs w:val="1"/>
          <w:color w:val="212529"/>
        </w:rPr>
        <w:drawing>
          <wp:anchor simplePos="0" relativeHeight="251657728" behindDoc="1" locked="0" layoutInCell="0" allowOverlap="1">
            <wp:simplePos x="0" y="0"/>
            <wp:positionH relativeFrom="page">
              <wp:posOffset>208280</wp:posOffset>
            </wp:positionH>
            <wp:positionV relativeFrom="page">
              <wp:posOffset>706120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732155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212529"/>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12529"/>
        </w:rPr>
        <w:t>WASHINGTON, D.C. 20549</w:t>
      </w:r>
    </w:p>
    <w:p>
      <w:pPr>
        <w:spacing w:after="0" w:line="19" w:lineRule="exact"/>
        <w:rPr>
          <w:sz w:val="24"/>
          <w:szCs w:val="24"/>
          <w:color w:val="auto"/>
        </w:rPr>
      </w:pPr>
    </w:p>
    <w:p>
      <w:pPr>
        <w:ind w:left="3780"/>
        <w:spacing w:after="0"/>
        <w:rPr>
          <w:sz w:val="20"/>
          <w:szCs w:val="20"/>
          <w:color w:val="auto"/>
        </w:rPr>
      </w:pPr>
      <w:r>
        <w:rPr>
          <w:rFonts w:ascii="Arial" w:cs="Arial" w:eastAsia="Arial" w:hAnsi="Arial"/>
          <w:sz w:val="18"/>
          <w:szCs w:val="18"/>
          <w:color w:val="auto"/>
        </w:rPr>
        <w:t>_________________________________________</w:t>
      </w:r>
    </w:p>
    <w:p>
      <w:pPr>
        <w:spacing w:after="0" w:line="171"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212529"/>
        </w:rPr>
        <w:t>FORM 8-K</w:t>
      </w:r>
    </w:p>
    <w:p>
      <w:pPr>
        <w:spacing w:after="0" w:line="19" w:lineRule="exact"/>
        <w:rPr>
          <w:sz w:val="24"/>
          <w:szCs w:val="24"/>
          <w:color w:val="auto"/>
        </w:rPr>
      </w:pPr>
    </w:p>
    <w:p>
      <w:pPr>
        <w:ind w:left="3780"/>
        <w:spacing w:after="0"/>
        <w:rPr>
          <w:sz w:val="20"/>
          <w:szCs w:val="20"/>
          <w:color w:val="auto"/>
        </w:rPr>
      </w:pPr>
      <w:r>
        <w:rPr>
          <w:rFonts w:ascii="Arial" w:cs="Arial" w:eastAsia="Arial" w:hAnsi="Arial"/>
          <w:sz w:val="18"/>
          <w:szCs w:val="18"/>
          <w:color w:val="auto"/>
        </w:rPr>
        <w:t>_________________________________________</w:t>
      </w:r>
    </w:p>
    <w:p>
      <w:pPr>
        <w:spacing w:after="0" w:line="124" w:lineRule="exact"/>
        <w:rPr>
          <w:sz w:val="24"/>
          <w:szCs w:val="24"/>
          <w:color w:val="auto"/>
        </w:rPr>
      </w:pPr>
    </w:p>
    <w:p>
      <w:pPr>
        <w:ind w:left="4780"/>
        <w:spacing w:after="0"/>
        <w:rPr>
          <w:sz w:val="20"/>
          <w:szCs w:val="20"/>
          <w:color w:val="auto"/>
        </w:rPr>
      </w:pPr>
      <w:r>
        <w:rPr>
          <w:rFonts w:ascii="Arial" w:cs="Arial" w:eastAsia="Arial" w:hAnsi="Arial"/>
          <w:sz w:val="18"/>
          <w:szCs w:val="18"/>
          <w:b w:val="1"/>
          <w:bCs w:val="1"/>
          <w:color w:val="212529"/>
        </w:rPr>
        <w:t>CURRENT REPORT</w:t>
      </w:r>
    </w:p>
    <w:p>
      <w:pPr>
        <w:spacing w:after="0" w:line="117" w:lineRule="exact"/>
        <w:rPr>
          <w:sz w:val="24"/>
          <w:szCs w:val="24"/>
          <w:color w:val="auto"/>
        </w:rPr>
      </w:pPr>
    </w:p>
    <w:p>
      <w:pPr>
        <w:ind w:left="4420"/>
        <w:spacing w:after="0"/>
        <w:rPr>
          <w:sz w:val="20"/>
          <w:szCs w:val="20"/>
          <w:color w:val="auto"/>
        </w:rPr>
      </w:pPr>
      <w:r>
        <w:rPr>
          <w:rFonts w:ascii="Arial" w:cs="Arial" w:eastAsia="Arial" w:hAnsi="Arial"/>
          <w:sz w:val="18"/>
          <w:szCs w:val="18"/>
          <w:b w:val="1"/>
          <w:bCs w:val="1"/>
          <w:color w:val="212529"/>
        </w:rPr>
        <w:t>Pursuant to Section 13 or 15(d)</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212529"/>
        </w:rPr>
        <w:t>of the Securities Exchange Act of 1934</w:t>
      </w:r>
    </w:p>
    <w:p>
      <w:pPr>
        <w:spacing w:after="0" w:line="99" w:lineRule="exact"/>
        <w:rPr>
          <w:sz w:val="24"/>
          <w:szCs w:val="24"/>
          <w:color w:val="auto"/>
        </w:rPr>
      </w:pPr>
    </w:p>
    <w:p>
      <w:pPr>
        <w:jc w:val="center"/>
        <w:spacing w:after="0"/>
        <w:rPr>
          <w:sz w:val="20"/>
          <w:szCs w:val="20"/>
          <w:color w:val="auto"/>
        </w:rPr>
      </w:pPr>
      <w:r>
        <w:rPr>
          <w:rFonts w:ascii="Arial" w:cs="Arial" w:eastAsia="Arial" w:hAnsi="Arial"/>
          <w:sz w:val="18"/>
          <w:szCs w:val="18"/>
          <w:color w:val="212529"/>
        </w:rPr>
        <w:t xml:space="preserve">Date of Report (Date of earliest event reported): </w:t>
      </w:r>
      <w:r>
        <w:rPr>
          <w:rFonts w:ascii="Arial" w:cs="Arial" w:eastAsia="Arial" w:hAnsi="Arial"/>
          <w:sz w:val="18"/>
          <w:szCs w:val="18"/>
          <w:b w:val="1"/>
          <w:bCs w:val="1"/>
          <w:color w:val="212529"/>
        </w:rPr>
        <w:t>November 10, 2022</w:t>
      </w:r>
    </w:p>
    <w:p>
      <w:pPr>
        <w:spacing w:after="0" w:line="27" w:lineRule="exact"/>
        <w:rPr>
          <w:sz w:val="24"/>
          <w:szCs w:val="24"/>
          <w:color w:val="auto"/>
        </w:rPr>
      </w:pPr>
    </w:p>
    <w:p>
      <w:pPr>
        <w:ind w:left="3780"/>
        <w:spacing w:after="0"/>
        <w:rPr>
          <w:sz w:val="20"/>
          <w:szCs w:val="20"/>
          <w:color w:val="auto"/>
        </w:rPr>
      </w:pPr>
      <w:r>
        <w:rPr>
          <w:rFonts w:ascii="Arial" w:cs="Arial" w:eastAsia="Arial" w:hAnsi="Arial"/>
          <w:sz w:val="18"/>
          <w:szCs w:val="18"/>
          <w:color w:val="auto"/>
        </w:rPr>
        <w:t>_________________________________________</w:t>
      </w:r>
    </w:p>
    <w:p>
      <w:pPr>
        <w:spacing w:after="0" w:line="94"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212529"/>
        </w:rPr>
        <w:t>SOUNDHOUND AI, INC.</w:t>
      </w:r>
    </w:p>
    <w:p>
      <w:pPr>
        <w:spacing w:after="0" w:line="24" w:lineRule="exact"/>
        <w:rPr>
          <w:sz w:val="24"/>
          <w:szCs w:val="24"/>
          <w:color w:val="auto"/>
        </w:rPr>
      </w:pPr>
    </w:p>
    <w:p>
      <w:pPr>
        <w:jc w:val="center"/>
        <w:spacing w:after="0"/>
        <w:rPr>
          <w:sz w:val="20"/>
          <w:szCs w:val="20"/>
          <w:color w:val="auto"/>
        </w:rPr>
      </w:pPr>
      <w:r>
        <w:rPr>
          <w:rFonts w:ascii="Arial" w:cs="Arial" w:eastAsia="Arial" w:hAnsi="Arial"/>
          <w:sz w:val="18"/>
          <w:szCs w:val="18"/>
          <w:color w:val="212529"/>
        </w:rPr>
        <w:t>(Exact name of registrant as specified in its charter)</w:t>
      </w:r>
    </w:p>
    <w:p>
      <w:pPr>
        <w:spacing w:after="0" w:line="7" w:lineRule="exact"/>
        <w:rPr>
          <w:sz w:val="24"/>
          <w:szCs w:val="24"/>
          <w:color w:val="auto"/>
        </w:rPr>
      </w:pPr>
    </w:p>
    <w:p>
      <w:pPr>
        <w:ind w:left="3780"/>
        <w:spacing w:after="0"/>
        <w:rPr>
          <w:sz w:val="20"/>
          <w:szCs w:val="20"/>
          <w:color w:val="auto"/>
        </w:rPr>
      </w:pPr>
      <w:r>
        <w:rPr>
          <w:rFonts w:ascii="Arial" w:cs="Arial" w:eastAsia="Arial" w:hAnsi="Arial"/>
          <w:sz w:val="18"/>
          <w:szCs w:val="18"/>
          <w:color w:val="auto"/>
        </w:rPr>
        <w:t>_________________________________________</w:t>
      </w:r>
    </w:p>
    <w:p>
      <w:pPr>
        <w:spacing w:after="0" w:line="139"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600" w:type="dxa"/>
            <w:vAlign w:val="bottom"/>
            <w:gridSpan w:val="3"/>
          </w:tcPr>
          <w:p>
            <w:pPr>
              <w:jc w:val="center"/>
              <w:ind w:right="900"/>
              <w:spacing w:after="0"/>
              <w:rPr>
                <w:sz w:val="20"/>
                <w:szCs w:val="20"/>
                <w:color w:val="auto"/>
              </w:rPr>
            </w:pPr>
            <w:r>
              <w:rPr>
                <w:rFonts w:ascii="Arial" w:cs="Arial" w:eastAsia="Arial" w:hAnsi="Arial"/>
                <w:sz w:val="18"/>
                <w:szCs w:val="18"/>
                <w:b w:val="1"/>
                <w:bCs w:val="1"/>
                <w:color w:val="auto"/>
                <w:w w:val="93"/>
              </w:rPr>
              <w:t>Delaware</w:t>
            </w:r>
          </w:p>
        </w:tc>
        <w:tc>
          <w:tcPr>
            <w:tcW w:w="2860" w:type="dxa"/>
            <w:vAlign w:val="bottom"/>
            <w:gridSpan w:val="3"/>
          </w:tcPr>
          <w:p>
            <w:pPr>
              <w:jc w:val="center"/>
              <w:ind w:right="800"/>
              <w:spacing w:after="0"/>
              <w:rPr>
                <w:sz w:val="20"/>
                <w:szCs w:val="20"/>
                <w:color w:val="auto"/>
              </w:rPr>
            </w:pPr>
            <w:r>
              <w:rPr>
                <w:rFonts w:ascii="Arial" w:cs="Arial" w:eastAsia="Arial" w:hAnsi="Arial"/>
                <w:sz w:val="18"/>
                <w:szCs w:val="18"/>
                <w:b w:val="1"/>
                <w:bCs w:val="1"/>
                <w:color w:val="auto"/>
                <w:w w:val="90"/>
              </w:rPr>
              <w:t>001-40193</w:t>
            </w:r>
          </w:p>
        </w:tc>
        <w:tc>
          <w:tcPr>
            <w:tcW w:w="100" w:type="dxa"/>
            <w:vAlign w:val="bottom"/>
          </w:tcPr>
          <w:p>
            <w:pPr>
              <w:spacing w:after="0"/>
              <w:rPr>
                <w:sz w:val="20"/>
                <w:szCs w:val="20"/>
                <w:color w:val="auto"/>
              </w:rPr>
            </w:pPr>
          </w:p>
        </w:tc>
        <w:tc>
          <w:tcPr>
            <w:tcW w:w="3680" w:type="dxa"/>
            <w:vAlign w:val="bottom"/>
          </w:tcPr>
          <w:p>
            <w:pPr>
              <w:jc w:val="center"/>
              <w:spacing w:after="0"/>
              <w:rPr>
                <w:sz w:val="20"/>
                <w:szCs w:val="20"/>
                <w:color w:val="auto"/>
              </w:rPr>
            </w:pPr>
            <w:r>
              <w:rPr>
                <w:rFonts w:ascii="Arial" w:cs="Arial" w:eastAsia="Arial" w:hAnsi="Arial"/>
                <w:sz w:val="18"/>
                <w:szCs w:val="18"/>
                <w:b w:val="1"/>
                <w:bCs w:val="1"/>
                <w:color w:val="auto"/>
                <w:w w:val="91"/>
              </w:rPr>
              <w:t>85-1286799</w:t>
            </w:r>
          </w:p>
        </w:tc>
      </w:tr>
      <w:tr>
        <w:trPr>
          <w:trHeight w:val="182"/>
        </w:trPr>
        <w:tc>
          <w:tcPr>
            <w:tcW w:w="3700" w:type="dxa"/>
            <w:vAlign w:val="bottom"/>
            <w:tcBorders>
              <w:top w:val="single" w:sz="8" w:color="auto"/>
            </w:tcBorders>
          </w:tcPr>
          <w:p>
            <w:pPr>
              <w:jc w:val="center"/>
              <w:spacing w:after="0" w:line="182" w:lineRule="exact"/>
              <w:rPr>
                <w:sz w:val="20"/>
                <w:szCs w:val="20"/>
                <w:color w:val="auto"/>
              </w:rPr>
            </w:pPr>
            <w:r>
              <w:rPr>
                <w:rFonts w:ascii="Arial" w:cs="Arial" w:eastAsia="Arial" w:hAnsi="Arial"/>
                <w:sz w:val="18"/>
                <w:szCs w:val="18"/>
                <w:color w:val="auto"/>
                <w:w w:val="92"/>
              </w:rPr>
              <w:t>(State or other jurisdiction</w:t>
            </w:r>
          </w:p>
        </w:tc>
        <w:tc>
          <w:tcPr>
            <w:tcW w:w="80" w:type="dxa"/>
            <w:vAlign w:val="bottom"/>
          </w:tcPr>
          <w:p>
            <w:pPr>
              <w:spacing w:after="0"/>
              <w:rPr>
                <w:sz w:val="15"/>
                <w:szCs w:val="15"/>
                <w:color w:val="auto"/>
              </w:rPr>
            </w:pPr>
          </w:p>
        </w:tc>
        <w:tc>
          <w:tcPr>
            <w:tcW w:w="820" w:type="dxa"/>
            <w:vAlign w:val="bottom"/>
            <w:tcBorders>
              <w:top w:val="single" w:sz="8" w:color="auto"/>
            </w:tcBorders>
          </w:tcPr>
          <w:p>
            <w:pPr>
              <w:spacing w:after="0"/>
              <w:rPr>
                <w:sz w:val="15"/>
                <w:szCs w:val="15"/>
                <w:color w:val="auto"/>
              </w:rPr>
            </w:pPr>
          </w:p>
        </w:tc>
        <w:tc>
          <w:tcPr>
            <w:tcW w:w="2860" w:type="dxa"/>
            <w:vAlign w:val="bottom"/>
            <w:tcBorders>
              <w:top w:val="single" w:sz="8" w:color="auto"/>
            </w:tcBorders>
            <w:gridSpan w:val="3"/>
          </w:tcPr>
          <w:p>
            <w:pPr>
              <w:jc w:val="center"/>
              <w:ind w:right="800"/>
              <w:spacing w:after="0" w:line="182" w:lineRule="exact"/>
              <w:rPr>
                <w:sz w:val="20"/>
                <w:szCs w:val="20"/>
                <w:color w:val="auto"/>
              </w:rPr>
            </w:pPr>
            <w:r>
              <w:rPr>
                <w:rFonts w:ascii="Arial" w:cs="Arial" w:eastAsia="Arial" w:hAnsi="Arial"/>
                <w:sz w:val="18"/>
                <w:szCs w:val="18"/>
                <w:color w:val="auto"/>
                <w:w w:val="93"/>
              </w:rPr>
              <w:t>(Commission File</w:t>
            </w:r>
          </w:p>
        </w:tc>
        <w:tc>
          <w:tcPr>
            <w:tcW w:w="100" w:type="dxa"/>
            <w:vAlign w:val="bottom"/>
          </w:tcPr>
          <w:p>
            <w:pPr>
              <w:spacing w:after="0"/>
              <w:rPr>
                <w:sz w:val="15"/>
                <w:szCs w:val="15"/>
                <w:color w:val="auto"/>
              </w:rPr>
            </w:pPr>
          </w:p>
        </w:tc>
        <w:tc>
          <w:tcPr>
            <w:tcW w:w="3680" w:type="dxa"/>
            <w:vAlign w:val="bottom"/>
            <w:tcBorders>
              <w:top w:val="single" w:sz="8" w:color="auto"/>
            </w:tcBorders>
          </w:tcPr>
          <w:p>
            <w:pPr>
              <w:jc w:val="center"/>
              <w:spacing w:after="0" w:line="182" w:lineRule="exact"/>
              <w:rPr>
                <w:sz w:val="20"/>
                <w:szCs w:val="20"/>
                <w:color w:val="auto"/>
              </w:rPr>
            </w:pPr>
            <w:r>
              <w:rPr>
                <w:rFonts w:ascii="Arial" w:cs="Arial" w:eastAsia="Arial" w:hAnsi="Arial"/>
                <w:sz w:val="18"/>
                <w:szCs w:val="18"/>
                <w:color w:val="auto"/>
                <w:w w:val="93"/>
              </w:rPr>
              <w:t>(I.R.S. Employer</w:t>
            </w:r>
          </w:p>
        </w:tc>
      </w:tr>
      <w:tr>
        <w:trPr>
          <w:trHeight w:val="230"/>
        </w:trPr>
        <w:tc>
          <w:tcPr>
            <w:tcW w:w="4600" w:type="dxa"/>
            <w:vAlign w:val="bottom"/>
            <w:gridSpan w:val="3"/>
          </w:tcPr>
          <w:p>
            <w:pPr>
              <w:jc w:val="center"/>
              <w:ind w:right="900"/>
              <w:spacing w:after="0"/>
              <w:rPr>
                <w:sz w:val="20"/>
                <w:szCs w:val="20"/>
                <w:color w:val="auto"/>
              </w:rPr>
            </w:pPr>
            <w:r>
              <w:rPr>
                <w:rFonts w:ascii="Arial" w:cs="Arial" w:eastAsia="Arial" w:hAnsi="Arial"/>
                <w:sz w:val="18"/>
                <w:szCs w:val="18"/>
                <w:color w:val="auto"/>
                <w:w w:val="93"/>
              </w:rPr>
              <w:t>of incorporation)</w:t>
            </w:r>
          </w:p>
        </w:tc>
        <w:tc>
          <w:tcPr>
            <w:tcW w:w="2960" w:type="dxa"/>
            <w:vAlign w:val="bottom"/>
            <w:gridSpan w:val="4"/>
          </w:tcPr>
          <w:p>
            <w:pPr>
              <w:jc w:val="center"/>
              <w:ind w:right="920"/>
              <w:spacing w:after="0"/>
              <w:rPr>
                <w:sz w:val="20"/>
                <w:szCs w:val="20"/>
                <w:color w:val="auto"/>
              </w:rPr>
            </w:pPr>
            <w:r>
              <w:rPr>
                <w:rFonts w:ascii="Arial" w:cs="Arial" w:eastAsia="Arial" w:hAnsi="Arial"/>
                <w:sz w:val="18"/>
                <w:szCs w:val="18"/>
                <w:color w:val="auto"/>
                <w:w w:val="91"/>
              </w:rPr>
              <w:t>Number)</w:t>
            </w:r>
          </w:p>
        </w:tc>
        <w:tc>
          <w:tcPr>
            <w:tcW w:w="368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r>
        <w:trPr>
          <w:trHeight w:val="405"/>
        </w:trPr>
        <w:tc>
          <w:tcPr>
            <w:tcW w:w="4600" w:type="dxa"/>
            <w:vAlign w:val="bottom"/>
            <w:gridSpan w:val="3"/>
          </w:tcPr>
          <w:p>
            <w:pPr>
              <w:jc w:val="center"/>
              <w:ind w:left="890"/>
              <w:spacing w:after="0"/>
              <w:rPr>
                <w:sz w:val="20"/>
                <w:szCs w:val="20"/>
                <w:color w:val="auto"/>
              </w:rPr>
            </w:pPr>
            <w:r>
              <w:rPr>
                <w:rFonts w:ascii="Arial" w:cs="Arial" w:eastAsia="Arial" w:hAnsi="Arial"/>
                <w:sz w:val="18"/>
                <w:szCs w:val="18"/>
                <w:b w:val="1"/>
                <w:bCs w:val="1"/>
                <w:color w:val="auto"/>
                <w:w w:val="88"/>
              </w:rPr>
              <w:t>5400 Betsy Ross Drive</w:t>
            </w: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80" w:type="dxa"/>
            <w:vAlign w:val="bottom"/>
          </w:tcPr>
          <w:p>
            <w:pPr>
              <w:spacing w:after="0"/>
              <w:rPr>
                <w:sz w:val="24"/>
                <w:szCs w:val="24"/>
                <w:color w:val="auto"/>
              </w:rPr>
            </w:pPr>
          </w:p>
        </w:tc>
      </w:tr>
      <w:tr>
        <w:trPr>
          <w:trHeight w:val="243"/>
        </w:trPr>
        <w:tc>
          <w:tcPr>
            <w:tcW w:w="4600" w:type="dxa"/>
            <w:vAlign w:val="bottom"/>
            <w:tcBorders>
              <w:bottom w:val="single" w:sz="8" w:color="auto"/>
            </w:tcBorders>
            <w:gridSpan w:val="3"/>
          </w:tcPr>
          <w:p>
            <w:pPr>
              <w:jc w:val="center"/>
              <w:ind w:left="890"/>
              <w:spacing w:after="0"/>
              <w:rPr>
                <w:sz w:val="20"/>
                <w:szCs w:val="20"/>
                <w:color w:val="auto"/>
              </w:rPr>
            </w:pPr>
            <w:r>
              <w:rPr>
                <w:rFonts w:ascii="Arial" w:cs="Arial" w:eastAsia="Arial" w:hAnsi="Arial"/>
                <w:sz w:val="18"/>
                <w:szCs w:val="18"/>
                <w:b w:val="1"/>
                <w:bCs w:val="1"/>
                <w:color w:val="auto"/>
                <w:w w:val="93"/>
              </w:rPr>
              <w:t>Santa Clara, CA</w:t>
            </w:r>
          </w:p>
        </w:tc>
        <w:tc>
          <w:tcPr>
            <w:tcW w:w="96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800" w:type="dxa"/>
            <w:vAlign w:val="bottom"/>
            <w:tcBorders>
              <w:bottom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3680" w:type="dxa"/>
            <w:vAlign w:val="bottom"/>
            <w:tcBorders>
              <w:bottom w:val="single" w:sz="8" w:color="auto"/>
            </w:tcBorders>
          </w:tcPr>
          <w:p>
            <w:pPr>
              <w:jc w:val="right"/>
              <w:ind w:right="2470"/>
              <w:spacing w:after="0"/>
              <w:rPr>
                <w:sz w:val="20"/>
                <w:szCs w:val="20"/>
                <w:color w:val="auto"/>
              </w:rPr>
            </w:pPr>
            <w:r>
              <w:rPr>
                <w:rFonts w:ascii="Arial" w:cs="Arial" w:eastAsia="Arial" w:hAnsi="Arial"/>
                <w:sz w:val="18"/>
                <w:szCs w:val="18"/>
                <w:b w:val="1"/>
                <w:bCs w:val="1"/>
                <w:color w:val="auto"/>
              </w:rPr>
              <w:t>95054</w:t>
            </w:r>
          </w:p>
        </w:tc>
      </w:tr>
      <w:tr>
        <w:trPr>
          <w:trHeight w:val="224"/>
        </w:trPr>
        <w:tc>
          <w:tcPr>
            <w:tcW w:w="4600" w:type="dxa"/>
            <w:vAlign w:val="bottom"/>
            <w:gridSpan w:val="3"/>
          </w:tcPr>
          <w:p>
            <w:pPr>
              <w:jc w:val="center"/>
              <w:ind w:left="890"/>
              <w:spacing w:after="0"/>
              <w:rPr>
                <w:sz w:val="20"/>
                <w:szCs w:val="20"/>
                <w:color w:val="auto"/>
              </w:rPr>
            </w:pPr>
            <w:r>
              <w:rPr>
                <w:rFonts w:ascii="Arial" w:cs="Arial" w:eastAsia="Arial" w:hAnsi="Arial"/>
                <w:sz w:val="18"/>
                <w:szCs w:val="18"/>
                <w:color w:val="auto"/>
                <w:w w:val="92"/>
              </w:rPr>
              <w:t>(Address of principal executive offices)</w:t>
            </w:r>
          </w:p>
        </w:tc>
        <w:tc>
          <w:tcPr>
            <w:tcW w:w="9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80" w:type="dxa"/>
            <w:vAlign w:val="bottom"/>
          </w:tcPr>
          <w:p>
            <w:pPr>
              <w:jc w:val="center"/>
              <w:ind w:right="1810"/>
              <w:spacing w:after="0"/>
              <w:rPr>
                <w:sz w:val="20"/>
                <w:szCs w:val="20"/>
                <w:color w:val="auto"/>
              </w:rPr>
            </w:pPr>
            <w:r>
              <w:rPr>
                <w:rFonts w:ascii="Arial" w:cs="Arial" w:eastAsia="Arial" w:hAnsi="Arial"/>
                <w:sz w:val="18"/>
                <w:szCs w:val="18"/>
                <w:color w:val="auto"/>
                <w:w w:val="91"/>
              </w:rPr>
              <w:t>(Zip Code)</w:t>
            </w:r>
          </w:p>
        </w:tc>
      </w:tr>
    </w:tbl>
    <w:p>
      <w:pPr>
        <w:spacing w:after="0" w:line="187" w:lineRule="exact"/>
        <w:rPr>
          <w:sz w:val="24"/>
          <w:szCs w:val="24"/>
          <w:color w:val="auto"/>
        </w:rPr>
      </w:pPr>
    </w:p>
    <w:p>
      <w:pPr>
        <w:jc w:val="center"/>
        <w:spacing w:after="0"/>
        <w:rPr>
          <w:sz w:val="20"/>
          <w:szCs w:val="20"/>
          <w:color w:val="auto"/>
        </w:rPr>
      </w:pPr>
      <w:r>
        <w:rPr>
          <w:rFonts w:ascii="Arial" w:cs="Arial" w:eastAsia="Arial" w:hAnsi="Arial"/>
          <w:sz w:val="18"/>
          <w:szCs w:val="18"/>
          <w:color w:val="212529"/>
        </w:rPr>
        <w:t>Registrant’s telephone number, including area code: (408) 441-3200</w:t>
      </w:r>
    </w:p>
    <w:p>
      <w:pPr>
        <w:spacing w:after="0" w:line="117" w:lineRule="exact"/>
        <w:rPr>
          <w:sz w:val="24"/>
          <w:szCs w:val="24"/>
          <w:color w:val="auto"/>
        </w:rPr>
      </w:pPr>
    </w:p>
    <w:p>
      <w:pPr>
        <w:jc w:val="center"/>
        <w:spacing w:after="0"/>
        <w:rPr>
          <w:sz w:val="20"/>
          <w:szCs w:val="20"/>
          <w:color w:val="auto"/>
        </w:rPr>
      </w:pPr>
      <w:r>
        <w:rPr>
          <w:rFonts w:ascii="Arial" w:cs="Arial" w:eastAsia="Arial" w:hAnsi="Arial"/>
          <w:sz w:val="18"/>
          <w:szCs w:val="18"/>
          <w:color w:val="212529"/>
        </w:rPr>
        <w:t>(Former name or former address, if changed since last report)</w:t>
      </w:r>
    </w:p>
    <w:p>
      <w:pPr>
        <w:spacing w:after="0" w:line="23" w:lineRule="exact"/>
        <w:rPr>
          <w:sz w:val="24"/>
          <w:szCs w:val="24"/>
          <w:color w:val="auto"/>
        </w:rPr>
      </w:pPr>
    </w:p>
    <w:p>
      <w:pPr>
        <w:ind w:left="3780"/>
        <w:spacing w:after="0"/>
        <w:rPr>
          <w:sz w:val="20"/>
          <w:szCs w:val="20"/>
          <w:color w:val="auto"/>
        </w:rPr>
      </w:pPr>
      <w:r>
        <w:rPr>
          <w:rFonts w:ascii="Arial" w:cs="Arial" w:eastAsia="Arial" w:hAnsi="Arial"/>
          <w:sz w:val="18"/>
          <w:szCs w:val="18"/>
          <w:color w:val="auto"/>
        </w:rPr>
        <w:t>_________________________________________</w:t>
      </w:r>
    </w:p>
    <w:p>
      <w:pPr>
        <w:spacing w:after="0" w:line="103"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212529"/>
        </w:rPr>
        <w:t>Check the appropriate box below if the Form 8-K filing is intended to simultaneously satisfy the filing obligation of the registrant under any of the following provisions (see General Instruction A.2. below):</w:t>
      </w:r>
    </w:p>
    <w:p>
      <w:pPr>
        <w:spacing w:after="0" w:line="103" w:lineRule="exact"/>
        <w:rPr>
          <w:sz w:val="24"/>
          <w:szCs w:val="24"/>
          <w:color w:val="auto"/>
        </w:rPr>
      </w:pPr>
    </w:p>
    <w:p>
      <w:pPr>
        <w:ind w:left="360" w:hanging="334"/>
        <w:spacing w:after="0"/>
        <w:tabs>
          <w:tab w:leader="none" w:pos="3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Arial" w:cs="Arial" w:eastAsia="Arial" w:hAnsi="Arial"/>
          <w:sz w:val="18"/>
          <w:szCs w:val="18"/>
          <w:color w:val="auto"/>
        </w:rPr>
      </w:pPr>
    </w:p>
    <w:p>
      <w:pPr>
        <w:ind w:left="360" w:hanging="334"/>
        <w:spacing w:after="0"/>
        <w:tabs>
          <w:tab w:leader="none" w:pos="3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360" w:hanging="334"/>
        <w:spacing w:after="0"/>
        <w:tabs>
          <w:tab w:leader="none" w:pos="3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Arial" w:cs="Arial" w:eastAsia="Arial" w:hAnsi="Arial"/>
          <w:sz w:val="18"/>
          <w:szCs w:val="18"/>
          <w:color w:val="auto"/>
        </w:rPr>
      </w:pPr>
    </w:p>
    <w:p>
      <w:pPr>
        <w:ind w:left="360" w:hanging="334"/>
        <w:spacing w:after="0"/>
        <w:tabs>
          <w:tab w:leader="none" w:pos="3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3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60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87"/>
              </w:rPr>
              <w:t>Title of each class</w:t>
            </w:r>
          </w:p>
        </w:tc>
        <w:tc>
          <w:tcPr>
            <w:tcW w:w="21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500" w:type="dxa"/>
            <w:vAlign w:val="bottom"/>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3"/>
        </w:trPr>
        <w:tc>
          <w:tcPr>
            <w:tcW w:w="45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Class A Common Stock, $0.0001 par value per share</w:t>
            </w:r>
          </w:p>
        </w:tc>
        <w:tc>
          <w:tcPr>
            <w:tcW w:w="100" w:type="dxa"/>
            <w:vAlign w:val="bottom"/>
            <w:tcBorders>
              <w:top w:val="single" w:sz="8" w:color="CCEEFF"/>
            </w:tcBorders>
            <w:shd w:val="clear" w:color="auto" w:fill="CCEEFF"/>
          </w:tcPr>
          <w:p>
            <w:pPr>
              <w:spacing w:after="0"/>
              <w:rPr>
                <w:sz w:val="19"/>
                <w:szCs w:val="19"/>
                <w:color w:val="auto"/>
              </w:rPr>
            </w:pPr>
          </w:p>
        </w:tc>
        <w:tc>
          <w:tcPr>
            <w:tcW w:w="204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SOUN</w:t>
            </w:r>
          </w:p>
        </w:tc>
        <w:tc>
          <w:tcPr>
            <w:tcW w:w="100" w:type="dxa"/>
            <w:vAlign w:val="bottom"/>
            <w:tcBorders>
              <w:top w:val="single" w:sz="8" w:color="CCEEFF"/>
            </w:tcBorders>
            <w:shd w:val="clear" w:color="auto" w:fill="CCEEFF"/>
          </w:tcPr>
          <w:p>
            <w:pPr>
              <w:spacing w:after="0"/>
              <w:rPr>
                <w:sz w:val="19"/>
                <w:szCs w:val="19"/>
                <w:color w:val="auto"/>
              </w:rPr>
            </w:pPr>
          </w:p>
        </w:tc>
        <w:tc>
          <w:tcPr>
            <w:tcW w:w="45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1"/>
              </w:rPr>
              <w:t>The Nasdaq Stock Market LLC</w:t>
            </w:r>
          </w:p>
        </w:tc>
      </w:tr>
      <w:tr>
        <w:trPr>
          <w:trHeight w:val="188"/>
        </w:trPr>
        <w:tc>
          <w:tcPr>
            <w:tcW w:w="4600" w:type="dxa"/>
            <w:vAlign w:val="bottom"/>
            <w:gridSpan w:val="2"/>
          </w:tcPr>
          <w:p>
            <w:pPr>
              <w:jc w:val="center"/>
              <w:ind w:right="100"/>
              <w:spacing w:after="0" w:line="189" w:lineRule="exact"/>
              <w:rPr>
                <w:sz w:val="20"/>
                <w:szCs w:val="20"/>
                <w:color w:val="auto"/>
              </w:rPr>
            </w:pPr>
            <w:r>
              <w:rPr>
                <w:rFonts w:ascii="Arial" w:cs="Arial" w:eastAsia="Arial" w:hAnsi="Arial"/>
                <w:sz w:val="18"/>
                <w:szCs w:val="18"/>
                <w:color w:val="auto"/>
                <w:w w:val="89"/>
              </w:rPr>
              <w:t>Warrants, each exercisable for one share of Class A Common</w:t>
            </w:r>
          </w:p>
        </w:tc>
        <w:tc>
          <w:tcPr>
            <w:tcW w:w="2140" w:type="dxa"/>
            <w:vAlign w:val="bottom"/>
            <w:gridSpan w:val="2"/>
          </w:tcPr>
          <w:p>
            <w:pPr>
              <w:jc w:val="center"/>
              <w:ind w:right="120"/>
              <w:spacing w:after="0" w:line="189" w:lineRule="exact"/>
              <w:rPr>
                <w:sz w:val="20"/>
                <w:szCs w:val="20"/>
                <w:color w:val="auto"/>
              </w:rPr>
            </w:pPr>
            <w:r>
              <w:rPr>
                <w:rFonts w:ascii="Arial" w:cs="Arial" w:eastAsia="Arial" w:hAnsi="Arial"/>
                <w:sz w:val="18"/>
                <w:szCs w:val="18"/>
                <w:color w:val="auto"/>
                <w:w w:val="95"/>
              </w:rPr>
              <w:t>SOUNW</w:t>
            </w:r>
          </w:p>
        </w:tc>
        <w:tc>
          <w:tcPr>
            <w:tcW w:w="4500" w:type="dxa"/>
            <w:vAlign w:val="bottom"/>
          </w:tcPr>
          <w:p>
            <w:pPr>
              <w:jc w:val="center"/>
              <w:spacing w:after="0" w:line="189" w:lineRule="exact"/>
              <w:rPr>
                <w:sz w:val="20"/>
                <w:szCs w:val="20"/>
                <w:color w:val="auto"/>
              </w:rPr>
            </w:pPr>
            <w:r>
              <w:rPr>
                <w:rFonts w:ascii="Arial" w:cs="Arial" w:eastAsia="Arial" w:hAnsi="Arial"/>
                <w:sz w:val="18"/>
                <w:szCs w:val="18"/>
                <w:color w:val="auto"/>
                <w:w w:val="91"/>
              </w:rPr>
              <w:t>The Nasdaq Stock Market LLC</w:t>
            </w:r>
          </w:p>
        </w:tc>
      </w:tr>
      <w:tr>
        <w:trPr>
          <w:trHeight w:val="176"/>
        </w:trPr>
        <w:tc>
          <w:tcPr>
            <w:tcW w:w="4600" w:type="dxa"/>
            <w:vAlign w:val="bottom"/>
            <w:gridSpan w:val="2"/>
          </w:tcPr>
          <w:p>
            <w:pPr>
              <w:jc w:val="center"/>
              <w:ind w:right="80"/>
              <w:spacing w:after="0" w:line="176" w:lineRule="exact"/>
              <w:rPr>
                <w:sz w:val="20"/>
                <w:szCs w:val="20"/>
                <w:color w:val="auto"/>
              </w:rPr>
            </w:pPr>
            <w:r>
              <w:rPr>
                <w:rFonts w:ascii="Arial" w:cs="Arial" w:eastAsia="Arial" w:hAnsi="Arial"/>
                <w:sz w:val="18"/>
                <w:szCs w:val="18"/>
                <w:color w:val="auto"/>
                <w:w w:val="88"/>
              </w:rPr>
              <w:t>Stock at an exercise price of $11.50 per share, subject to</w:t>
            </w:r>
          </w:p>
        </w:tc>
        <w:tc>
          <w:tcPr>
            <w:tcW w:w="20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500" w:type="dxa"/>
            <w:vAlign w:val="bottom"/>
          </w:tcPr>
          <w:p>
            <w:pPr>
              <w:spacing w:after="0"/>
              <w:rPr>
                <w:sz w:val="15"/>
                <w:szCs w:val="15"/>
                <w:color w:val="auto"/>
              </w:rPr>
            </w:pPr>
          </w:p>
        </w:tc>
      </w:tr>
      <w:tr>
        <w:trPr>
          <w:trHeight w:val="230"/>
        </w:trPr>
        <w:tc>
          <w:tcPr>
            <w:tcW w:w="4600" w:type="dxa"/>
            <w:vAlign w:val="bottom"/>
            <w:gridSpan w:val="2"/>
          </w:tcPr>
          <w:p>
            <w:pPr>
              <w:jc w:val="center"/>
              <w:ind w:right="80"/>
              <w:spacing w:after="0"/>
              <w:rPr>
                <w:sz w:val="20"/>
                <w:szCs w:val="20"/>
                <w:color w:val="auto"/>
              </w:rPr>
            </w:pPr>
            <w:r>
              <w:rPr>
                <w:rFonts w:ascii="Arial" w:cs="Arial" w:eastAsia="Arial" w:hAnsi="Arial"/>
                <w:sz w:val="18"/>
                <w:szCs w:val="18"/>
                <w:color w:val="auto"/>
                <w:w w:val="90"/>
              </w:rPr>
              <w:t>adjustment</w:t>
            </w:r>
          </w:p>
        </w:tc>
        <w:tc>
          <w:tcPr>
            <w:tcW w:w="2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500" w:type="dxa"/>
            <w:vAlign w:val="bottom"/>
          </w:tcPr>
          <w:p>
            <w:pPr>
              <w:spacing w:after="0"/>
              <w:rPr>
                <w:sz w:val="20"/>
                <w:szCs w:val="20"/>
                <w:color w:val="auto"/>
              </w:rPr>
            </w:pPr>
          </w:p>
        </w:tc>
      </w:tr>
    </w:tbl>
    <w:p>
      <w:pPr>
        <w:spacing w:after="0" w:line="187"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212529"/>
        </w:rPr>
        <w:t>Indicate by check mark whether the registrant is an emerging growth company as defined in Rule 405 of the Securities Act of 1933 (§230.405 of this chapter) or Rule 12b-2 of the Securities Exchange Act of 1934 (§240.12b-2 of this chapter).</w:t>
      </w:r>
    </w:p>
    <w:p>
      <w:pPr>
        <w:spacing w:after="0" w:line="62" w:lineRule="exact"/>
        <w:rPr>
          <w:sz w:val="24"/>
          <w:szCs w:val="24"/>
          <w:color w:val="auto"/>
        </w:rPr>
      </w:pPr>
    </w:p>
    <w:p>
      <w:pPr>
        <w:spacing w:after="0"/>
        <w:rPr>
          <w:sz w:val="20"/>
          <w:szCs w:val="20"/>
          <w:color w:val="auto"/>
        </w:rPr>
      </w:pPr>
      <w:r>
        <w:rPr>
          <w:rFonts w:ascii="Arial" w:cs="Arial" w:eastAsia="Arial" w:hAnsi="Arial"/>
          <w:sz w:val="18"/>
          <w:szCs w:val="18"/>
          <w:color w:val="212529"/>
        </w:rPr>
        <w:t>Emerging growth company x</w:t>
      </w:r>
    </w:p>
    <w:p>
      <w:pPr>
        <w:spacing w:after="0" w:line="117" w:lineRule="exact"/>
        <w:rPr>
          <w:sz w:val="24"/>
          <w:szCs w:val="24"/>
          <w:color w:val="auto"/>
        </w:rPr>
      </w:pPr>
    </w:p>
    <w:p>
      <w:pPr>
        <w:spacing w:after="0" w:line="277" w:lineRule="auto"/>
        <w:rPr>
          <w:sz w:val="20"/>
          <w:szCs w:val="20"/>
          <w:color w:val="auto"/>
        </w:rPr>
      </w:pPr>
      <w:r>
        <w:rPr>
          <w:rFonts w:ascii="Arial" w:cs="Arial" w:eastAsia="Arial" w:hAnsi="Arial"/>
          <w:sz w:val="18"/>
          <w:szCs w:val="18"/>
          <w:color w:val="212529"/>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747395</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83185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108585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345" w:right="339" w:bottom="1440" w:gutter="0" w:footer="0" w:header="0"/>
        </w:sectPr>
      </w:pPr>
    </w:p>
    <w:bookmarkStart w:id="1" w:name="page2"/>
    <w:bookmarkEnd w:id="1"/>
    <w:p>
      <w:pPr>
        <w:spacing w:after="0"/>
        <w:tabs>
          <w:tab w:leader="none" w:pos="8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202"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212529"/>
        </w:rPr>
        <w:t>On November 10, 2022, SoundHound AI, Inc. issued a press release announcing financial results and operational highlights for the third quarter ended September 30, 2022. A copy of the press release is furnished as Exhibit 99.1 to this current report on Form 8-K.</w:t>
      </w:r>
    </w:p>
    <w:p>
      <w:pPr>
        <w:spacing w:after="0" w:line="126"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 and Exhibits.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780" w:type="dxa"/>
            <w:vAlign w:val="bottom"/>
            <w:gridSpan w:val="2"/>
          </w:tcPr>
          <w:p>
            <w:pPr>
              <w:ind w:left="20"/>
              <w:spacing w:after="0"/>
              <w:rPr>
                <w:sz w:val="20"/>
                <w:szCs w:val="20"/>
                <w:color w:val="auto"/>
              </w:rPr>
            </w:pPr>
            <w:r>
              <w:rPr>
                <w:rFonts w:ascii="Arial" w:cs="Arial" w:eastAsia="Arial" w:hAnsi="Arial"/>
                <w:sz w:val="18"/>
                <w:szCs w:val="18"/>
                <w:b w:val="1"/>
                <w:bCs w:val="1"/>
                <w:color w:val="auto"/>
              </w:rPr>
              <w:t>Exhibit Number</w:t>
            </w:r>
          </w:p>
        </w:tc>
        <w:tc>
          <w:tcPr>
            <w:tcW w:w="20" w:type="dxa"/>
            <w:vAlign w:val="bottom"/>
          </w:tcPr>
          <w:p>
            <w:pPr>
              <w:spacing w:after="0"/>
              <w:rPr>
                <w:sz w:val="20"/>
                <w:szCs w:val="20"/>
                <w:color w:val="auto"/>
              </w:rPr>
            </w:pPr>
          </w:p>
        </w:tc>
        <w:tc>
          <w:tcPr>
            <w:tcW w:w="9440" w:type="dxa"/>
            <w:vAlign w:val="bottom"/>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203"/>
        </w:trPr>
        <w:tc>
          <w:tcPr>
            <w:tcW w:w="1700" w:type="dxa"/>
            <w:vAlign w:val="bottom"/>
            <w:tcBorders>
              <w:top w:val="single" w:sz="8" w:color="auto"/>
              <w:bottom w:val="single" w:sz="8" w:color="CCEEFF"/>
            </w:tcBorders>
            <w:shd w:val="clear" w:color="auto" w:fill="CCEEFF"/>
          </w:tcPr>
          <w:p>
            <w:pPr>
              <w:ind w:left="20"/>
              <w:spacing w:after="0" w:line="182" w:lineRule="exact"/>
              <w:rPr>
                <w:sz w:val="20"/>
                <w:szCs w:val="20"/>
                <w:color w:val="auto"/>
              </w:rPr>
            </w:pPr>
            <w:r>
              <w:rPr>
                <w:rFonts w:ascii="Arial" w:cs="Arial" w:eastAsia="Arial" w:hAnsi="Arial"/>
                <w:sz w:val="18"/>
                <w:szCs w:val="18"/>
                <w:color w:val="auto"/>
              </w:rPr>
              <w:t>99.1</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0" w:type="dxa"/>
            <w:vAlign w:val="bottom"/>
            <w:tcBorders>
              <w:top w:val="single" w:sz="8" w:color="auto"/>
              <w:bottom w:val="single" w:sz="8" w:color="CCEEFF"/>
            </w:tcBorders>
            <w:shd w:val="clear" w:color="auto" w:fill="CCEEFF"/>
          </w:tcPr>
          <w:p>
            <w:pPr>
              <w:spacing w:after="0"/>
              <w:rPr>
                <w:sz w:val="17"/>
                <w:szCs w:val="17"/>
                <w:color w:val="auto"/>
              </w:rPr>
            </w:pPr>
          </w:p>
        </w:tc>
        <w:tc>
          <w:tcPr>
            <w:tcW w:w="2960" w:type="dxa"/>
            <w:vAlign w:val="bottom"/>
            <w:tcBorders>
              <w:top w:val="single" w:sz="8" w:color="auto"/>
              <w:bottom w:val="single" w:sz="8" w:color="0000FF"/>
            </w:tcBorders>
            <w:shd w:val="clear" w:color="auto" w:fill="CCEEFF"/>
          </w:tcPr>
          <w:p>
            <w:pPr>
              <w:spacing w:after="0" w:line="182" w:lineRule="exact"/>
              <w:rPr>
                <w:sz w:val="20"/>
                <w:szCs w:val="20"/>
                <w:color w:val="auto"/>
              </w:rPr>
            </w:pPr>
            <w:r>
              <w:rPr>
                <w:rFonts w:ascii="Arial" w:cs="Arial" w:eastAsia="Arial" w:hAnsi="Arial"/>
                <w:sz w:val="18"/>
                <w:szCs w:val="18"/>
                <w:color w:val="0000FF"/>
                <w:w w:val="87"/>
              </w:rPr>
              <w:t>Press Release, dated November 10, 2022</w:t>
            </w:r>
          </w:p>
        </w:tc>
        <w:tc>
          <w:tcPr>
            <w:tcW w:w="6480" w:type="dxa"/>
            <w:vAlign w:val="bottom"/>
            <w:tcBorders>
              <w:top w:val="single" w:sz="8" w:color="auto"/>
              <w:bottom w:val="single" w:sz="8" w:color="CCEEFF"/>
            </w:tcBorders>
            <w:shd w:val="clear" w:color="auto" w:fill="CCEEFF"/>
          </w:tcPr>
          <w:p>
            <w:pPr>
              <w:spacing w:after="0"/>
              <w:rPr>
                <w:sz w:val="17"/>
                <w:szCs w:val="17"/>
                <w:color w:val="auto"/>
              </w:rPr>
            </w:pPr>
          </w:p>
        </w:tc>
      </w:tr>
      <w:tr>
        <w:trPr>
          <w:trHeight w:val="230"/>
        </w:trPr>
        <w:tc>
          <w:tcPr>
            <w:tcW w:w="1700" w:type="dxa"/>
            <w:vAlign w:val="bottom"/>
          </w:tcPr>
          <w:p>
            <w:pPr>
              <w:ind w:left="20"/>
              <w:spacing w:after="0"/>
              <w:rPr>
                <w:sz w:val="20"/>
                <w:szCs w:val="20"/>
                <w:color w:val="auto"/>
              </w:rPr>
            </w:pPr>
            <w:r>
              <w:rPr>
                <w:rFonts w:ascii="Arial" w:cs="Arial" w:eastAsia="Arial" w:hAnsi="Arial"/>
                <w:sz w:val="18"/>
                <w:szCs w:val="18"/>
                <w:color w:val="auto"/>
              </w:rPr>
              <w:t>104</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9440" w:type="dxa"/>
            <w:vAlign w:val="bottom"/>
            <w:gridSpan w:val="2"/>
          </w:tcPr>
          <w:p>
            <w:pPr>
              <w:spacing w:after="0"/>
              <w:rPr>
                <w:sz w:val="20"/>
                <w:szCs w:val="20"/>
                <w:color w:val="auto"/>
              </w:rPr>
            </w:pPr>
            <w:r>
              <w:rPr>
                <w:rFonts w:ascii="Arial" w:cs="Arial" w:eastAsia="Arial" w:hAnsi="Arial"/>
                <w:sz w:val="18"/>
                <w:szCs w:val="18"/>
                <w:color w:val="auto"/>
              </w:rPr>
              <w:t>Cover Page Interactive Data File (formatted as inline XBRL)</w:t>
            </w:r>
          </w:p>
        </w:tc>
      </w:tr>
      <w:tr>
        <w:trPr>
          <w:trHeight w:val="904"/>
        </w:trPr>
        <w:tc>
          <w:tcPr>
            <w:tcW w:w="1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460" w:type="dxa"/>
            <w:vAlign w:val="bottom"/>
            <w:gridSpan w:val="3"/>
          </w:tcPr>
          <w:p>
            <w:pPr>
              <w:jc w:val="right"/>
              <w:ind w:right="5580"/>
              <w:spacing w:after="0"/>
              <w:rPr>
                <w:sz w:val="20"/>
                <w:szCs w:val="20"/>
                <w:color w:val="auto"/>
              </w:rPr>
            </w:pPr>
            <w:r>
              <w:rPr>
                <w:rFonts w:ascii="Arial" w:cs="Arial" w:eastAsia="Arial" w:hAnsi="Arial"/>
                <w:sz w:val="18"/>
                <w:szCs w:val="18"/>
                <w:color w:val="auto"/>
              </w:rPr>
              <w:t>2</w:t>
            </w:r>
          </w:p>
        </w:tc>
      </w:tr>
      <w:tr>
        <w:trPr>
          <w:trHeight w:val="115"/>
        </w:trPr>
        <w:tc>
          <w:tcPr>
            <w:tcW w:w="1700" w:type="dxa"/>
            <w:vAlign w:val="bottom"/>
            <w:tcBorders>
              <w:bottom w:val="single" w:sz="8" w:color="9A9A9A"/>
            </w:tcBorders>
          </w:tcPr>
          <w:p>
            <w:pPr>
              <w:spacing w:after="0"/>
              <w:rPr>
                <w:sz w:val="10"/>
                <w:szCs w:val="10"/>
                <w:color w:val="auto"/>
              </w:rPr>
            </w:pPr>
          </w:p>
        </w:tc>
        <w:tc>
          <w:tcPr>
            <w:tcW w:w="8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2960" w:type="dxa"/>
            <w:vAlign w:val="bottom"/>
            <w:tcBorders>
              <w:bottom w:val="single" w:sz="8" w:color="9A9A9A"/>
            </w:tcBorders>
          </w:tcPr>
          <w:p>
            <w:pPr>
              <w:spacing w:after="0"/>
              <w:rPr>
                <w:sz w:val="10"/>
                <w:szCs w:val="10"/>
                <w:color w:val="auto"/>
              </w:rPr>
            </w:pPr>
          </w:p>
        </w:tc>
        <w:tc>
          <w:tcPr>
            <w:tcW w:w="648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107"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212529"/>
        </w:rPr>
        <w:t>SIGNATURE</w:t>
      </w:r>
    </w:p>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212529"/>
        </w:rPr>
        <w:t>Pursuant to the requirements of the Securities Exchange Act of 1934, the registrant has duly caused this Current Report on Form 8-K to be signed on its behalf by the undersigned hereunto duly authorized.</w:t>
      </w:r>
    </w:p>
    <w:p>
      <w:pPr>
        <w:spacing w:after="0" w:line="170" w:lineRule="exact"/>
        <w:rPr>
          <w:sz w:val="20"/>
          <w:szCs w:val="20"/>
          <w:color w:val="auto"/>
        </w:rPr>
      </w:pPr>
    </w:p>
    <w:tbl>
      <w:tblPr>
        <w:tblLayout w:type="fixed"/>
        <w:tblInd w:w="20" w:type="dxa"/>
        <w:tblCellMar>
          <w:top w:w="0" w:type="dxa"/>
          <w:left w:w="0" w:type="dxa"/>
          <w:bottom w:w="0" w:type="dxa"/>
          <w:right w:w="0" w:type="dxa"/>
        </w:tblCellMar>
      </w:tblPr>
      <w:tr>
        <w:trPr>
          <w:trHeight w:val="244"/>
        </w:trPr>
        <w:tc>
          <w:tcPr>
            <w:tcW w:w="3520" w:type="dxa"/>
            <w:vAlign w:val="bottom"/>
          </w:tcPr>
          <w:p>
            <w:pPr>
              <w:spacing w:after="0"/>
              <w:rPr>
                <w:sz w:val="20"/>
                <w:szCs w:val="20"/>
                <w:color w:val="auto"/>
              </w:rPr>
            </w:pPr>
            <w:r>
              <w:rPr>
                <w:rFonts w:ascii="Arial" w:cs="Arial" w:eastAsia="Arial" w:hAnsi="Arial"/>
                <w:sz w:val="18"/>
                <w:szCs w:val="18"/>
                <w:color w:val="auto"/>
              </w:rPr>
              <w:t>Dated: November 10, 2022</w:t>
            </w:r>
          </w:p>
        </w:tc>
        <w:tc>
          <w:tcPr>
            <w:tcW w:w="7700" w:type="dxa"/>
            <w:vAlign w:val="bottom"/>
            <w:gridSpan w:val="3"/>
          </w:tcPr>
          <w:p>
            <w:pPr>
              <w:ind w:left="1540"/>
              <w:spacing w:after="0"/>
              <w:rPr>
                <w:sz w:val="20"/>
                <w:szCs w:val="20"/>
                <w:color w:val="auto"/>
              </w:rPr>
            </w:pPr>
            <w:r>
              <w:rPr>
                <w:rFonts w:ascii="Arial" w:cs="Arial" w:eastAsia="Arial" w:hAnsi="Arial"/>
                <w:sz w:val="18"/>
                <w:szCs w:val="18"/>
                <w:color w:val="auto"/>
              </w:rPr>
              <w:t>SoundHound AI, Inc.</w:t>
            </w:r>
          </w:p>
        </w:tc>
      </w:tr>
      <w:tr>
        <w:trPr>
          <w:trHeight w:val="473"/>
        </w:trPr>
        <w:tc>
          <w:tcPr>
            <w:tcW w:w="3520" w:type="dxa"/>
            <w:vAlign w:val="bottom"/>
          </w:tcPr>
          <w:p>
            <w:pPr>
              <w:spacing w:after="0"/>
              <w:rPr>
                <w:sz w:val="24"/>
                <w:szCs w:val="24"/>
                <w:color w:val="auto"/>
              </w:rPr>
            </w:pPr>
          </w:p>
        </w:tc>
        <w:tc>
          <w:tcPr>
            <w:tcW w:w="7700" w:type="dxa"/>
            <w:vAlign w:val="bottom"/>
            <w:gridSpan w:val="3"/>
          </w:tcPr>
          <w:p>
            <w:pPr>
              <w:ind w:left="1540"/>
              <w:spacing w:after="0"/>
              <w:rPr>
                <w:sz w:val="20"/>
                <w:szCs w:val="20"/>
                <w:color w:val="auto"/>
              </w:rPr>
            </w:pPr>
            <w:r>
              <w:rPr>
                <w:rFonts w:ascii="Arial" w:cs="Arial" w:eastAsia="Arial" w:hAnsi="Arial"/>
                <w:sz w:val="18"/>
                <w:szCs w:val="18"/>
                <w:color w:val="auto"/>
              </w:rPr>
              <w:t>By:  /s/ Keyvan Mohajer</w:t>
            </w:r>
          </w:p>
        </w:tc>
      </w:tr>
      <w:tr>
        <w:trPr>
          <w:trHeight w:val="222"/>
        </w:trPr>
        <w:tc>
          <w:tcPr>
            <w:tcW w:w="3520" w:type="dxa"/>
            <w:vAlign w:val="bottom"/>
          </w:tcPr>
          <w:p>
            <w:pPr>
              <w:spacing w:after="0"/>
              <w:rPr>
                <w:sz w:val="19"/>
                <w:szCs w:val="19"/>
                <w:color w:val="auto"/>
              </w:rPr>
            </w:pPr>
          </w:p>
        </w:tc>
        <w:tc>
          <w:tcPr>
            <w:tcW w:w="1980" w:type="dxa"/>
            <w:vAlign w:val="bottom"/>
          </w:tcPr>
          <w:p>
            <w:pPr>
              <w:spacing w:after="0"/>
              <w:rPr>
                <w:sz w:val="19"/>
                <w:szCs w:val="19"/>
                <w:color w:val="auto"/>
              </w:rPr>
            </w:pPr>
          </w:p>
        </w:tc>
        <w:tc>
          <w:tcPr>
            <w:tcW w:w="64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Name:</w:t>
            </w:r>
          </w:p>
        </w:tc>
        <w:tc>
          <w:tcPr>
            <w:tcW w:w="5080" w:type="dxa"/>
            <w:vAlign w:val="bottom"/>
            <w:tcBorders>
              <w:top w:val="single" w:sz="8" w:color="auto"/>
            </w:tcBorders>
          </w:tcPr>
          <w:p>
            <w:pPr>
              <w:ind w:left="140"/>
              <w:spacing w:after="0"/>
              <w:rPr>
                <w:sz w:val="20"/>
                <w:szCs w:val="20"/>
                <w:color w:val="auto"/>
              </w:rPr>
            </w:pPr>
            <w:r>
              <w:rPr>
                <w:rFonts w:ascii="Arial" w:cs="Arial" w:eastAsia="Arial" w:hAnsi="Arial"/>
                <w:sz w:val="18"/>
                <w:szCs w:val="18"/>
                <w:color w:val="auto"/>
              </w:rPr>
              <w:t>Keyvan Mohajer</w:t>
            </w:r>
          </w:p>
        </w:tc>
      </w:tr>
      <w:tr>
        <w:trPr>
          <w:trHeight w:val="230"/>
        </w:trPr>
        <w:tc>
          <w:tcPr>
            <w:tcW w:w="352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640" w:type="dxa"/>
            <w:vAlign w:val="bottom"/>
          </w:tcPr>
          <w:p>
            <w:pPr>
              <w:ind w:left="20"/>
              <w:spacing w:after="0"/>
              <w:rPr>
                <w:sz w:val="20"/>
                <w:szCs w:val="20"/>
                <w:color w:val="auto"/>
              </w:rPr>
            </w:pPr>
            <w:r>
              <w:rPr>
                <w:rFonts w:ascii="Arial" w:cs="Arial" w:eastAsia="Arial" w:hAnsi="Arial"/>
                <w:sz w:val="18"/>
                <w:szCs w:val="18"/>
                <w:color w:val="auto"/>
              </w:rPr>
              <w:t>Title:</w:t>
            </w:r>
          </w:p>
        </w:tc>
        <w:tc>
          <w:tcPr>
            <w:tcW w:w="5080" w:type="dxa"/>
            <w:vAlign w:val="bottom"/>
          </w:tcPr>
          <w:p>
            <w:pPr>
              <w:ind w:left="140"/>
              <w:spacing w:after="0"/>
              <w:rPr>
                <w:sz w:val="20"/>
                <w:szCs w:val="20"/>
                <w:color w:val="auto"/>
              </w:rPr>
            </w:pPr>
            <w:r>
              <w:rPr>
                <w:rFonts w:ascii="Arial" w:cs="Arial" w:eastAsia="Arial" w:hAnsi="Arial"/>
                <w:sz w:val="18"/>
                <w:szCs w:val="18"/>
                <w:color w:val="auto"/>
              </w:rPr>
              <w:t>Chief Executive Officer</w:t>
            </w:r>
          </w:p>
        </w:tc>
      </w:tr>
      <w:tr>
        <w:trPr>
          <w:trHeight w:val="904"/>
        </w:trPr>
        <w:tc>
          <w:tcPr>
            <w:tcW w:w="3520" w:type="dxa"/>
            <w:vAlign w:val="bottom"/>
          </w:tcPr>
          <w:p>
            <w:pPr>
              <w:spacing w:after="0"/>
              <w:rPr>
                <w:sz w:val="24"/>
                <w:szCs w:val="24"/>
                <w:color w:val="auto"/>
              </w:rPr>
            </w:pPr>
          </w:p>
        </w:tc>
        <w:tc>
          <w:tcPr>
            <w:tcW w:w="2620" w:type="dxa"/>
            <w:vAlign w:val="bottom"/>
            <w:gridSpan w:val="2"/>
          </w:tcPr>
          <w:p>
            <w:pPr>
              <w:jc w:val="right"/>
              <w:ind w:right="410"/>
              <w:spacing w:after="0"/>
              <w:rPr>
                <w:sz w:val="20"/>
                <w:szCs w:val="20"/>
                <w:color w:val="auto"/>
              </w:rPr>
            </w:pPr>
            <w:r>
              <w:rPr>
                <w:rFonts w:ascii="Arial" w:cs="Arial" w:eastAsia="Arial" w:hAnsi="Arial"/>
                <w:sz w:val="18"/>
                <w:szCs w:val="18"/>
                <w:color w:val="auto"/>
              </w:rPr>
              <w:t>3</w:t>
            </w:r>
          </w:p>
        </w:tc>
        <w:tc>
          <w:tcPr>
            <w:tcW w:w="5080" w:type="dxa"/>
            <w:vAlign w:val="bottom"/>
          </w:tcPr>
          <w:p>
            <w:pPr>
              <w:spacing w:after="0"/>
              <w:rPr>
                <w:sz w:val="24"/>
                <w:szCs w:val="24"/>
                <w:color w:val="auto"/>
              </w:rPr>
            </w:pPr>
          </w:p>
        </w:tc>
      </w:tr>
    </w:tbl>
    <w:p>
      <w:pPr>
        <w:sectPr>
          <w:pgSz w:w="11900" w:h="16838" w:orient="portrait"/>
          <w:cols w:equalWidth="0" w:num="1">
            <w:col w:w="11240"/>
          </w:cols>
          <w:pgMar w:left="320" w:top="1107"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highlight w:val="white"/>
        </w:rPr>
        <w:t>Exhibit 99.1</w:t>
      </w:r>
    </w:p>
    <w:p>
      <w:pPr>
        <w:spacing w:after="0" w:line="24" w:lineRule="exact"/>
        <w:rPr>
          <w:sz w:val="20"/>
          <w:szCs w:val="20"/>
          <w:color w:val="auto"/>
        </w:rPr>
      </w:pPr>
    </w:p>
    <w:p>
      <w:pPr>
        <w:spacing w:after="0"/>
        <w:rPr>
          <w:sz w:val="20"/>
          <w:szCs w:val="20"/>
          <w:color w:val="auto"/>
        </w:rPr>
      </w:pPr>
      <w:r>
        <w:rPr>
          <w:rFonts w:ascii="Arial" w:cs="Arial" w:eastAsia="Arial" w:hAnsi="Arial"/>
          <w:sz w:val="22"/>
          <w:szCs w:val="22"/>
          <w:b w:val="1"/>
          <w:bCs w:val="1"/>
          <w:color w:val="auto"/>
          <w:highlight w:val="white"/>
        </w:rPr>
        <w:t>SoundHound AI Reports Record Quarter With Significant Growth Across All Key Metrics</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Cumulative Bookings Backlog Up 3.4x and Reported Revenue Up 2.8x Year-Over-Year</w:t>
      </w:r>
    </w:p>
    <w:p>
      <w:pPr>
        <w:spacing w:after="0" w:line="228" w:lineRule="exact"/>
        <w:rPr>
          <w:sz w:val="20"/>
          <w:szCs w:val="20"/>
          <w:color w:val="auto"/>
        </w:rPr>
      </w:pPr>
    </w:p>
    <w:p>
      <w:pPr>
        <w:ind w:right="280"/>
        <w:spacing w:after="0" w:line="261" w:lineRule="auto"/>
        <w:rPr>
          <w:sz w:val="20"/>
          <w:szCs w:val="20"/>
          <w:color w:val="auto"/>
        </w:rPr>
      </w:pPr>
      <w:r>
        <w:rPr>
          <w:rFonts w:ascii="Arial" w:cs="Arial" w:eastAsia="Arial" w:hAnsi="Arial"/>
          <w:sz w:val="18"/>
          <w:szCs w:val="18"/>
          <w:color w:val="auto"/>
          <w:highlight w:val="white"/>
        </w:rPr>
        <w:t>SANTA CLARA, Calif.--(</w:t>
      </w:r>
      <w:r>
        <w:rPr>
          <w:rFonts w:ascii="Arial" w:cs="Arial" w:eastAsia="Arial" w:hAnsi="Arial"/>
          <w:sz w:val="18"/>
          <w:szCs w:val="18"/>
          <w:color w:val="auto"/>
        </w:rPr>
        <w:t>BUSINESS WIRE)</w:t>
      </w:r>
      <w:r>
        <w:rPr>
          <w:rFonts w:ascii="Arial" w:cs="Arial" w:eastAsia="Arial" w:hAnsi="Arial"/>
          <w:sz w:val="18"/>
          <w:szCs w:val="18"/>
          <w:color w:val="auto"/>
          <w:highlight w:val="white"/>
        </w:rPr>
        <w:t>--SoundHound AI, Inc. (Nasdaq: SOUN), a global leader in voice artificial intelligence, today reported its financial results for the three and nine months ended September 30, 2022.</w:t>
      </w:r>
    </w:p>
    <w:p>
      <w:pPr>
        <w:spacing w:after="0" w:line="211" w:lineRule="exact"/>
        <w:rPr>
          <w:sz w:val="20"/>
          <w:szCs w:val="20"/>
          <w:color w:val="auto"/>
        </w:rPr>
      </w:pPr>
    </w:p>
    <w:p>
      <w:pPr>
        <w:ind w:right="100"/>
        <w:spacing w:after="0" w:line="283" w:lineRule="auto"/>
        <w:rPr>
          <w:sz w:val="20"/>
          <w:szCs w:val="20"/>
          <w:color w:val="auto"/>
        </w:rPr>
      </w:pPr>
      <w:r>
        <w:rPr>
          <w:rFonts w:ascii="Arial" w:cs="Arial" w:eastAsia="Arial" w:hAnsi="Arial"/>
          <w:sz w:val="16"/>
          <w:szCs w:val="16"/>
          <w:i w:val="1"/>
          <w:iCs w:val="1"/>
          <w:color w:val="1D1C1D"/>
        </w:rPr>
        <w:t xml:space="preserve">“Adoption of our voice AI is accelerating fast, as evidenced by our record quarterly revenue. In addition to strong growth in royalty revenues across automotive and IoT customers, increasing numbers of businesses are now looking to use our AI to automate their customer service – particularly for restaurant phone and drive-thru ordering,” </w:t>
      </w:r>
      <w:r>
        <w:rPr>
          <w:rFonts w:ascii="Arial" w:cs="Arial" w:eastAsia="Arial" w:hAnsi="Arial"/>
          <w:sz w:val="16"/>
          <w:szCs w:val="16"/>
          <w:color w:val="1D1C1D"/>
        </w:rPr>
        <w:t>said Keyvan Mohajer, Co-Founder and CEO of SoundHound.</w:t>
      </w:r>
      <w:r>
        <w:rPr>
          <w:rFonts w:ascii="Arial" w:cs="Arial" w:eastAsia="Arial" w:hAnsi="Arial"/>
          <w:sz w:val="16"/>
          <w:szCs w:val="16"/>
          <w:i w:val="1"/>
          <w:iCs w:val="1"/>
          <w:color w:val="1D1C1D"/>
        </w:rPr>
        <w:t xml:space="preserve"> “Across industries voice AI is proving to be the next big interface and, as the only independent platform, SoundHound is well-positioned to establish itself as a leader in this market. On November 17, we will also unveil a new breakthrough technology that we believe will redefine conversational AI and mark a new chapter in human-computer interaction.”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highlight w:val="white"/>
        </w:rPr>
        <w:t>Third Quarter Business Highlights</w:t>
      </w:r>
    </w:p>
    <w:p>
      <w:pPr>
        <w:spacing w:after="0" w:line="27" w:lineRule="exact"/>
        <w:rPr>
          <w:sz w:val="20"/>
          <w:szCs w:val="20"/>
          <w:color w:val="auto"/>
        </w:rPr>
      </w:pPr>
    </w:p>
    <w:p>
      <w:pPr>
        <w:ind w:left="660" w:hanging="328"/>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1D2228"/>
        </w:rPr>
        <w:t>Record cumulative bookings backlog of $302 million, up 239% year-over-year, marking the fourth straight quarter of triple-digit growth</w:t>
      </w:r>
    </w:p>
    <w:p>
      <w:pPr>
        <w:spacing w:after="0" w:line="8" w:lineRule="exact"/>
        <w:rPr>
          <w:rFonts w:ascii="Arial" w:cs="Arial" w:eastAsia="Arial" w:hAnsi="Arial"/>
          <w:sz w:val="17"/>
          <w:szCs w:val="17"/>
          <w:color w:val="auto"/>
        </w:rPr>
      </w:pPr>
    </w:p>
    <w:p>
      <w:pPr>
        <w:ind w:left="660" w:hanging="328"/>
        <w:spacing w:after="0" w:line="234"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1D2228"/>
        </w:rPr>
        <w:t>Record reported revenues of $11.2 million, up 178% year-over-year, driven by strong product royalty revenue</w:t>
      </w:r>
    </w:p>
    <w:p>
      <w:pPr>
        <w:ind w:left="660" w:right="100" w:hanging="328"/>
        <w:spacing w:after="0" w:line="242" w:lineRule="auto"/>
        <w:tabs>
          <w:tab w:leader="none" w:pos="655" w:val="left"/>
        </w:tabs>
        <w:numPr>
          <w:ilvl w:val="0"/>
          <w:numId w:val="2"/>
        </w:numPr>
        <w:rPr>
          <w:rFonts w:ascii="Arial" w:cs="Arial" w:eastAsia="Arial" w:hAnsi="Arial"/>
          <w:sz w:val="18"/>
          <w:szCs w:val="18"/>
          <w:color w:val="auto"/>
        </w:rPr>
      </w:pPr>
      <w:r>
        <w:rPr>
          <w:rFonts w:ascii="Arial" w:cs="Arial" w:eastAsia="Arial" w:hAnsi="Arial"/>
          <w:sz w:val="18"/>
          <w:szCs w:val="18"/>
          <w:color w:val="1D2228"/>
        </w:rPr>
        <w:t>Record monthly queries of ~180 million, surpassing an annual run rate of 2 billion queries, more than doubling year to date compared to the prior year</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1D2228"/>
        </w:rPr>
        <w:t>Record gross margin of 77%, compared to 59% for the third quarter of 2021, benefiting from economies of scale and a favorable product mix</w:t>
      </w:r>
    </w:p>
    <w:p>
      <w:pPr>
        <w:spacing w:after="0" w:line="7" w:lineRule="exact"/>
        <w:rPr>
          <w:rFonts w:ascii="Arial" w:cs="Arial" w:eastAsia="Arial" w:hAnsi="Arial"/>
          <w:sz w:val="17"/>
          <w:szCs w:val="17"/>
          <w:color w:val="auto"/>
        </w:rPr>
      </w:pPr>
    </w:p>
    <w:p>
      <w:pPr>
        <w:ind w:left="660" w:hanging="328"/>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1D2228"/>
        </w:rPr>
        <w:t>Significant international market expansion of existing multi-year volume commitment with Hyundai, Kia and Genesis</w:t>
      </w:r>
    </w:p>
    <w:p>
      <w:pPr>
        <w:spacing w:after="0" w:line="7" w:lineRule="exact"/>
        <w:rPr>
          <w:rFonts w:ascii="Arial" w:cs="Arial" w:eastAsia="Arial" w:hAnsi="Arial"/>
          <w:sz w:val="18"/>
          <w:szCs w:val="18"/>
          <w:color w:val="auto"/>
        </w:rPr>
      </w:pPr>
    </w:p>
    <w:p>
      <w:pPr>
        <w:ind w:left="660" w:right="360" w:hanging="328"/>
        <w:spacing w:after="0" w:line="249" w:lineRule="auto"/>
        <w:tabs>
          <w:tab w:leader="none" w:pos="655" w:val="left"/>
        </w:tabs>
        <w:numPr>
          <w:ilvl w:val="0"/>
          <w:numId w:val="2"/>
        </w:numPr>
        <w:rPr>
          <w:rFonts w:ascii="Arial" w:cs="Arial" w:eastAsia="Arial" w:hAnsi="Arial"/>
          <w:sz w:val="17"/>
          <w:szCs w:val="17"/>
          <w:color w:val="auto"/>
        </w:rPr>
      </w:pPr>
      <w:r>
        <w:rPr>
          <w:rFonts w:ascii="Arial" w:cs="Arial" w:eastAsia="Arial" w:hAnsi="Arial"/>
          <w:sz w:val="17"/>
          <w:szCs w:val="17"/>
          <w:color w:val="1D2228"/>
        </w:rPr>
        <w:t xml:space="preserve">Building upon our existing 17 automotive brands we announced new and expanded relationships with Stellantis in Europe, Dongfeng Peugeot Citroën Automobiles in </w:t>
      </w:r>
      <w:r>
        <w:rPr>
          <w:rFonts w:ascii="Arial" w:cs="Arial" w:eastAsia="Arial" w:hAnsi="Arial"/>
          <w:sz w:val="17"/>
          <w:szCs w:val="17"/>
          <w:color w:val="000000"/>
        </w:rPr>
        <w:t>China,</w:t>
      </w:r>
      <w:r>
        <w:rPr>
          <w:rFonts w:ascii="Arial" w:cs="Arial" w:eastAsia="Arial" w:hAnsi="Arial"/>
          <w:sz w:val="17"/>
          <w:szCs w:val="17"/>
          <w:color w:val="1D2228"/>
        </w:rPr>
        <w:t xml:space="preserve"> and initiated integrations with LG and Harman automotive technology platforms</w:t>
      </w:r>
    </w:p>
    <w:p>
      <w:pPr>
        <w:spacing w:after="0" w:line="1" w:lineRule="exact"/>
        <w:rPr>
          <w:rFonts w:ascii="Arial" w:cs="Arial" w:eastAsia="Arial" w:hAnsi="Arial"/>
          <w:sz w:val="17"/>
          <w:szCs w:val="17"/>
          <w:color w:val="auto"/>
        </w:rPr>
      </w:pPr>
    </w:p>
    <w:p>
      <w:pPr>
        <w:ind w:left="660" w:right="360" w:hanging="328"/>
        <w:spacing w:after="0" w:line="242" w:lineRule="auto"/>
        <w:tabs>
          <w:tab w:leader="none" w:pos="655" w:val="left"/>
        </w:tabs>
        <w:numPr>
          <w:ilvl w:val="0"/>
          <w:numId w:val="2"/>
        </w:numPr>
        <w:rPr>
          <w:rFonts w:ascii="Arial" w:cs="Arial" w:eastAsia="Arial" w:hAnsi="Arial"/>
          <w:sz w:val="18"/>
          <w:szCs w:val="18"/>
          <w:color w:val="auto"/>
        </w:rPr>
      </w:pPr>
      <w:r>
        <w:rPr>
          <w:rFonts w:ascii="Arial" w:cs="Arial" w:eastAsia="Arial" w:hAnsi="Arial"/>
          <w:sz w:val="18"/>
          <w:szCs w:val="18"/>
          <w:color w:val="1D2228"/>
        </w:rPr>
        <w:t>Rapidly expanding channel relationships with SoundHound for Restaurants, including new integrations with Oracle and Toast, and continuing strong uptake with Mastercard and Square</w:t>
      </w:r>
    </w:p>
    <w:p>
      <w:pPr>
        <w:spacing w:after="0" w:line="1" w:lineRule="exact"/>
        <w:rPr>
          <w:rFonts w:ascii="Arial" w:cs="Arial" w:eastAsia="Arial" w:hAnsi="Arial"/>
          <w:sz w:val="18"/>
          <w:szCs w:val="18"/>
          <w:color w:val="auto"/>
        </w:rPr>
      </w:pPr>
    </w:p>
    <w:p>
      <w:pPr>
        <w:ind w:left="660" w:right="60" w:hanging="328"/>
        <w:spacing w:after="0" w:line="241" w:lineRule="auto"/>
        <w:tabs>
          <w:tab w:leader="none" w:pos="655" w:val="left"/>
        </w:tabs>
        <w:numPr>
          <w:ilvl w:val="0"/>
          <w:numId w:val="2"/>
        </w:numPr>
        <w:rPr>
          <w:rFonts w:ascii="Arial" w:cs="Arial" w:eastAsia="Arial" w:hAnsi="Arial"/>
          <w:sz w:val="18"/>
          <w:szCs w:val="18"/>
          <w:color w:val="auto"/>
        </w:rPr>
      </w:pPr>
      <w:r>
        <w:rPr>
          <w:rFonts w:ascii="Arial" w:cs="Arial" w:eastAsia="Arial" w:hAnsi="Arial"/>
          <w:sz w:val="18"/>
          <w:szCs w:val="18"/>
          <w:color w:val="1D2228"/>
        </w:rPr>
        <w:t>Fully automated SoundHound for Restaurants order completion rate is on track to surpass human levels as a result of our advanced AI technology, delivering substantial value to customers</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1D2228"/>
        </w:rPr>
        <w:t>Announced general availability of full suite of Edge and Cloud connectivity solutions and launched SoundHound Intelligent Transcription</w:t>
      </w:r>
    </w:p>
    <w:p>
      <w:pPr>
        <w:spacing w:after="0" w:line="236" w:lineRule="exact"/>
        <w:rPr>
          <w:sz w:val="20"/>
          <w:szCs w:val="20"/>
          <w:color w:val="auto"/>
        </w:rPr>
      </w:pPr>
    </w:p>
    <w:p>
      <w:pPr>
        <w:ind w:right="20"/>
        <w:spacing w:after="0" w:line="249" w:lineRule="auto"/>
        <w:rPr>
          <w:sz w:val="20"/>
          <w:szCs w:val="20"/>
          <w:color w:val="auto"/>
        </w:rPr>
      </w:pPr>
      <w:r>
        <w:rPr>
          <w:rFonts w:ascii="Arial" w:cs="Arial" w:eastAsia="Arial" w:hAnsi="Arial"/>
          <w:sz w:val="18"/>
          <w:szCs w:val="18"/>
          <w:i w:val="1"/>
          <w:iCs w:val="1"/>
          <w:color w:val="auto"/>
        </w:rPr>
        <w:t xml:space="preserve">“Our exceptional Q3 results demonstrate our business momentum. Not only have we reaffirmed our full year outlook, we also saw our cumulative bookings increase for the fourth straight quarter – to over $300 million – and our revenue eclipse that of the full year 2021 in the first nine months of this year,” </w:t>
      </w:r>
      <w:r>
        <w:rPr>
          <w:rFonts w:ascii="Arial" w:cs="Arial" w:eastAsia="Arial" w:hAnsi="Arial"/>
          <w:sz w:val="18"/>
          <w:szCs w:val="18"/>
          <w:color w:val="auto"/>
        </w:rPr>
        <w:t>said</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Nitesh Sharan, CFO of SoundHound. </w:t>
      </w:r>
      <w:r>
        <w:rPr>
          <w:rFonts w:ascii="Arial" w:cs="Arial" w:eastAsia="Arial" w:hAnsi="Arial"/>
          <w:sz w:val="18"/>
          <w:szCs w:val="18"/>
          <w:i w:val="1"/>
          <w:iCs w:val="1"/>
          <w:color w:val="auto"/>
        </w:rPr>
        <w:t>“We’re thoughtfully channeling investments to the areas that matter most, while accelerating our path to</w:t>
      </w:r>
      <w:r>
        <w:rPr>
          <w:rFonts w:ascii="Arial" w:cs="Arial" w:eastAsia="Arial" w:hAnsi="Arial"/>
          <w:sz w:val="18"/>
          <w:szCs w:val="18"/>
          <w:color w:val="auto"/>
        </w:rPr>
        <w:t xml:space="preserve"> </w:t>
      </w:r>
      <w:r>
        <w:rPr>
          <w:rFonts w:ascii="Arial" w:cs="Arial" w:eastAsia="Arial" w:hAnsi="Arial"/>
          <w:sz w:val="18"/>
          <w:szCs w:val="18"/>
          <w:i w:val="1"/>
          <w:iCs w:val="1"/>
          <w:color w:val="auto"/>
        </w:rPr>
        <w:t>profitability."</w:t>
      </w:r>
    </w:p>
    <w:p>
      <w:pPr>
        <w:sectPr>
          <w:pgSz w:w="11900" w:h="16838" w:orient="portrait"/>
          <w:cols w:equalWidth="0" w:num="1">
            <w:col w:w="11240"/>
          </w:cols>
          <w:pgMar w:left="320" w:top="1107"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07"/>
        </w:trPr>
        <w:tc>
          <w:tcPr>
            <w:tcW w:w="3160" w:type="dxa"/>
            <w:vAlign w:val="bottom"/>
            <w:shd w:val="clear" w:color="auto" w:fill="FEFEFE"/>
          </w:tcPr>
          <w:p>
            <w:pPr>
              <w:spacing w:after="0"/>
              <w:rPr>
                <w:sz w:val="20"/>
                <w:szCs w:val="20"/>
                <w:color w:val="auto"/>
              </w:rPr>
            </w:pPr>
            <w:r>
              <w:rPr>
                <w:rFonts w:ascii="Arial" w:cs="Arial" w:eastAsia="Arial" w:hAnsi="Arial"/>
                <w:sz w:val="18"/>
                <w:szCs w:val="18"/>
                <w:b w:val="1"/>
                <w:bCs w:val="1"/>
                <w:color w:val="auto"/>
                <w:highlight w:val="white"/>
                <w:w w:val="93"/>
              </w:rPr>
              <w:t>Third Quarter 2022 Financial Highlights</w:t>
            </w:r>
          </w:p>
        </w:tc>
        <w:tc>
          <w:tcPr>
            <w:tcW w:w="30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r>
      <w:tr>
        <w:trPr>
          <w:trHeight w:val="459"/>
        </w:trPr>
        <w:tc>
          <w:tcPr>
            <w:tcW w:w="3160" w:type="dxa"/>
            <w:vAlign w:val="bottom"/>
          </w:tcPr>
          <w:p>
            <w:pPr>
              <w:spacing w:after="0"/>
              <w:rPr>
                <w:sz w:val="24"/>
                <w:szCs w:val="24"/>
                <w:color w:val="auto"/>
              </w:rPr>
            </w:pPr>
          </w:p>
        </w:tc>
        <w:tc>
          <w:tcPr>
            <w:tcW w:w="308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gridSpan w:val="5"/>
          </w:tcPr>
          <w:p>
            <w:pPr>
              <w:ind w:left="80"/>
              <w:spacing w:after="0"/>
              <w:rPr>
                <w:sz w:val="20"/>
                <w:szCs w:val="20"/>
                <w:color w:val="auto"/>
              </w:rPr>
            </w:pPr>
            <w:r>
              <w:rPr>
                <w:rFonts w:ascii="Arial" w:cs="Arial" w:eastAsia="Arial" w:hAnsi="Arial"/>
                <w:sz w:val="18"/>
                <w:szCs w:val="18"/>
                <w:b w:val="1"/>
                <w:bCs w:val="1"/>
                <w:color w:val="auto"/>
                <w:w w:val="98"/>
              </w:rPr>
              <w:t>Three Months Ended</w:t>
            </w:r>
          </w:p>
        </w:tc>
        <w:tc>
          <w:tcPr>
            <w:tcW w:w="1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r>
      <w:tr>
        <w:trPr>
          <w:trHeight w:val="169"/>
        </w:trPr>
        <w:tc>
          <w:tcPr>
            <w:tcW w:w="3160" w:type="dxa"/>
            <w:vAlign w:val="bottom"/>
          </w:tcPr>
          <w:p>
            <w:pPr>
              <w:spacing w:after="0"/>
              <w:rPr>
                <w:sz w:val="14"/>
                <w:szCs w:val="14"/>
                <w:color w:val="auto"/>
              </w:rPr>
            </w:pPr>
          </w:p>
        </w:tc>
        <w:tc>
          <w:tcPr>
            <w:tcW w:w="30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320" w:type="dxa"/>
            <w:vAlign w:val="bottom"/>
          </w:tcPr>
          <w:p>
            <w:pPr>
              <w:jc w:val="right"/>
              <w:ind w:right="90"/>
              <w:spacing w:after="0" w:line="169" w:lineRule="exact"/>
              <w:rPr>
                <w:sz w:val="20"/>
                <w:szCs w:val="20"/>
                <w:color w:val="auto"/>
              </w:rPr>
            </w:pPr>
            <w:r>
              <w:rPr>
                <w:rFonts w:ascii="Arial" w:cs="Arial" w:eastAsia="Arial" w:hAnsi="Arial"/>
                <w:sz w:val="18"/>
                <w:szCs w:val="18"/>
                <w:b w:val="1"/>
                <w:bCs w:val="1"/>
                <w:color w:val="auto"/>
                <w:w w:val="90"/>
              </w:rPr>
              <w:t>September 30,</w:t>
            </w: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20" w:type="dxa"/>
            <w:vAlign w:val="bottom"/>
            <w:gridSpan w:val="2"/>
          </w:tcPr>
          <w:p>
            <w:pPr>
              <w:ind w:left="40"/>
              <w:spacing w:after="0" w:line="169" w:lineRule="exact"/>
              <w:rPr>
                <w:sz w:val="20"/>
                <w:szCs w:val="20"/>
                <w:color w:val="auto"/>
              </w:rPr>
            </w:pPr>
            <w:r>
              <w:rPr>
                <w:rFonts w:ascii="Arial" w:cs="Arial" w:eastAsia="Arial" w:hAnsi="Arial"/>
                <w:sz w:val="18"/>
                <w:szCs w:val="18"/>
                <w:b w:val="1"/>
                <w:bCs w:val="1"/>
                <w:color w:val="auto"/>
              </w:rPr>
              <w:t>September 30,</w:t>
            </w:r>
          </w:p>
        </w:tc>
        <w:tc>
          <w:tcPr>
            <w:tcW w:w="20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r>
      <w:tr>
        <w:trPr>
          <w:trHeight w:val="243"/>
        </w:trPr>
        <w:tc>
          <w:tcPr>
            <w:tcW w:w="316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(thousands, except per share data)</w:t>
            </w:r>
          </w:p>
        </w:tc>
        <w:tc>
          <w:tcPr>
            <w:tcW w:w="308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1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32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rPr>
              <w:t>Change in %</w:t>
            </w:r>
          </w:p>
        </w:tc>
        <w:tc>
          <w:tcPr>
            <w:tcW w:w="220" w:type="dxa"/>
            <w:vAlign w:val="bottom"/>
            <w:tcBorders>
              <w:bottom w:val="single" w:sz="8" w:color="auto"/>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r>
      <w:tr>
        <w:trPr>
          <w:trHeight w:val="223"/>
        </w:trPr>
        <w:tc>
          <w:tcPr>
            <w:tcW w:w="3160" w:type="dxa"/>
            <w:vAlign w:val="bottom"/>
            <w:shd w:val="clear" w:color="auto" w:fill="CCEEFF"/>
          </w:tcPr>
          <w:p>
            <w:pPr>
              <w:ind w:left="20"/>
              <w:spacing w:after="0" w:line="223" w:lineRule="exact"/>
              <w:rPr>
                <w:sz w:val="20"/>
                <w:szCs w:val="20"/>
                <w:color w:val="auto"/>
              </w:rPr>
            </w:pPr>
            <w:r>
              <w:rPr>
                <w:rFonts w:ascii="Arial" w:cs="Arial" w:eastAsia="Arial" w:hAnsi="Arial"/>
                <w:sz w:val="18"/>
                <w:szCs w:val="18"/>
                <w:b w:val="1"/>
                <w:bCs w:val="1"/>
                <w:color w:val="auto"/>
              </w:rPr>
              <w:t>Cumulative bookings backlog</w:t>
            </w:r>
            <w:r>
              <w:rPr>
                <w:rFonts w:ascii="Arial" w:cs="Arial" w:eastAsia="Arial" w:hAnsi="Arial"/>
                <w:sz w:val="23"/>
                <w:szCs w:val="23"/>
                <w:b w:val="1"/>
                <w:bCs w:val="1"/>
                <w:color w:val="auto"/>
                <w:vertAlign w:val="superscript"/>
              </w:rPr>
              <w:t>1</w:t>
            </w:r>
          </w:p>
        </w:tc>
        <w:tc>
          <w:tcPr>
            <w:tcW w:w="30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302,187</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89,118</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239 %</w:t>
            </w:r>
          </w:p>
        </w:tc>
        <w:tc>
          <w:tcPr>
            <w:tcW w:w="220" w:type="dxa"/>
            <w:vAlign w:val="bottom"/>
            <w:shd w:val="clear" w:color="auto" w:fill="CCEEFF"/>
          </w:tcPr>
          <w:p>
            <w:pPr>
              <w:spacing w:after="0"/>
              <w:rPr>
                <w:sz w:val="19"/>
                <w:szCs w:val="19"/>
                <w:color w:val="auto"/>
              </w:rPr>
            </w:pPr>
          </w:p>
        </w:tc>
      </w:tr>
      <w:tr>
        <w:trPr>
          <w:trHeight w:val="142"/>
        </w:trPr>
        <w:tc>
          <w:tcPr>
            <w:tcW w:w="3160" w:type="dxa"/>
            <w:vAlign w:val="bottom"/>
          </w:tcPr>
          <w:p>
            <w:pPr>
              <w:spacing w:after="0"/>
              <w:rPr>
                <w:sz w:val="12"/>
                <w:szCs w:val="12"/>
                <w:color w:val="auto"/>
              </w:rPr>
            </w:pPr>
          </w:p>
        </w:tc>
        <w:tc>
          <w:tcPr>
            <w:tcW w:w="3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r>
      <w:tr>
        <w:trPr>
          <w:trHeight w:val="243"/>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Revenues</w:t>
            </w:r>
          </w:p>
        </w:tc>
        <w:tc>
          <w:tcPr>
            <w:tcW w:w="32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11,186</w:t>
            </w:r>
          </w:p>
        </w:tc>
        <w:tc>
          <w:tcPr>
            <w:tcW w:w="240" w:type="dxa"/>
            <w:vAlign w:val="bottom"/>
            <w:gridSpan w:val="2"/>
            <w:shd w:val="clear" w:color="auto" w:fill="CCEEFF"/>
          </w:tcPr>
          <w:p>
            <w:pPr>
              <w:ind w:left="100"/>
              <w:spacing w:after="0"/>
              <w:rPr>
                <w:sz w:val="20"/>
                <w:szCs w:val="20"/>
                <w:color w:val="auto"/>
              </w:rPr>
            </w:pPr>
            <w:r>
              <w:rPr>
                <w:rFonts w:ascii="Arial" w:cs="Arial" w:eastAsia="Arial" w:hAnsi="Arial"/>
                <w:sz w:val="18"/>
                <w:szCs w:val="18"/>
                <w:b w:val="1"/>
                <w:bCs w:val="1"/>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4,028</w:t>
            </w:r>
          </w:p>
        </w:tc>
        <w:tc>
          <w:tcPr>
            <w:tcW w:w="1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4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178 %</w:t>
            </w:r>
          </w:p>
        </w:tc>
        <w:tc>
          <w:tcPr>
            <w:tcW w:w="220" w:type="dxa"/>
            <w:vAlign w:val="bottom"/>
            <w:shd w:val="clear" w:color="auto" w:fill="CCEEFF"/>
          </w:tcPr>
          <w:p>
            <w:pPr>
              <w:spacing w:after="0"/>
              <w:rPr>
                <w:sz w:val="21"/>
                <w:szCs w:val="21"/>
                <w:color w:val="auto"/>
              </w:rPr>
            </w:pPr>
          </w:p>
        </w:tc>
      </w:tr>
      <w:tr>
        <w:trPr>
          <w:trHeight w:val="229"/>
        </w:trPr>
        <w:tc>
          <w:tcPr>
            <w:tcW w:w="3160" w:type="dxa"/>
            <w:vAlign w:val="bottom"/>
          </w:tcPr>
          <w:p>
            <w:pPr>
              <w:ind w:left="20"/>
              <w:spacing w:after="0"/>
              <w:rPr>
                <w:sz w:val="20"/>
                <w:szCs w:val="20"/>
                <w:color w:val="auto"/>
              </w:rPr>
            </w:pPr>
            <w:r>
              <w:rPr>
                <w:rFonts w:ascii="Arial" w:cs="Arial" w:eastAsia="Arial" w:hAnsi="Arial"/>
                <w:sz w:val="18"/>
                <w:szCs w:val="18"/>
                <w:color w:val="auto"/>
              </w:rPr>
              <w:t>Operating expenses:</w:t>
            </w:r>
          </w:p>
        </w:tc>
        <w:tc>
          <w:tcPr>
            <w:tcW w:w="30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r>
      <w:tr>
        <w:trPr>
          <w:trHeight w:val="229"/>
        </w:trPr>
        <w:tc>
          <w:tcPr>
            <w:tcW w:w="3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Cost of revenues</w:t>
            </w:r>
          </w:p>
        </w:tc>
        <w:tc>
          <w:tcPr>
            <w:tcW w:w="3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2,583</w:t>
            </w:r>
          </w:p>
        </w:tc>
        <w:tc>
          <w:tcPr>
            <w:tcW w:w="24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r>
      <w:tr>
        <w:trPr>
          <w:trHeight w:val="230"/>
        </w:trPr>
        <w:tc>
          <w:tcPr>
            <w:tcW w:w="3160" w:type="dxa"/>
            <w:vAlign w:val="bottom"/>
          </w:tcPr>
          <w:p>
            <w:pPr>
              <w:ind w:left="180"/>
              <w:spacing w:after="0"/>
              <w:rPr>
                <w:sz w:val="20"/>
                <w:szCs w:val="20"/>
                <w:color w:val="auto"/>
              </w:rPr>
            </w:pPr>
            <w:r>
              <w:rPr>
                <w:rFonts w:ascii="Arial" w:cs="Arial" w:eastAsia="Arial" w:hAnsi="Arial"/>
                <w:sz w:val="18"/>
                <w:szCs w:val="18"/>
                <w:color w:val="auto"/>
              </w:rPr>
              <w:t>Sales and marketing</w:t>
            </w:r>
          </w:p>
        </w:tc>
        <w:tc>
          <w:tcPr>
            <w:tcW w:w="30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6,672</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1,175</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468</w:t>
            </w:r>
          </w:p>
        </w:tc>
        <w:tc>
          <w:tcPr>
            <w:tcW w:w="22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r>
      <w:tr>
        <w:trPr>
          <w:trHeight w:val="229"/>
        </w:trPr>
        <w:tc>
          <w:tcPr>
            <w:tcW w:w="31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Research and development</w:t>
            </w:r>
          </w:p>
        </w:tc>
        <w:tc>
          <w:tcPr>
            <w:tcW w:w="30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19,352</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14,344</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r>
      <w:tr>
        <w:trPr>
          <w:trHeight w:val="229"/>
        </w:trPr>
        <w:tc>
          <w:tcPr>
            <w:tcW w:w="316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General and administrative</w:t>
            </w:r>
          </w:p>
        </w:tc>
        <w:tc>
          <w:tcPr>
            <w:tcW w:w="30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9,587</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4,022</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138</w:t>
            </w:r>
          </w:p>
        </w:tc>
        <w:tc>
          <w:tcPr>
            <w:tcW w:w="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9"/>
                <w:szCs w:val="19"/>
                <w:color w:val="auto"/>
              </w:rPr>
            </w:pPr>
          </w:p>
        </w:tc>
      </w:tr>
      <w:tr>
        <w:trPr>
          <w:trHeight w:val="223"/>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Total operating expenses</w:t>
            </w:r>
          </w:p>
        </w:tc>
        <w:tc>
          <w:tcPr>
            <w:tcW w:w="30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38,194</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21,198</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80 %</w:t>
            </w:r>
          </w:p>
        </w:tc>
        <w:tc>
          <w:tcPr>
            <w:tcW w:w="220" w:type="dxa"/>
            <w:vAlign w:val="bottom"/>
            <w:shd w:val="clear" w:color="auto" w:fill="CCEEFF"/>
          </w:tcPr>
          <w:p>
            <w:pPr>
              <w:spacing w:after="0"/>
              <w:rPr>
                <w:sz w:val="19"/>
                <w:szCs w:val="19"/>
                <w:color w:val="auto"/>
              </w:rPr>
            </w:pPr>
          </w:p>
        </w:tc>
      </w:tr>
      <w:tr>
        <w:trPr>
          <w:trHeight w:val="223"/>
        </w:trPr>
        <w:tc>
          <w:tcPr>
            <w:tcW w:w="31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Operating loss</w:t>
            </w:r>
          </w:p>
        </w:tc>
        <w:tc>
          <w:tcPr>
            <w:tcW w:w="30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(27,008)</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(17,170)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57 %</w:t>
            </w:r>
          </w:p>
        </w:tc>
        <w:tc>
          <w:tcPr>
            <w:tcW w:w="220" w:type="dxa"/>
            <w:vAlign w:val="bottom"/>
            <w:tcBorders>
              <w:bottom w:val="single" w:sz="8" w:color="CCEEFF"/>
            </w:tcBorders>
          </w:tcPr>
          <w:p>
            <w:pPr>
              <w:spacing w:after="0"/>
              <w:rPr>
                <w:sz w:val="19"/>
                <w:szCs w:val="19"/>
                <w:color w:val="auto"/>
              </w:rPr>
            </w:pPr>
          </w:p>
        </w:tc>
      </w:tr>
      <w:tr>
        <w:trPr>
          <w:trHeight w:val="223"/>
        </w:trPr>
        <w:tc>
          <w:tcPr>
            <w:tcW w:w="316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Net loss</w:t>
            </w:r>
          </w:p>
        </w:tc>
        <w:tc>
          <w:tcPr>
            <w:tcW w:w="308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(28,922)</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(23,781)</w:t>
            </w:r>
          </w:p>
        </w:tc>
        <w:tc>
          <w:tcPr>
            <w:tcW w:w="100" w:type="dxa"/>
            <w:vAlign w:val="bottom"/>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22 %</w:t>
            </w:r>
          </w:p>
        </w:tc>
        <w:tc>
          <w:tcPr>
            <w:tcW w:w="220" w:type="dxa"/>
            <w:vAlign w:val="bottom"/>
            <w:shd w:val="clear" w:color="auto" w:fill="CCEEFF"/>
          </w:tcPr>
          <w:p>
            <w:pPr>
              <w:spacing w:after="0"/>
              <w:rPr>
                <w:sz w:val="19"/>
                <w:szCs w:val="19"/>
                <w:color w:val="auto"/>
              </w:rPr>
            </w:pPr>
          </w:p>
        </w:tc>
      </w:tr>
      <w:tr>
        <w:trPr>
          <w:trHeight w:val="223"/>
        </w:trPr>
        <w:tc>
          <w:tcPr>
            <w:tcW w:w="3160" w:type="dxa"/>
            <w:vAlign w:val="bottom"/>
            <w:tcBorders>
              <w:bottom w:val="single" w:sz="8" w:color="CCEEFF"/>
            </w:tcBorders>
          </w:tcPr>
          <w:p>
            <w:pPr>
              <w:ind w:left="20"/>
              <w:spacing w:after="0"/>
              <w:rPr>
                <w:sz w:val="20"/>
                <w:szCs w:val="20"/>
                <w:color w:val="auto"/>
              </w:rPr>
            </w:pPr>
            <w:r>
              <w:rPr>
                <w:rFonts w:ascii="Arial" w:cs="Arial" w:eastAsia="Arial" w:hAnsi="Arial"/>
                <w:sz w:val="18"/>
                <w:szCs w:val="18"/>
                <w:b w:val="1"/>
                <w:bCs w:val="1"/>
                <w:color w:val="auto"/>
              </w:rPr>
              <w:t>Net loss per share</w:t>
            </w:r>
          </w:p>
        </w:tc>
        <w:tc>
          <w:tcPr>
            <w:tcW w:w="308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(0.15)</w:t>
            </w:r>
          </w:p>
        </w:tc>
        <w:tc>
          <w:tcPr>
            <w:tcW w:w="100" w:type="dxa"/>
            <w:vAlign w:val="bottom"/>
            <w:tcBorders>
              <w:bottom w:val="single" w:sz="8" w:color="CCEEFF"/>
            </w:tcBorders>
          </w:tcPr>
          <w:p>
            <w:pPr>
              <w:spacing w:after="0"/>
              <w:rPr>
                <w:sz w:val="19"/>
                <w:szCs w:val="19"/>
                <w:color w:val="auto"/>
              </w:rPr>
            </w:pPr>
          </w:p>
        </w:tc>
        <w:tc>
          <w:tcPr>
            <w:tcW w:w="1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(0.35)</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0.20</w:t>
            </w:r>
          </w:p>
        </w:tc>
        <w:tc>
          <w:tcPr>
            <w:tcW w:w="220" w:type="dxa"/>
            <w:vAlign w:val="bottom"/>
            <w:tcBorders>
              <w:bottom w:val="single" w:sz="8" w:color="auto"/>
            </w:tcBorders>
          </w:tcPr>
          <w:p>
            <w:pPr>
              <w:spacing w:after="0"/>
              <w:rPr>
                <w:sz w:val="19"/>
                <w:szCs w:val="19"/>
                <w:color w:val="auto"/>
              </w:rPr>
            </w:pPr>
          </w:p>
        </w:tc>
        <w:tc>
          <w:tcPr>
            <w:tcW w:w="220" w:type="dxa"/>
            <w:vAlign w:val="bottom"/>
            <w:tcBorders>
              <w:bottom w:val="single" w:sz="8" w:color="CCEEFF"/>
            </w:tcBorders>
          </w:tcPr>
          <w:p>
            <w:pPr>
              <w:spacing w:after="0"/>
              <w:rPr>
                <w:sz w:val="19"/>
                <w:szCs w:val="19"/>
                <w:color w:val="auto"/>
              </w:rPr>
            </w:pPr>
          </w:p>
        </w:tc>
      </w:tr>
      <w:tr>
        <w:trPr>
          <w:trHeight w:val="142"/>
        </w:trPr>
        <w:tc>
          <w:tcPr>
            <w:tcW w:w="3160" w:type="dxa"/>
            <w:vAlign w:val="bottom"/>
            <w:shd w:val="clear" w:color="auto" w:fill="CCEEFF"/>
          </w:tcPr>
          <w:p>
            <w:pPr>
              <w:spacing w:after="0"/>
              <w:rPr>
                <w:sz w:val="12"/>
                <w:szCs w:val="12"/>
                <w:color w:val="auto"/>
              </w:rPr>
            </w:pPr>
          </w:p>
        </w:tc>
        <w:tc>
          <w:tcPr>
            <w:tcW w:w="30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13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200" w:type="dxa"/>
            <w:vAlign w:val="bottom"/>
            <w:shd w:val="clear" w:color="auto" w:fill="CCEEFF"/>
          </w:tcPr>
          <w:p>
            <w:pPr>
              <w:spacing w:after="0"/>
              <w:rPr>
                <w:sz w:val="12"/>
                <w:szCs w:val="12"/>
                <w:color w:val="auto"/>
              </w:rPr>
            </w:pPr>
          </w:p>
        </w:tc>
        <w:tc>
          <w:tcPr>
            <w:tcW w:w="1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r>
      <w:tr>
        <w:trPr>
          <w:trHeight w:val="230"/>
        </w:trPr>
        <w:tc>
          <w:tcPr>
            <w:tcW w:w="3160" w:type="dxa"/>
            <w:vAlign w:val="bottom"/>
          </w:tcPr>
          <w:p>
            <w:pPr>
              <w:ind w:left="20"/>
              <w:spacing w:after="0" w:line="230" w:lineRule="exact"/>
              <w:rPr>
                <w:sz w:val="20"/>
                <w:szCs w:val="20"/>
                <w:color w:val="auto"/>
              </w:rPr>
            </w:pPr>
            <w:r>
              <w:rPr>
                <w:rFonts w:ascii="Arial" w:cs="Arial" w:eastAsia="Arial" w:hAnsi="Arial"/>
                <w:sz w:val="18"/>
                <w:szCs w:val="18"/>
                <w:b w:val="1"/>
                <w:bCs w:val="1"/>
                <w:color w:val="auto"/>
              </w:rPr>
              <w:t>Adjusted EBITDA</w:t>
            </w:r>
            <w:r>
              <w:rPr>
                <w:rFonts w:ascii="Arial" w:cs="Arial" w:eastAsia="Arial" w:hAnsi="Arial"/>
                <w:sz w:val="23"/>
                <w:szCs w:val="23"/>
                <w:b w:val="1"/>
                <w:bCs w:val="1"/>
                <w:color w:val="auto"/>
                <w:vertAlign w:val="superscript"/>
              </w:rPr>
              <w:t>2</w:t>
            </w:r>
          </w:p>
        </w:tc>
        <w:tc>
          <w:tcPr>
            <w:tcW w:w="308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(16,907)</w:t>
            </w:r>
          </w:p>
        </w:tc>
        <w:tc>
          <w:tcPr>
            <w:tcW w:w="100" w:type="dxa"/>
            <w:vAlign w:val="bottom"/>
          </w:tcPr>
          <w:p>
            <w:pPr>
              <w:spacing w:after="0"/>
              <w:rPr>
                <w:sz w:val="19"/>
                <w:szCs w:val="19"/>
                <w:color w:val="auto"/>
              </w:rPr>
            </w:pPr>
          </w:p>
        </w:tc>
        <w:tc>
          <w:tcPr>
            <w:tcW w:w="14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(14,522)</w:t>
            </w:r>
          </w:p>
        </w:tc>
        <w:tc>
          <w:tcPr>
            <w:tcW w:w="10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b w:val="1"/>
                <w:bCs w:val="1"/>
                <w:color w:val="auto"/>
              </w:rPr>
              <w:t>16 %</w:t>
            </w:r>
          </w:p>
        </w:tc>
        <w:tc>
          <w:tcPr>
            <w:tcW w:w="220" w:type="dxa"/>
            <w:vAlign w:val="bottom"/>
          </w:tcPr>
          <w:p>
            <w:pPr>
              <w:spacing w:after="0"/>
              <w:rPr>
                <w:sz w:val="19"/>
                <w:szCs w:val="19"/>
                <w:color w:val="auto"/>
              </w:rPr>
            </w:pPr>
          </w:p>
        </w:tc>
      </w:tr>
    </w:tbl>
    <w:p>
      <w:pPr>
        <w:spacing w:after="0" w:line="62" w:lineRule="exact"/>
        <w:rPr>
          <w:sz w:val="20"/>
          <w:szCs w:val="20"/>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Cumulative bookings backlog is prior quarter end balance plus new bookings in the current quarter minus associated revenue recognized.</w:t>
      </w:r>
    </w:p>
    <w:p>
      <w:pPr>
        <w:spacing w:after="0" w:line="21" w:lineRule="exact"/>
        <w:rPr>
          <w:rFonts w:ascii="Arial" w:cs="Arial" w:eastAsia="Arial" w:hAnsi="Arial"/>
          <w:sz w:val="14"/>
          <w:szCs w:val="14"/>
          <w:color w:val="auto"/>
        </w:rPr>
      </w:pPr>
    </w:p>
    <w:p>
      <w:pPr>
        <w:ind w:left="340" w:hanging="332"/>
        <w:spacing w:after="0"/>
        <w:tabs>
          <w:tab w:leader="none" w:pos="340" w:val="left"/>
        </w:tabs>
        <w:numPr>
          <w:ilvl w:val="0"/>
          <w:numId w:val="3"/>
        </w:numPr>
        <w:rPr>
          <w:rFonts w:ascii="Arial" w:cs="Arial" w:eastAsia="Arial" w:hAnsi="Arial"/>
          <w:sz w:val="14"/>
          <w:szCs w:val="14"/>
          <w:color w:val="auto"/>
        </w:rPr>
      </w:pPr>
      <w:r>
        <w:rPr>
          <w:rFonts w:ascii="Arial" w:cs="Arial" w:eastAsia="Arial" w:hAnsi="Arial"/>
          <w:sz w:val="14"/>
          <w:szCs w:val="14"/>
          <w:color w:val="auto"/>
        </w:rPr>
        <w:t>Please see table below for a reconciliation from GAAP to non-GAAP.</w:t>
      </w:r>
    </w:p>
    <w:p>
      <w:pPr>
        <w:spacing w:after="0" w:line="200" w:lineRule="exact"/>
        <w:rPr>
          <w:sz w:val="20"/>
          <w:szCs w:val="20"/>
          <w:color w:val="auto"/>
        </w:rPr>
      </w:pPr>
    </w:p>
    <w:p>
      <w:pPr>
        <w:spacing w:after="0" w:line="24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900" w:type="dxa"/>
            <w:vAlign w:val="bottom"/>
            <w:shd w:val="clear" w:color="auto" w:fill="FEFEFE"/>
          </w:tcPr>
          <w:p>
            <w:pPr>
              <w:spacing w:after="0"/>
              <w:rPr>
                <w:sz w:val="20"/>
                <w:szCs w:val="20"/>
                <w:color w:val="auto"/>
              </w:rPr>
            </w:pPr>
            <w:r>
              <w:rPr>
                <w:rFonts w:ascii="Arial" w:cs="Arial" w:eastAsia="Arial" w:hAnsi="Arial"/>
                <w:sz w:val="18"/>
                <w:szCs w:val="18"/>
                <w:b w:val="1"/>
                <w:bCs w:val="1"/>
                <w:color w:val="auto"/>
                <w:highlight w:val="white"/>
                <w:w w:val="89"/>
              </w:rPr>
              <w:t>Summary of Cash Flows</w:t>
            </w:r>
          </w:p>
        </w:tc>
        <w:tc>
          <w:tcPr>
            <w:tcW w:w="6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spacing w:after="0"/>
              <w:rPr>
                <w:sz w:val="17"/>
                <w:szCs w:val="17"/>
                <w:color w:val="auto"/>
              </w:rPr>
            </w:pPr>
          </w:p>
        </w:tc>
      </w:tr>
      <w:tr>
        <w:trPr>
          <w:trHeight w:val="446"/>
        </w:trPr>
        <w:tc>
          <w:tcPr>
            <w:tcW w:w="1900" w:type="dxa"/>
            <w:vAlign w:val="bottom"/>
          </w:tcPr>
          <w:p>
            <w:pPr>
              <w:spacing w:after="0"/>
              <w:rPr>
                <w:sz w:val="24"/>
                <w:szCs w:val="24"/>
                <w:color w:val="auto"/>
              </w:rPr>
            </w:pPr>
          </w:p>
        </w:tc>
        <w:tc>
          <w:tcPr>
            <w:tcW w:w="628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920" w:type="dxa"/>
            <w:vAlign w:val="bottom"/>
            <w:tcBorders>
              <w:bottom w:val="single" w:sz="8" w:color="auto"/>
            </w:tcBorders>
            <w:gridSpan w:val="4"/>
          </w:tcPr>
          <w:p>
            <w:pPr>
              <w:jc w:val="right"/>
              <w:ind w:right="670"/>
              <w:spacing w:after="0"/>
              <w:rPr>
                <w:sz w:val="20"/>
                <w:szCs w:val="20"/>
                <w:color w:val="auto"/>
              </w:rPr>
            </w:pPr>
            <w:r>
              <w:rPr>
                <w:rFonts w:ascii="Arial" w:cs="Arial" w:eastAsia="Arial" w:hAnsi="Arial"/>
                <w:sz w:val="18"/>
                <w:szCs w:val="18"/>
                <w:b w:val="1"/>
                <w:bCs w:val="1"/>
                <w:color w:val="auto"/>
              </w:rPr>
              <w:t>Nine Months Ended</w:t>
            </w:r>
          </w:p>
        </w:tc>
      </w:tr>
      <w:tr>
        <w:trPr>
          <w:trHeight w:val="169"/>
        </w:trPr>
        <w:tc>
          <w:tcPr>
            <w:tcW w:w="1900" w:type="dxa"/>
            <w:vAlign w:val="bottom"/>
          </w:tcPr>
          <w:p>
            <w:pPr>
              <w:spacing w:after="0"/>
              <w:rPr>
                <w:sz w:val="14"/>
                <w:szCs w:val="14"/>
                <w:color w:val="auto"/>
              </w:rPr>
            </w:pPr>
          </w:p>
        </w:tc>
        <w:tc>
          <w:tcPr>
            <w:tcW w:w="6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gridSpan w:val="2"/>
          </w:tcPr>
          <w:p>
            <w:pPr>
              <w:ind w:left="40"/>
              <w:spacing w:after="0" w:line="169" w:lineRule="exact"/>
              <w:rPr>
                <w:sz w:val="20"/>
                <w:szCs w:val="20"/>
                <w:color w:val="auto"/>
              </w:rPr>
            </w:pPr>
            <w:r>
              <w:rPr>
                <w:rFonts w:ascii="Arial" w:cs="Arial" w:eastAsia="Arial" w:hAnsi="Arial"/>
                <w:sz w:val="18"/>
                <w:szCs w:val="18"/>
                <w:b w:val="1"/>
                <w:bCs w:val="1"/>
                <w:color w:val="auto"/>
              </w:rPr>
              <w:t>September 30,</w:t>
            </w:r>
          </w:p>
        </w:tc>
        <w:tc>
          <w:tcPr>
            <w:tcW w:w="140" w:type="dxa"/>
            <w:vAlign w:val="bottom"/>
          </w:tcPr>
          <w:p>
            <w:pPr>
              <w:spacing w:after="0"/>
              <w:rPr>
                <w:sz w:val="14"/>
                <w:szCs w:val="14"/>
                <w:color w:val="auto"/>
              </w:rPr>
            </w:pPr>
          </w:p>
        </w:tc>
        <w:tc>
          <w:tcPr>
            <w:tcW w:w="1340" w:type="dxa"/>
            <w:vAlign w:val="bottom"/>
          </w:tcPr>
          <w:p>
            <w:pPr>
              <w:jc w:val="right"/>
              <w:ind w:right="110"/>
              <w:spacing w:after="0" w:line="169" w:lineRule="exact"/>
              <w:rPr>
                <w:sz w:val="20"/>
                <w:szCs w:val="20"/>
                <w:color w:val="auto"/>
              </w:rPr>
            </w:pPr>
            <w:r>
              <w:rPr>
                <w:rFonts w:ascii="Arial" w:cs="Arial" w:eastAsia="Arial" w:hAnsi="Arial"/>
                <w:sz w:val="18"/>
                <w:szCs w:val="18"/>
                <w:b w:val="1"/>
                <w:bCs w:val="1"/>
                <w:color w:val="auto"/>
                <w:w w:val="90"/>
              </w:rPr>
              <w:t>September 30,</w:t>
            </w:r>
          </w:p>
        </w:tc>
      </w:tr>
      <w:tr>
        <w:trPr>
          <w:trHeight w:val="243"/>
        </w:trPr>
        <w:tc>
          <w:tcPr>
            <w:tcW w:w="8180" w:type="dxa"/>
            <w:vAlign w:val="bottom"/>
            <w:gridSpan w:val="2"/>
          </w:tcPr>
          <w:p>
            <w:pPr>
              <w:ind w:left="20"/>
              <w:spacing w:after="0"/>
              <w:rPr>
                <w:sz w:val="20"/>
                <w:szCs w:val="20"/>
                <w:color w:val="auto"/>
              </w:rPr>
            </w:pPr>
            <w:r>
              <w:rPr>
                <w:rFonts w:ascii="Arial" w:cs="Arial" w:eastAsia="Arial" w:hAnsi="Arial"/>
                <w:sz w:val="18"/>
                <w:szCs w:val="18"/>
                <w:color w:val="auto"/>
              </w:rPr>
              <w:t>(thousands)</w:t>
            </w:r>
          </w:p>
        </w:tc>
        <w:tc>
          <w:tcPr>
            <w:tcW w:w="14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r>
      <w:tr>
        <w:trPr>
          <w:trHeight w:val="210"/>
        </w:trPr>
        <w:tc>
          <w:tcPr>
            <w:tcW w:w="8180" w:type="dxa"/>
            <w:vAlign w:val="bottom"/>
            <w:gridSpan w:val="2"/>
          </w:tcPr>
          <w:p>
            <w:pPr>
              <w:ind w:left="20"/>
              <w:spacing w:after="0"/>
              <w:rPr>
                <w:sz w:val="20"/>
                <w:szCs w:val="20"/>
                <w:color w:val="auto"/>
              </w:rPr>
            </w:pPr>
            <w:r>
              <w:rPr>
                <w:rFonts w:ascii="Arial" w:cs="Arial" w:eastAsia="Arial" w:hAnsi="Arial"/>
                <w:sz w:val="18"/>
                <w:szCs w:val="18"/>
                <w:color w:val="auto"/>
              </w:rPr>
              <w:t>Cash flows:</w:t>
            </w: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30"/>
        </w:trPr>
        <w:tc>
          <w:tcPr>
            <w:tcW w:w="81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Net cash used in operating activities</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(73,605)</w:t>
            </w:r>
          </w:p>
        </w:tc>
        <w:tc>
          <w:tcPr>
            <w:tcW w:w="100" w:type="dxa"/>
            <w:vAlign w:val="bottom"/>
            <w:shd w:val="clear" w:color="auto" w:fill="CCEEFF"/>
          </w:tcPr>
          <w:p>
            <w:pPr>
              <w:spacing w:after="0"/>
              <w:rPr>
                <w:sz w:val="19"/>
                <w:szCs w:val="19"/>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(51,097)</w:t>
            </w:r>
          </w:p>
        </w:tc>
      </w:tr>
      <w:tr>
        <w:trPr>
          <w:trHeight w:val="230"/>
        </w:trPr>
        <w:tc>
          <w:tcPr>
            <w:tcW w:w="8180" w:type="dxa"/>
            <w:vAlign w:val="bottom"/>
            <w:gridSpan w:val="2"/>
          </w:tcPr>
          <w:p>
            <w:pPr>
              <w:ind w:left="180"/>
              <w:spacing w:after="0"/>
              <w:rPr>
                <w:sz w:val="20"/>
                <w:szCs w:val="20"/>
                <w:color w:val="auto"/>
              </w:rPr>
            </w:pPr>
            <w:r>
              <w:rPr>
                <w:rFonts w:ascii="Arial" w:cs="Arial" w:eastAsia="Arial" w:hAnsi="Arial"/>
                <w:sz w:val="18"/>
                <w:szCs w:val="18"/>
                <w:color w:val="auto"/>
              </w:rPr>
              <w:t>Net cash used in investing activities</w:t>
            </w:r>
          </w:p>
        </w:tc>
        <w:tc>
          <w:tcPr>
            <w:tcW w:w="1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(1,188)</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(234)</w:t>
            </w:r>
          </w:p>
        </w:tc>
      </w:tr>
      <w:tr>
        <w:trPr>
          <w:trHeight w:val="229"/>
        </w:trPr>
        <w:tc>
          <w:tcPr>
            <w:tcW w:w="81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Net cash provided by financing activities</w:t>
            </w:r>
          </w:p>
        </w:tc>
        <w:tc>
          <w:tcPr>
            <w:tcW w:w="14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85,613</w:t>
            </w:r>
          </w:p>
        </w:tc>
        <w:tc>
          <w:tcPr>
            <w:tcW w:w="10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34,898</w:t>
            </w:r>
          </w:p>
        </w:tc>
      </w:tr>
      <w:tr>
        <w:trPr>
          <w:trHeight w:val="223"/>
        </w:trPr>
        <w:tc>
          <w:tcPr>
            <w:tcW w:w="8180" w:type="dxa"/>
            <w:vAlign w:val="bottom"/>
            <w:gridSpan w:val="2"/>
          </w:tcPr>
          <w:p>
            <w:pPr>
              <w:ind w:left="20"/>
              <w:spacing w:after="0"/>
              <w:rPr>
                <w:sz w:val="20"/>
                <w:szCs w:val="20"/>
                <w:color w:val="auto"/>
              </w:rPr>
            </w:pPr>
            <w:r>
              <w:rPr>
                <w:rFonts w:ascii="Arial" w:cs="Arial" w:eastAsia="Arial" w:hAnsi="Arial"/>
                <w:sz w:val="18"/>
                <w:szCs w:val="18"/>
                <w:b w:val="1"/>
                <w:bCs w:val="1"/>
                <w:color w:val="auto"/>
              </w:rPr>
              <w:t>Net change in cash and cash equivalents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10,820</w:t>
            </w:r>
          </w:p>
        </w:tc>
        <w:tc>
          <w:tcPr>
            <w:tcW w:w="100" w:type="dxa"/>
            <w:vAlign w:val="bottom"/>
          </w:tcPr>
          <w:p>
            <w:pPr>
              <w:spacing w:after="0"/>
              <w:rPr>
                <w:sz w:val="19"/>
                <w:szCs w:val="19"/>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(16,433)</w:t>
            </w: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highlight w:val="white"/>
        </w:rPr>
        <w:t>The Company’s cash and cash equivalents was $33.4 million at September 30, 2022.</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highlight w:val="white"/>
        </w:rPr>
        <w:t>Business Outlook</w:t>
      </w:r>
    </w:p>
    <w:p>
      <w:pPr>
        <w:spacing w:after="0" w:line="256"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highlight w:val="white"/>
        </w:rPr>
        <w:t xml:space="preserve">SoundHound </w:t>
      </w:r>
      <w:r>
        <w:rPr>
          <w:rFonts w:ascii="Arial" w:cs="Arial" w:eastAsia="Arial" w:hAnsi="Arial"/>
          <w:sz w:val="18"/>
          <w:szCs w:val="18"/>
          <w:color w:val="auto"/>
        </w:rPr>
        <w:t>reaffirms its full year 2022 revenue guidance. Moreover, the company refines its range to now expect between $28 and $32 million (previous</w:t>
      </w:r>
      <w:r>
        <w:rPr>
          <w:rFonts w:ascii="Arial" w:cs="Arial" w:eastAsia="Arial" w:hAnsi="Arial"/>
          <w:sz w:val="18"/>
          <w:szCs w:val="18"/>
          <w:color w:val="auto"/>
          <w:highlight w:val="white"/>
        </w:rPr>
        <w:t xml:space="preserve"> </w:t>
      </w:r>
      <w:r>
        <w:rPr>
          <w:rFonts w:ascii="Arial" w:cs="Arial" w:eastAsia="Arial" w:hAnsi="Arial"/>
          <w:sz w:val="18"/>
          <w:szCs w:val="18"/>
          <w:color w:val="auto"/>
        </w:rPr>
        <w:t>range between $27 and $33 million).</w:t>
      </w:r>
    </w:p>
    <w:p>
      <w:pPr>
        <w:spacing w:after="0" w:line="184" w:lineRule="exact"/>
        <w:rPr>
          <w:sz w:val="20"/>
          <w:szCs w:val="20"/>
          <w:color w:val="auto"/>
        </w:rPr>
      </w:pPr>
    </w:p>
    <w:p>
      <w:pPr>
        <w:ind w:right="400"/>
        <w:spacing w:after="0" w:line="324" w:lineRule="auto"/>
        <w:rPr>
          <w:sz w:val="20"/>
          <w:szCs w:val="20"/>
          <w:color w:val="auto"/>
        </w:rPr>
      </w:pPr>
      <w:r>
        <w:rPr>
          <w:rFonts w:ascii="Arial" w:cs="Arial" w:eastAsia="Arial" w:hAnsi="Arial"/>
          <w:sz w:val="16"/>
          <w:szCs w:val="16"/>
          <w:color w:val="auto"/>
        </w:rPr>
        <w:t>To streamline the company and focus on strategic initiatives to accelerate growth in key verticals, we have implemented cost reduction initiatives. The announced measures will result in a reduction in workforce of approximately 10% as well as adjustments to our discretionary expenses.</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highlight w:val="white"/>
        </w:rPr>
        <w:t>Additional Information</w:t>
      </w:r>
    </w:p>
    <w:p>
      <w:pPr>
        <w:spacing w:after="0" w:line="189"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 xml:space="preserve">SoundHound expects to file its Form 10-Q for the quarterly period ended September 30, 2022, by November 14, 2022. For more information please see the company’s SEC filings which can be obtained on our website at </w:t>
      </w:r>
      <w:r>
        <w:rPr>
          <w:rFonts w:ascii="Arial" w:cs="Arial" w:eastAsia="Arial" w:hAnsi="Arial"/>
          <w:sz w:val="18"/>
          <w:szCs w:val="18"/>
          <w:color w:val="0000FF"/>
        </w:rPr>
        <w:t>investors.soundhound.com</w:t>
      </w:r>
      <w:r>
        <w:rPr>
          <w:rFonts w:ascii="Arial" w:cs="Arial" w:eastAsia="Arial" w:hAnsi="Arial"/>
          <w:sz w:val="18"/>
          <w:szCs w:val="18"/>
          <w:color w:val="444444"/>
        </w:rPr>
        <w:t>.</w:t>
      </w:r>
    </w:p>
    <w:p>
      <w:pPr>
        <w:spacing w:after="0" w:line="184"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SoundHound will announce a new breakthrough technology on November 17th. Please refer to </w:t>
      </w:r>
      <w:r>
        <w:rPr>
          <w:rFonts w:ascii="Arial" w:cs="Arial" w:eastAsia="Arial" w:hAnsi="Arial"/>
          <w:sz w:val="16"/>
          <w:szCs w:val="16"/>
          <w:color w:val="0000FF"/>
        </w:rPr>
        <w:t>soundhound.com</w:t>
      </w:r>
      <w:r>
        <w:rPr>
          <w:rFonts w:ascii="Arial" w:cs="Arial" w:eastAsia="Arial" w:hAnsi="Arial"/>
          <w:sz w:val="16"/>
          <w:szCs w:val="16"/>
          <w:color w:val="auto"/>
        </w:rPr>
        <w:t xml:space="preserve"> on November 17th for the press release.</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40"/>
          </w:cols>
          <w:pgMar w:left="320" w:top="1121"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highlight w:val="white"/>
        </w:rPr>
        <w:t>Conference Call and Webcast</w:t>
      </w:r>
    </w:p>
    <w:p>
      <w:pPr>
        <w:spacing w:after="0" w:line="256"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Keyvan Mohajer, Co-Founder and CEO and Nitesh Sharan, CFO will host a live audio conference call and webcast today at 2:30 p.m. Pacific Time/5:30 p.m. Eastern Time.</w:t>
      </w:r>
    </w:p>
    <w:p>
      <w:pPr>
        <w:spacing w:after="0" w:line="184" w:lineRule="exact"/>
        <w:rPr>
          <w:sz w:val="20"/>
          <w:szCs w:val="20"/>
          <w:color w:val="auto"/>
        </w:rPr>
      </w:pPr>
    </w:p>
    <w:p>
      <w:pPr>
        <w:ind w:right="1020"/>
        <w:spacing w:after="0" w:line="261" w:lineRule="auto"/>
        <w:rPr>
          <w:sz w:val="20"/>
          <w:szCs w:val="20"/>
          <w:color w:val="auto"/>
        </w:rPr>
      </w:pPr>
      <w:r>
        <w:rPr>
          <w:rFonts w:ascii="Arial" w:cs="Arial" w:eastAsia="Arial" w:hAnsi="Arial"/>
          <w:sz w:val="18"/>
          <w:szCs w:val="18"/>
          <w:color w:val="auto"/>
        </w:rPr>
        <w:t xml:space="preserve">Please </w:t>
      </w:r>
      <w:r>
        <w:rPr>
          <w:rFonts w:ascii="Arial" w:cs="Arial" w:eastAsia="Arial" w:hAnsi="Arial"/>
          <w:sz w:val="18"/>
          <w:szCs w:val="18"/>
          <w:color w:val="0000FF"/>
        </w:rPr>
        <w:t>click here</w:t>
      </w:r>
      <w:r>
        <w:rPr>
          <w:rFonts w:ascii="Arial" w:cs="Arial" w:eastAsia="Arial" w:hAnsi="Arial"/>
          <w:sz w:val="18"/>
          <w:szCs w:val="18"/>
          <w:color w:val="auto"/>
        </w:rPr>
        <w:t xml:space="preserve"> to pre-register for the conference call and obtain your dial in number and passcode. A live webcast will also be accessible at </w:t>
      </w:r>
      <w:r>
        <w:rPr>
          <w:rFonts w:ascii="Arial" w:cs="Arial" w:eastAsia="Arial" w:hAnsi="Arial"/>
          <w:sz w:val="18"/>
          <w:szCs w:val="18"/>
          <w:color w:val="0000FF"/>
        </w:rPr>
        <w:t xml:space="preserve">investors.soundhound.com </w:t>
      </w:r>
      <w:r>
        <w:rPr>
          <w:rFonts w:ascii="Arial" w:cs="Arial" w:eastAsia="Arial" w:hAnsi="Arial"/>
          <w:sz w:val="18"/>
          <w:szCs w:val="18"/>
          <w:color w:val="000000"/>
        </w:rPr>
        <w:t>and a replay of the webcast will be available following the session.</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highlight w:val="white"/>
        </w:rPr>
        <w:t>About SoundHound</w:t>
      </w:r>
    </w:p>
    <w:p>
      <w:pPr>
        <w:spacing w:after="0" w:line="256" w:lineRule="exact"/>
        <w:rPr>
          <w:sz w:val="20"/>
          <w:szCs w:val="20"/>
          <w:color w:val="auto"/>
        </w:rPr>
      </w:pPr>
    </w:p>
    <w:p>
      <w:pPr>
        <w:spacing w:after="0" w:line="263" w:lineRule="auto"/>
        <w:rPr>
          <w:sz w:val="20"/>
          <w:szCs w:val="20"/>
          <w:color w:val="auto"/>
        </w:rPr>
      </w:pPr>
      <w:r>
        <w:rPr>
          <w:rFonts w:ascii="Arial" w:cs="Arial" w:eastAsia="Arial" w:hAnsi="Arial"/>
          <w:sz w:val="17"/>
          <w:szCs w:val="17"/>
          <w:color w:val="auto"/>
        </w:rPr>
        <w:t>SoundHound (Nasdaq: SOUN), a leading innovator of conversational intelligence, offers an independent voice AI platform that enables businesses across industries to deliver best-in-class conversational experiences to their customers. Built on proprietary Speech-to-Meaning® and Deep Meaning Understanding® technologies, SoundHound’s advanced voice AI platform provides exceptional speed and accuracy and enables humans to interact with products and services like they interact with each other—by speaking naturally. SoundHound is trusted by companies around the globe, including Hyundai, Mercedes-Benz, Pandora, Qualcomm, Netflix, Snap, Square, LG, VIZIO, KIA, and Stellantis. www.soundhound.com</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highlight w:val="white"/>
        </w:rPr>
        <w:t>Forward Looking Statements</w:t>
      </w:r>
    </w:p>
    <w:p>
      <w:pPr>
        <w:spacing w:after="0" w:line="27" w:lineRule="exact"/>
        <w:rPr>
          <w:sz w:val="20"/>
          <w:szCs w:val="20"/>
          <w:color w:val="auto"/>
        </w:rPr>
      </w:pPr>
    </w:p>
    <w:p>
      <w:pPr>
        <w:spacing w:after="0" w:line="255" w:lineRule="auto"/>
        <w:rPr>
          <w:sz w:val="20"/>
          <w:szCs w:val="20"/>
          <w:color w:val="auto"/>
        </w:rPr>
      </w:pPr>
      <w:r>
        <w:rPr>
          <w:rFonts w:ascii="Arial" w:cs="Arial" w:eastAsia="Arial" w:hAnsi="Arial"/>
          <w:sz w:val="17"/>
          <w:szCs w:val="17"/>
          <w:color w:val="auto"/>
          <w:highlight w:val="white"/>
        </w:rPr>
        <w:t xml:space="preserve">This press release </w:t>
      </w:r>
      <w:r>
        <w:rPr>
          <w:rFonts w:ascii="Arial" w:cs="Arial" w:eastAsia="Arial" w:hAnsi="Arial"/>
          <w:sz w:val="17"/>
          <w:szCs w:val="17"/>
          <w:color w:val="auto"/>
        </w:rPr>
        <w:t>contains forward-looking statements, which are not historical facts, within the meaning of Section 27A of the Securities Act of 1933, as</w:t>
      </w:r>
      <w:r>
        <w:rPr>
          <w:rFonts w:ascii="Arial" w:cs="Arial" w:eastAsia="Arial" w:hAnsi="Arial"/>
          <w:sz w:val="17"/>
          <w:szCs w:val="17"/>
          <w:color w:val="auto"/>
          <w:highlight w:val="white"/>
        </w:rPr>
        <w:t xml:space="preserve"> </w:t>
      </w:r>
      <w:r>
        <w:rPr>
          <w:rFonts w:ascii="Arial" w:cs="Arial" w:eastAsia="Arial" w:hAnsi="Arial"/>
          <w:sz w:val="17"/>
          <w:szCs w:val="17"/>
          <w:color w:val="auto"/>
        </w:rPr>
        <w:t>amended, and Section 21E of the Securities Exchange Act of 1934, as amended. Our actual results, performance or achievements may differ materially from those expressed or implied by these forward-looking statements. In some cases, you can identify forward-looking statements by the use of words such as “may,” “could,” “expect,” “intend,” “plan,” “seek,” “anticipate,” “believe,” “estimate,” “predict,” “potential,” “continue,” “likely,” “will,” “would” and variations of these terms and similar expressions, or the negative of these terms or similar expressions. Such forward-looking statements are necessarily based upon estimates and assumptions that, while considered reasonable by us and our management, are inherently uncertain. As a result, readers are cautioned not to place undue reliance on these forward-looking statements. Actual results may differ materially from those indicated by these forward-looking statements as a result of risks and uncertainties impacting SoundHound’s business including, current uncertainties associated with the COVID-19 pandemic, our inability to predict or measure supply chain disruptions at our customers resulting from the COVID-19 pandemic and other causes, the potential future revenue associated with our AI platform products and services; our rate of growth; our ability to predict direct and indirect customer demand for our existing and future products and to secure adequate manufacturing capacity; our ability to hire, retain and motivate employees; the effects of competition, including price competition within our industry segment; technological, regulatory and legal developments that uniquely or disproportionately impact our industry segment; developments in the economy and financial markets and those other factors described in our risk factors set forth in our filings with the Securities and Exchange Commission from time to time, including our Quarterly Reports on Form 10-Q and Current Reports on Form 8-K. We do not intend to update or alter our forward-looking statements, whether as a result of new information, future events or otherwise, except as required by applicable law.</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Measures of Financial Performance</w:t>
      </w:r>
    </w:p>
    <w:p>
      <w:pPr>
        <w:spacing w:after="0" w:line="27" w:lineRule="exact"/>
        <w:rPr>
          <w:sz w:val="20"/>
          <w:szCs w:val="20"/>
          <w:color w:val="auto"/>
        </w:rPr>
      </w:pPr>
    </w:p>
    <w:p>
      <w:pPr>
        <w:ind w:right="180"/>
        <w:spacing w:after="0" w:line="259" w:lineRule="auto"/>
        <w:rPr>
          <w:sz w:val="20"/>
          <w:szCs w:val="20"/>
          <w:color w:val="auto"/>
        </w:rPr>
      </w:pPr>
      <w:r>
        <w:rPr>
          <w:rFonts w:ascii="Arial" w:cs="Arial" w:eastAsia="Arial" w:hAnsi="Arial"/>
          <w:sz w:val="17"/>
          <w:szCs w:val="17"/>
          <w:color w:val="auto"/>
        </w:rPr>
        <w:t>To supplement our financial statements, which are presented on the basis of U.S. generally accepted accounting principles (GAAP), the following non-GAAP measure of financial performance is included in this release: adjusted EBITDA. We define Adjusted EBITDA as our GAAP net loss excluding (i) interest and other expense, net, (ii) depreciation and amortization expense, (iii) income taxes, and (iv) stock-based compensation. A reconciliation of GAAP to this adjusted non-GAAP financial measure is included below. When analyzing the Company's operating results, investors should not consider non-GAAP measures as substitutes for the comparable financial measures prepared in accordance with GAAP.</w:t>
      </w:r>
    </w:p>
    <w:p>
      <w:pPr>
        <w:spacing w:after="0" w:line="200" w:lineRule="exact"/>
        <w:rPr>
          <w:sz w:val="20"/>
          <w:szCs w:val="20"/>
          <w:color w:val="auto"/>
        </w:rPr>
      </w:pPr>
    </w:p>
    <w:p>
      <w:pPr>
        <w:spacing w:after="0" w:line="3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00"/>
          </w:cols>
          <w:pgMar w:left="320" w:top="1107" w:right="37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07"/>
        </w:trPr>
        <w:tc>
          <w:tcPr>
            <w:tcW w:w="5780" w:type="dxa"/>
            <w:vAlign w:val="bottom"/>
            <w:shd w:val="clear" w:color="auto" w:fill="FEFEFE"/>
          </w:tcPr>
          <w:p>
            <w:pPr>
              <w:spacing w:after="0"/>
              <w:rPr>
                <w:sz w:val="20"/>
                <w:szCs w:val="20"/>
                <w:color w:val="auto"/>
              </w:rPr>
            </w:pPr>
            <w:r>
              <w:rPr>
                <w:rFonts w:ascii="Arial" w:cs="Arial" w:eastAsia="Arial" w:hAnsi="Arial"/>
                <w:sz w:val="18"/>
                <w:szCs w:val="18"/>
                <w:b w:val="1"/>
                <w:bCs w:val="1"/>
                <w:color w:val="auto"/>
                <w:highlight w:val="white"/>
                <w:w w:val="92"/>
              </w:rPr>
              <w:t>Reconciliation of GAAP Net Profit (Loss) to Non-GAAP Adjusted EBITDA</w:t>
            </w: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454"/>
        </w:trPr>
        <w:tc>
          <w:tcPr>
            <w:tcW w:w="57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040" w:type="dxa"/>
            <w:vAlign w:val="bottom"/>
            <w:gridSpan w:val="5"/>
          </w:tcPr>
          <w:p>
            <w:pPr>
              <w:ind w:left="620"/>
              <w:spacing w:after="0"/>
              <w:rPr>
                <w:sz w:val="20"/>
                <w:szCs w:val="20"/>
                <w:color w:val="auto"/>
              </w:rPr>
            </w:pPr>
            <w:r>
              <w:rPr>
                <w:rFonts w:ascii="Arial" w:cs="Arial" w:eastAsia="Arial" w:hAnsi="Arial"/>
                <w:sz w:val="18"/>
                <w:szCs w:val="18"/>
                <w:b w:val="1"/>
                <w:bCs w:val="1"/>
                <w:color w:val="auto"/>
              </w:rPr>
              <w:t>Three Months Ended</w:t>
            </w:r>
          </w:p>
        </w:tc>
      </w:tr>
      <w:tr>
        <w:trPr>
          <w:trHeight w:val="180"/>
        </w:trPr>
        <w:tc>
          <w:tcPr>
            <w:tcW w:w="57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440" w:type="dxa"/>
            <w:vAlign w:val="bottom"/>
            <w:gridSpan w:val="2"/>
          </w:tcPr>
          <w:p>
            <w:pPr>
              <w:ind w:left="40"/>
              <w:spacing w:after="0" w:line="181" w:lineRule="exact"/>
              <w:rPr>
                <w:sz w:val="20"/>
                <w:szCs w:val="20"/>
                <w:color w:val="auto"/>
              </w:rPr>
            </w:pPr>
            <w:r>
              <w:rPr>
                <w:rFonts w:ascii="Arial" w:cs="Arial" w:eastAsia="Arial" w:hAnsi="Arial"/>
                <w:sz w:val="18"/>
                <w:szCs w:val="18"/>
                <w:b w:val="1"/>
                <w:bCs w:val="1"/>
                <w:color w:val="auto"/>
              </w:rPr>
              <w:t>September 30,</w:t>
            </w:r>
          </w:p>
        </w:tc>
        <w:tc>
          <w:tcPr>
            <w:tcW w:w="160" w:type="dxa"/>
            <w:vAlign w:val="bottom"/>
          </w:tcPr>
          <w:p>
            <w:pPr>
              <w:spacing w:after="0"/>
              <w:rPr>
                <w:sz w:val="15"/>
                <w:szCs w:val="15"/>
                <w:color w:val="auto"/>
              </w:rPr>
            </w:pPr>
          </w:p>
        </w:tc>
        <w:tc>
          <w:tcPr>
            <w:tcW w:w="1440" w:type="dxa"/>
            <w:vAlign w:val="bottom"/>
            <w:gridSpan w:val="2"/>
          </w:tcPr>
          <w:p>
            <w:pPr>
              <w:ind w:left="40"/>
              <w:spacing w:after="0" w:line="181" w:lineRule="exact"/>
              <w:rPr>
                <w:sz w:val="20"/>
                <w:szCs w:val="20"/>
                <w:color w:val="auto"/>
              </w:rPr>
            </w:pPr>
            <w:r>
              <w:rPr>
                <w:rFonts w:ascii="Arial" w:cs="Arial" w:eastAsia="Arial" w:hAnsi="Arial"/>
                <w:sz w:val="18"/>
                <w:szCs w:val="18"/>
                <w:b w:val="1"/>
                <w:bCs w:val="1"/>
                <w:color w:val="auto"/>
              </w:rPr>
              <w:t>September 30,</w:t>
            </w:r>
          </w:p>
        </w:tc>
      </w:tr>
      <w:tr>
        <w:trPr>
          <w:trHeight w:val="243"/>
        </w:trPr>
        <w:tc>
          <w:tcPr>
            <w:tcW w:w="6560" w:type="dxa"/>
            <w:vAlign w:val="bottom"/>
            <w:tcBorders>
              <w:bottom w:val="single" w:sz="8" w:color="CCEEFF"/>
            </w:tcBorders>
            <w:gridSpan w:val="2"/>
          </w:tcPr>
          <w:p>
            <w:pPr>
              <w:ind w:left="20"/>
              <w:spacing w:after="0"/>
              <w:rPr>
                <w:sz w:val="20"/>
                <w:szCs w:val="20"/>
                <w:color w:val="auto"/>
              </w:rPr>
            </w:pPr>
            <w:r>
              <w:rPr>
                <w:rFonts w:ascii="Arial" w:cs="Arial" w:eastAsia="Arial" w:hAnsi="Arial"/>
                <w:sz w:val="18"/>
                <w:szCs w:val="18"/>
                <w:color w:val="auto"/>
              </w:rPr>
              <w:t>(thousands)</w:t>
            </w:r>
          </w:p>
        </w:tc>
        <w:tc>
          <w:tcPr>
            <w:tcW w:w="16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2022</w:t>
            </w:r>
          </w:p>
        </w:tc>
        <w:tc>
          <w:tcPr>
            <w:tcW w:w="100" w:type="dxa"/>
            <w:vAlign w:val="bottom"/>
            <w:tcBorders>
              <w:bottom w:val="single" w:sz="8" w:color="CCEEFF"/>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CCEEFF"/>
            </w:tcBorders>
          </w:tcPr>
          <w:p>
            <w:pPr>
              <w:spacing w:after="0"/>
              <w:rPr>
                <w:sz w:val="21"/>
                <w:szCs w:val="21"/>
                <w:color w:val="auto"/>
              </w:rPr>
            </w:pPr>
          </w:p>
        </w:tc>
      </w:tr>
      <w:tr>
        <w:trPr>
          <w:trHeight w:val="223"/>
        </w:trPr>
        <w:tc>
          <w:tcPr>
            <w:tcW w:w="656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GAAP net profit (loss)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(28,922)</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(23,781)</w:t>
            </w:r>
          </w:p>
        </w:tc>
        <w:tc>
          <w:tcPr>
            <w:tcW w:w="100" w:type="dxa"/>
            <w:vAlign w:val="bottom"/>
            <w:shd w:val="clear" w:color="auto" w:fill="CCEEFF"/>
          </w:tcPr>
          <w:p>
            <w:pPr>
              <w:spacing w:after="0"/>
              <w:rPr>
                <w:sz w:val="19"/>
                <w:szCs w:val="19"/>
                <w:color w:val="auto"/>
              </w:rPr>
            </w:pPr>
          </w:p>
        </w:tc>
      </w:tr>
      <w:tr>
        <w:trPr>
          <w:trHeight w:val="270"/>
        </w:trPr>
        <w:tc>
          <w:tcPr>
            <w:tcW w:w="6560" w:type="dxa"/>
            <w:vAlign w:val="bottom"/>
            <w:gridSpan w:val="2"/>
          </w:tcPr>
          <w:p>
            <w:pPr>
              <w:spacing w:after="0"/>
              <w:rPr>
                <w:sz w:val="23"/>
                <w:szCs w:val="23"/>
                <w:color w:val="auto"/>
              </w:rPr>
            </w:pPr>
          </w:p>
        </w:tc>
        <w:tc>
          <w:tcPr>
            <w:tcW w:w="16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100" w:type="dxa"/>
            <w:vAlign w:val="bottom"/>
          </w:tcPr>
          <w:p>
            <w:pPr>
              <w:spacing w:after="0"/>
              <w:rPr>
                <w:sz w:val="23"/>
                <w:szCs w:val="23"/>
                <w:color w:val="auto"/>
              </w:rPr>
            </w:pPr>
          </w:p>
        </w:tc>
      </w:tr>
      <w:tr>
        <w:trPr>
          <w:trHeight w:val="230"/>
        </w:trPr>
        <w:tc>
          <w:tcPr>
            <w:tcW w:w="6560" w:type="dxa"/>
            <w:vAlign w:val="bottom"/>
            <w:gridSpan w:val="2"/>
            <w:shd w:val="clear" w:color="auto" w:fill="CCEEFF"/>
          </w:tcPr>
          <w:p>
            <w:pPr>
              <w:ind w:left="20"/>
              <w:spacing w:after="0"/>
              <w:rPr>
                <w:sz w:val="20"/>
                <w:szCs w:val="20"/>
                <w:color w:val="auto"/>
              </w:rPr>
            </w:pPr>
            <w:r>
              <w:rPr>
                <w:rFonts w:ascii="Arial" w:cs="Arial" w:eastAsia="Arial" w:hAnsi="Arial"/>
                <w:sz w:val="18"/>
                <w:szCs w:val="18"/>
                <w:color w:val="auto"/>
              </w:rPr>
              <w:t>Adjustments:</w:t>
            </w: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29"/>
        </w:trPr>
        <w:tc>
          <w:tcPr>
            <w:tcW w:w="6560" w:type="dxa"/>
            <w:vAlign w:val="bottom"/>
            <w:gridSpan w:val="2"/>
          </w:tcPr>
          <w:p>
            <w:pPr>
              <w:ind w:left="180"/>
              <w:spacing w:after="0" w:line="230" w:lineRule="exact"/>
              <w:rPr>
                <w:sz w:val="20"/>
                <w:szCs w:val="20"/>
                <w:color w:val="auto"/>
              </w:rPr>
            </w:pPr>
            <w:r>
              <w:rPr>
                <w:rFonts w:ascii="Arial" w:cs="Arial" w:eastAsia="Arial" w:hAnsi="Arial"/>
                <w:sz w:val="18"/>
                <w:szCs w:val="18"/>
                <w:color w:val="auto"/>
              </w:rPr>
              <w:t>Interest and other expense, net</w:t>
            </w:r>
            <w:r>
              <w:rPr>
                <w:rFonts w:ascii="Arial" w:cs="Arial" w:eastAsia="Arial" w:hAnsi="Arial"/>
                <w:sz w:val="23"/>
                <w:szCs w:val="23"/>
                <w:b w:val="1"/>
                <w:bCs w:val="1"/>
                <w:color w:val="auto"/>
                <w:vertAlign w:val="superscript"/>
              </w:rPr>
              <w:t>1</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1,050</w:t>
            </w:r>
          </w:p>
        </w:tc>
        <w:tc>
          <w:tcPr>
            <w:tcW w:w="100" w:type="dxa"/>
            <w:vAlign w:val="bottom"/>
          </w:tcPr>
          <w:p>
            <w:pPr>
              <w:spacing w:after="0"/>
              <w:rPr>
                <w:sz w:val="19"/>
                <w:szCs w:val="19"/>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5,421</w:t>
            </w:r>
          </w:p>
        </w:tc>
        <w:tc>
          <w:tcPr>
            <w:tcW w:w="100" w:type="dxa"/>
            <w:vAlign w:val="bottom"/>
          </w:tcPr>
          <w:p>
            <w:pPr>
              <w:spacing w:after="0"/>
              <w:rPr>
                <w:sz w:val="19"/>
                <w:szCs w:val="19"/>
                <w:color w:val="auto"/>
              </w:rPr>
            </w:pPr>
          </w:p>
        </w:tc>
      </w:tr>
      <w:tr>
        <w:trPr>
          <w:trHeight w:val="230"/>
        </w:trPr>
        <w:tc>
          <w:tcPr>
            <w:tcW w:w="65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Income taxes</w:t>
            </w: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864</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1,190</w:t>
            </w:r>
          </w:p>
        </w:tc>
        <w:tc>
          <w:tcPr>
            <w:tcW w:w="100" w:type="dxa"/>
            <w:vAlign w:val="bottom"/>
            <w:shd w:val="clear" w:color="auto" w:fill="CCEEFF"/>
          </w:tcPr>
          <w:p>
            <w:pPr>
              <w:spacing w:after="0"/>
              <w:rPr>
                <w:sz w:val="19"/>
                <w:szCs w:val="19"/>
                <w:color w:val="auto"/>
              </w:rPr>
            </w:pPr>
          </w:p>
        </w:tc>
      </w:tr>
      <w:tr>
        <w:trPr>
          <w:trHeight w:val="229"/>
        </w:trPr>
        <w:tc>
          <w:tcPr>
            <w:tcW w:w="6560" w:type="dxa"/>
            <w:vAlign w:val="bottom"/>
            <w:gridSpan w:val="2"/>
          </w:tcPr>
          <w:p>
            <w:pPr>
              <w:ind w:left="180"/>
              <w:spacing w:after="0"/>
              <w:rPr>
                <w:sz w:val="20"/>
                <w:szCs w:val="20"/>
                <w:color w:val="auto"/>
              </w:rPr>
            </w:pPr>
            <w:r>
              <w:rPr>
                <w:rFonts w:ascii="Arial" w:cs="Arial" w:eastAsia="Arial" w:hAnsi="Arial"/>
                <w:sz w:val="18"/>
                <w:szCs w:val="18"/>
                <w:color w:val="auto"/>
              </w:rPr>
              <w:t>Depreciation and amortization</w:t>
            </w:r>
          </w:p>
        </w:tc>
        <w:tc>
          <w:tcPr>
            <w:tcW w:w="1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928</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1,333</w:t>
            </w:r>
          </w:p>
        </w:tc>
        <w:tc>
          <w:tcPr>
            <w:tcW w:w="100" w:type="dxa"/>
            <w:vAlign w:val="bottom"/>
          </w:tcPr>
          <w:p>
            <w:pPr>
              <w:spacing w:after="0"/>
              <w:rPr>
                <w:sz w:val="19"/>
                <w:szCs w:val="19"/>
                <w:color w:val="auto"/>
              </w:rPr>
            </w:pPr>
          </w:p>
        </w:tc>
      </w:tr>
      <w:tr>
        <w:trPr>
          <w:trHeight w:val="229"/>
        </w:trPr>
        <w:tc>
          <w:tcPr>
            <w:tcW w:w="65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Stock-based compensation</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9,173</w:t>
            </w:r>
          </w:p>
        </w:tc>
        <w:tc>
          <w:tcPr>
            <w:tcW w:w="100" w:type="dxa"/>
            <w:vAlign w:val="bottom"/>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1,315</w:t>
            </w:r>
          </w:p>
        </w:tc>
        <w:tc>
          <w:tcPr>
            <w:tcW w:w="100" w:type="dxa"/>
            <w:vAlign w:val="bottom"/>
            <w:shd w:val="clear" w:color="auto" w:fill="CCEEFF"/>
          </w:tcPr>
          <w:p>
            <w:pPr>
              <w:spacing w:after="0"/>
              <w:rPr>
                <w:sz w:val="19"/>
                <w:szCs w:val="19"/>
                <w:color w:val="auto"/>
              </w:rPr>
            </w:pPr>
          </w:p>
        </w:tc>
      </w:tr>
      <w:tr>
        <w:trPr>
          <w:trHeight w:val="223"/>
        </w:trPr>
        <w:tc>
          <w:tcPr>
            <w:tcW w:w="6560" w:type="dxa"/>
            <w:vAlign w:val="bottom"/>
            <w:gridSpan w:val="2"/>
          </w:tcPr>
          <w:p>
            <w:pPr>
              <w:ind w:left="20"/>
              <w:spacing w:after="0"/>
              <w:rPr>
                <w:sz w:val="20"/>
                <w:szCs w:val="20"/>
                <w:color w:val="auto"/>
              </w:rPr>
            </w:pPr>
            <w:r>
              <w:rPr>
                <w:rFonts w:ascii="Arial" w:cs="Arial" w:eastAsia="Arial" w:hAnsi="Arial"/>
                <w:sz w:val="18"/>
                <w:szCs w:val="18"/>
                <w:b w:val="1"/>
                <w:bCs w:val="1"/>
                <w:color w:val="auto"/>
              </w:rPr>
              <w:t>Adjusted EBITDA</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(16,907)</w:t>
            </w:r>
          </w:p>
        </w:tc>
        <w:tc>
          <w:tcPr>
            <w:tcW w:w="10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b w:val="1"/>
                <w:bCs w:val="1"/>
                <w:color w:val="auto"/>
              </w:rPr>
              <w:t>(14,522)</w:t>
            </w:r>
          </w:p>
        </w:tc>
        <w:tc>
          <w:tcPr>
            <w:tcW w:w="100" w:type="dxa"/>
            <w:vAlign w:val="bottom"/>
          </w:tcPr>
          <w:p>
            <w:pPr>
              <w:spacing w:after="0"/>
              <w:rPr>
                <w:sz w:val="19"/>
                <w:szCs w:val="19"/>
                <w:color w:val="auto"/>
              </w:rPr>
            </w:pPr>
          </w:p>
        </w:tc>
      </w:tr>
    </w:tbl>
    <w:p>
      <w:pPr>
        <w:spacing w:after="0" w:line="62" w:lineRule="exact"/>
        <w:rPr>
          <w:sz w:val="20"/>
          <w:szCs w:val="20"/>
          <w:color w:val="auto"/>
        </w:rPr>
      </w:pPr>
    </w:p>
    <w:p>
      <w:pPr>
        <w:ind w:left="340" w:hanging="332"/>
        <w:spacing w:after="0"/>
        <w:tabs>
          <w:tab w:leader="none" w:pos="340" w:val="left"/>
        </w:tabs>
        <w:numPr>
          <w:ilvl w:val="0"/>
          <w:numId w:val="4"/>
        </w:numPr>
        <w:rPr>
          <w:rFonts w:ascii="Arial" w:cs="Arial" w:eastAsia="Arial" w:hAnsi="Arial"/>
          <w:sz w:val="14"/>
          <w:szCs w:val="14"/>
          <w:color w:val="auto"/>
        </w:rPr>
      </w:pPr>
      <w:r>
        <w:rPr>
          <w:rFonts w:ascii="Arial" w:cs="Arial" w:eastAsia="Arial" w:hAnsi="Arial"/>
          <w:sz w:val="14"/>
          <w:szCs w:val="14"/>
          <w:color w:val="auto"/>
        </w:rPr>
        <w:t>Includes other (income)/expense of ($0.1) and $2.7 million,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4</w:t>
      </w:r>
    </w:p>
    <w:sectPr>
      <w:pgSz w:w="11900" w:h="16838" w:orient="portrait"/>
      <w:cols w:equalWidth="0" w:num="1">
        <w:col w:w="10139"/>
      </w:cols>
      <w:pgMar w:left="320" w:top="11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o"/>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1)"/>
      <w:numFmt w:val="decimal"/>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2022-11-10T16:44:02Z</dcterms:created>
  <dcterms:modified xsi:type="dcterms:W3CDTF">2022-11-10T16:44:02Z</dcterms:modified>
</cp:coreProperties>
</file>