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320" w:hanging="290"/>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20" w:hanging="290"/>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20" w:hanging="290"/>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20" w:hanging="290"/>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SOUN</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2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29, 2024, SoundHound AI, Inc. (the “Company”) issued a press release announcing financial results and operational highlights for the fourth quarter and year ended December 31, 2023. A copy of the press release is furnished as Exhibit 99.1 to this current report on Form 8-K. The Company is also furnishing as Exhibit 99.2 to this current report on Form 8-K the consolidated balance sheets of the Company as of December 31, 2023, and the related consolidated statements of operations and comprehensive loss and consolidated statements of cash flows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4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February 29, 2024</w:t>
            </w:r>
          </w:p>
        </w:tc>
        <w:tc>
          <w:tcPr>
            <w:tcW w:w="726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for the year ended December 31, 2023</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3120"/>
              <w:spacing w:after="0"/>
              <w:rPr>
                <w:sz w:val="20"/>
                <w:szCs w:val="20"/>
                <w:color w:val="auto"/>
              </w:rPr>
            </w:pPr>
            <w:r>
              <w:rPr>
                <w:rFonts w:ascii="Times New Roman" w:cs="Times New Roman" w:eastAsia="Times New Roman" w:hAnsi="Times New Roman"/>
                <w:sz w:val="18"/>
                <w:szCs w:val="18"/>
                <w:color w:val="auto"/>
              </w:rPr>
              <w:t>SoundHound AI, Inc.</w:t>
            </w:r>
          </w:p>
        </w:tc>
      </w:tr>
      <w:tr>
        <w:trPr>
          <w:trHeight w:val="432"/>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Dated: February 29, 2024</w:t>
            </w:r>
          </w:p>
        </w:tc>
        <w:tc>
          <w:tcPr>
            <w:tcW w:w="39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Keyvan Mohajer</w:t>
            </w:r>
          </w:p>
        </w:tc>
      </w:tr>
      <w:tr>
        <w:trPr>
          <w:trHeight w:val="191"/>
        </w:trPr>
        <w:tc>
          <w:tcPr>
            <w:tcW w:w="3740" w:type="dxa"/>
            <w:vAlign w:val="bottom"/>
          </w:tcPr>
          <w:p>
            <w:pPr>
              <w:spacing w:after="0"/>
              <w:rPr>
                <w:sz w:val="16"/>
                <w:szCs w:val="16"/>
                <w:color w:val="auto"/>
              </w:rPr>
            </w:pPr>
          </w:p>
        </w:tc>
        <w:tc>
          <w:tcPr>
            <w:tcW w:w="3900" w:type="dxa"/>
            <w:vAlign w:val="bottom"/>
          </w:tcPr>
          <w:p>
            <w:pPr>
              <w:ind w:left="3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740" w:type="dxa"/>
            <w:vAlign w:val="bottom"/>
          </w:tcPr>
          <w:p>
            <w:pPr>
              <w:spacing w:after="0"/>
              <w:rPr>
                <w:sz w:val="20"/>
                <w:szCs w:val="20"/>
                <w:color w:val="auto"/>
              </w:rPr>
            </w:pPr>
          </w:p>
        </w:tc>
        <w:tc>
          <w:tcPr>
            <w:tcW w:w="39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3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2</w:t>
            </w: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SoundHound AI Reports Record Quarter with 80% Q4 Revenue Growth to $17.1 Million; Adjusted EBITDA Improved by 80% Year-Over-Year in Q4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920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Combined Cumulative Subscriptions &amp; Bookings Backlog of $661 Million Represents a 2x increase Year-Over-Year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SANTA CLARA, Calif.--(</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)--SoundHound AI, Inc. (Nasdaq: SOUN), a global leader in voice artificial intelligence, today reported its financial results for the fourth quarter and full year 2023.</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was a breakthrough year in which SoundHound rapidly integrated powerful new generative AI capabilities. Our real-world voice AI applications are already live and driving consumer engagement across vehicles, devices, and customer service businesses,” </w:t>
      </w:r>
      <w:r>
        <w:rPr>
          <w:rFonts w:ascii="Times New Roman" w:cs="Times New Roman" w:eastAsia="Times New Roman" w:hAnsi="Times New Roman"/>
          <w:sz w:val="18"/>
          <w:szCs w:val="18"/>
          <w:color w:val="auto"/>
        </w:rPr>
        <w:t>said Keyvan Mohajer, CEO and Co-Founder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SoundHound AI. </w:t>
      </w:r>
      <w:r>
        <w:rPr>
          <w:rFonts w:ascii="Times New Roman" w:cs="Times New Roman" w:eastAsia="Times New Roman" w:hAnsi="Times New Roman"/>
          <w:sz w:val="18"/>
          <w:szCs w:val="18"/>
          <w:i w:val="1"/>
          <w:iCs w:val="1"/>
          <w:color w:val="auto"/>
        </w:rPr>
        <w:t>“We also acquired SYNQ3, establishing SoundHound as the largest voice AI provider for restaurants. Our pace and agility amid this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revolution has put us ahead of the field when it comes to delivering real commercial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 was $17.1 million, an increase of 80%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gross margin was 77%, an increase of 6 percentage points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earnings per share was a net loss of ($0.07), compared to ($0.15) in the prior year, improved by 53%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(non-GAAP) was ($3.7) million, compared to ($18.8) million in the prior year, improved by 80%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revenue was $45.9 million, an increase of 47%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gross margin was 75%, an increase of 6 percentage points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earnings per share was a net loss of ($0.40), compared to ($0.74) in the prior year, and improved by 46%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(non-GAAP) was ($35.9) million, compared to ($72.8) million in the prior year, and improved by 51%</w:t>
      </w:r>
    </w:p>
    <w:p>
      <w:pPr>
        <w:spacing w:after="0" w:line="9" w:lineRule="exact"/>
        <w:rPr>
          <w:rFonts w:ascii="Times New Roman" w:cs="Times New Roman" w:eastAsia="Times New Roman" w:hAnsi="Times New Roman"/>
          <w:sz w:val="18"/>
          <w:szCs w:val="18"/>
          <w:color w:val="auto"/>
        </w:rPr>
      </w:pPr>
    </w:p>
    <w:p>
      <w:pPr>
        <w:ind w:left="660" w:hanging="328"/>
        <w:spacing w:after="0" w:line="182"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Combined cumulative subscriptions and bookings backlog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customer metric grew to $661 million, up 2x compared to the prior year comparable measure</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an annual run rate of ~3.5 billion queries, up roughly 50%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1671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71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619760</wp:posOffset>
            </wp:positionH>
            <wp:positionV relativeFrom="page">
              <wp:posOffset>448945</wp:posOffset>
            </wp:positionV>
            <wp:extent cx="67208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20840" cy="137160"/>
                    </a:xfrm>
                    <a:prstGeom prst="rect">
                      <a:avLst/>
                    </a:prstGeom>
                    <a:noFill/>
                  </pic:spPr>
                </pic:pic>
              </a:graphicData>
            </a:graphic>
          </wp:anchor>
        </w:drawing>
        <w:t>“We finished the year strong by accelerating revenue and meaningfully increasing our penetration in the marketplace,” said Nitesh Sharan, CFO of SoundHound AI. ”We have fortified our balance sheet and taken prudent measures to strengthen our bottom line to ensure we can continue to capitalize on the tremendous customer demand for our AI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and partners announcements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Notable, first-of-its-kind revenue contribution in Q4 from a preeminent AI chip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contract with a large auto OEM to significantly extend and increase unit volumes through 2037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a deal with a prominent US-based EV maker to voice-enable their full fleet of market-leading vehicles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Chat AI was announced as the world’s first voice assistant with integrated generative AI to go into full production with an automaker. Stellantis’ DS Automobiles will be deploying the technology across all models in 13 languages across 18 countries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automotive brands, Peugeot, Opel, and Vauxhall, announced SoundHound Chat AI pilots in Europe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branded AI voice assistant went live with a new line of vehicles from Togg, a growing Turkish EV car maker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Telly’s revolutionary dual screen smart TV integrated SoundHound AI voice assistant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portfolio of renowned restaurant brands with enterprise restaurants brands: Jersey Mike's, Krispy Kreme, White Castle, and Church's Chicken</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agreement with White Castle to go live in 100 drive-thru lanes by the end of this year and announced partnership with Samsung to revolutionize next-gen display technology for voice AI drive-thrus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more than 100 customers adopted our AI restaurant solutions, including mid market brands such as Beef O’Brady’s, Blake’s Lotaburger, Bozzelli's Italian Deli, Bubbakoos Burritos, Chicken Shack, CoreLife Eatery, Dog Haus, Naz’s Halal, and Noi Thai</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ecosystem for customer service by adding Oracle MICROS Simphony Point-of-Sale for Restaurants, Toast Point-of-Sale system, and integration with Olo, a leading restaurant SaaS platform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AI is now working with audio experts HME to make its solutions compatible with its world class NEXEO® headsets. HME serves QSRs drive-thrus in over 140 countries, enabling them to fulfill more than 30 million orders every day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SYNQ3</w:t>
      </w:r>
    </w:p>
    <w:p>
      <w:pPr>
        <w:spacing w:after="0" w:line="29" w:lineRule="exact"/>
        <w:rPr>
          <w:sz w:val="20"/>
          <w:szCs w:val="20"/>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with SYNQ3 expands SoundHound AI’s customer service offering, creating the largest voice AI provider for restaurants and extending the company’s market reach by an order of magnitude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joined entity beings nearly two decades of SoundHound’s innovation with decades of SYNQ3’s industry expertise and established customer relationships - accelerating the deployment of leading-edge generative AI capabilities to the industry</w:t>
      </w:r>
    </w:p>
    <w:p>
      <w:pPr>
        <w:ind w:left="660" w:right="2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SYNQ3 comes with more than 20 national and multinational chains, such as Chipotle, Casey’s, Applebees, Panda Express, Papa John’s, and Five Guys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launches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Dynamic Interaction with Generative AI, </w:t>
      </w:r>
      <w:r>
        <w:rPr>
          <w:rFonts w:ascii="Times New Roman" w:cs="Times New Roman" w:eastAsia="Times New Roman" w:hAnsi="Times New Roman"/>
          <w:sz w:val="18"/>
          <w:szCs w:val="18"/>
          <w:color w:val="auto"/>
          <w:highlight w:val="white"/>
        </w:rPr>
        <w:t>an extension of the company’s groundbreaking multimodal Dynamic Interaction interface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Answering became generally available, our service that lets any business handle customer service calls with voice AI</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 our voice AI product for restaurant employees using advanced voice technology to coach in-store employees through actions and provide fast answers to critical questions</w:t>
      </w:r>
    </w:p>
    <w:p>
      <w:pPr>
        <w:ind w:left="660" w:right="2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SoundHound Chat AI for Automotive, giving drivers and passengers seamless access to a vast array of information domains enabled by complex conversational capabilities</w:t>
      </w: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rPr>
        <w:t>Vehicle Intelligence, SoundHound’s voice AI-enabled solution for instant hands-free access to car manual</w:t>
      </w:r>
    </w:p>
    <w:p>
      <w:pPr>
        <w:spacing w:after="0" w:line="9" w:lineRule="exact"/>
        <w:rPr>
          <w:rFonts w:ascii="Times New Roman" w:cs="Times New Roman" w:eastAsia="Times New Roman" w:hAnsi="Times New Roman"/>
          <w:sz w:val="18"/>
          <w:szCs w:val="18"/>
          <w:color w:val="auto"/>
          <w:highlight w:val="white"/>
        </w:rPr>
      </w:pPr>
    </w:p>
    <w:p>
      <w:pPr>
        <w:ind w:left="660" w:right="20" w:hanging="328"/>
        <w:spacing w:after="0" w:line="26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 Chat AI, a powerful new voice assistant that delivers best-in-class voice AI by </w:t>
      </w:r>
      <w:r>
        <w:rPr>
          <w:rFonts w:ascii="Times New Roman" w:cs="Times New Roman" w:eastAsia="Times New Roman" w:hAnsi="Times New Roman"/>
          <w:sz w:val="18"/>
          <w:szCs w:val="18"/>
          <w:color w:val="auto"/>
          <w:highlight w:val="white"/>
        </w:rPr>
        <w:t>combining SoundHound and third-party Generative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AI models</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section ‘Certain Defined Terms’ at the end of this press release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097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160" w:type="dxa"/>
            <w:vAlign w:val="bottom"/>
            <w:gridSpan w:val="2"/>
            <w:vMerge w:val="restart"/>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highlight w:val="white"/>
                <w:w w:val="99"/>
              </w:rPr>
              <w:t>Fourth Quarter 2023 Financial Measures</w:t>
            </w:r>
          </w:p>
        </w:tc>
        <w:tc>
          <w:tcPr>
            <w:tcW w:w="414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88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00" w:type="dxa"/>
            <w:vAlign w:val="bottom"/>
            <w:shd w:val="clear" w:color="auto" w:fill="FEFEFE"/>
          </w:tcPr>
          <w:p>
            <w:pPr>
              <w:spacing w:after="0"/>
              <w:rPr>
                <w:sz w:val="18"/>
                <w:szCs w:val="18"/>
                <w:color w:val="auto"/>
              </w:rPr>
            </w:pPr>
          </w:p>
        </w:tc>
        <w:tc>
          <w:tcPr>
            <w:tcW w:w="90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140" w:type="dxa"/>
            <w:vAlign w:val="bottom"/>
            <w:tcBorders>
              <w:right w:val="single" w:sz="8" w:color="FEFEFE"/>
            </w:tcBorders>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gridSpan w:val="2"/>
            <w:vMerge w:val="continue"/>
            <w:shd w:val="clear" w:color="auto" w:fill="FEFEFE"/>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(thousands, except per share data)</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30"/>
              <w:spacing w:after="0" w:line="270" w:lineRule="exact"/>
              <w:rPr>
                <w:sz w:val="20"/>
                <w:szCs w:val="20"/>
                <w:color w:val="auto"/>
              </w:rPr>
            </w:pPr>
            <w:r>
              <w:rPr>
                <w:rFonts w:ascii="Times New Roman" w:cs="Times New Roman" w:eastAsia="Times New Roman" w:hAnsi="Times New Roman"/>
                <w:sz w:val="18"/>
                <w:szCs w:val="18"/>
                <w:b w:val="1"/>
                <w:bCs w:val="1"/>
                <w:color w:val="auto"/>
                <w:w w:val="96"/>
              </w:rPr>
              <w:t>2022</w:t>
            </w:r>
            <w:r>
              <w:rPr>
                <w:rFonts w:ascii="Times New Roman" w:cs="Times New Roman" w:eastAsia="Times New Roman" w:hAnsi="Times New Roman"/>
                <w:sz w:val="29"/>
                <w:szCs w:val="29"/>
                <w:b w:val="1"/>
                <w:bCs w:val="1"/>
                <w:color w:val="auto"/>
                <w:w w:val="96"/>
                <w:vertAlign w:val="superscript"/>
              </w:rPr>
              <w:t>2</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 in %</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1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7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4,469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21,528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7,641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7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29,540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38,454</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(28,953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(18,003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(30,881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w:t>
            </w:r>
          </w:p>
        </w:tc>
        <w:tc>
          <w:tcPr>
            <w:tcW w:w="16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0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8"/>
                <w:szCs w:val="28"/>
                <w:b w:val="1"/>
                <w:bCs w:val="1"/>
                <w:color w:val="auto"/>
                <w:vertAlign w:val="superscript"/>
              </w:rPr>
              <w:t>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(3,676)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(18,821)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640" w:type="dxa"/>
            <w:vAlign w:val="bottom"/>
            <w:gridSpan w:val="2"/>
            <w:vMerge w:val="restart"/>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FEFEFE"/>
          </w:tcPr>
          <w:p>
            <w:pPr>
              <w:spacing w:after="0" w:line="202" w:lineRule="exact"/>
              <w:rPr>
                <w:sz w:val="20"/>
                <w:szCs w:val="20"/>
                <w:color w:val="auto"/>
              </w:rPr>
            </w:pPr>
            <w:r>
              <w:rPr>
                <w:rFonts w:ascii="Times New Roman" w:cs="Times New Roman" w:eastAsia="Times New Roman" w:hAnsi="Times New Roman"/>
                <w:sz w:val="18"/>
                <w:szCs w:val="18"/>
                <w:b w:val="1"/>
                <w:bCs w:val="1"/>
                <w:color w:val="auto"/>
                <w:highlight w:val="white"/>
                <w:w w:val="98"/>
              </w:rPr>
              <w:t>Full Year 2023 Financial Measures</w:t>
            </w:r>
          </w:p>
        </w:tc>
        <w:tc>
          <w:tcPr>
            <w:tcW w:w="4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(thousands, except per share data)</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90"/>
              <w:spacing w:after="0" w:line="270" w:lineRule="exact"/>
              <w:rPr>
                <w:sz w:val="20"/>
                <w:szCs w:val="20"/>
                <w:color w:val="auto"/>
              </w:rPr>
            </w:pPr>
            <w:r>
              <w:rPr>
                <w:rFonts w:ascii="Times New Roman" w:cs="Times New Roman" w:eastAsia="Times New Roman" w:hAnsi="Times New Roman"/>
                <w:sz w:val="18"/>
                <w:szCs w:val="18"/>
                <w:b w:val="1"/>
                <w:bCs w:val="1"/>
                <w:color w:val="auto"/>
                <w:w w:val="96"/>
              </w:rPr>
              <w:t>2022</w:t>
            </w:r>
            <w:r>
              <w:rPr>
                <w:rFonts w:ascii="Times New Roman" w:cs="Times New Roman" w:eastAsia="Times New Roman" w:hAnsi="Times New Roman"/>
                <w:sz w:val="29"/>
                <w:szCs w:val="29"/>
                <w:b w:val="1"/>
                <w:bCs w:val="1"/>
                <w:color w:val="auto"/>
                <w:w w:val="96"/>
                <w:vertAlign w:val="superscript"/>
              </w:rPr>
              <w:t>2</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 in %</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1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9,599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18,893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20,367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51,439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76,392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28,285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30,443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114,481</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136,801</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(68,608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(105,672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(88,937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(116,713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w:t>
            </w:r>
          </w:p>
        </w:tc>
        <w:tc>
          <w:tcPr>
            <w:tcW w:w="16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30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8"/>
                <w:szCs w:val="28"/>
                <w:b w:val="1"/>
                <w:bCs w:val="1"/>
                <w:color w:val="auto"/>
                <w:vertAlign w:val="superscript"/>
              </w:rPr>
              <w:t>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(35,896)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(72,843)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table below for a reconciliation from GAAP to non-GAAP.</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the Company identified corrections related to historical financial transactions for certain prior periods, which have been revised. These amounts had no impact on revenue, EPS or adjusted EBITDA for the period noted. Specifically, for the three months ended December 31, 2022, general and administrative expense and total net loss both increased by $201. For the 12 months ended December 31, 2022, general and administrative expense increased by $265 and other income and expense increased by $1,075, resulting in total net loss increasing by $1,340. Further details were included in the company's Form 10-Q filed on November 15, 2023 for the quarterly period ended September 30,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Summary of Liquidity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2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cash was approximately $109 million at December 31, 2023. Current total cash balance is in excess of $200 million.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Cash Flow Statement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(94,019)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168,237</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line="263"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w:t>
            </w:r>
            <w:r>
              <w:rPr>
                <w:rFonts w:ascii="Times New Roman" w:cs="Times New Roman" w:eastAsia="Times New Roman" w:hAnsi="Times New Roman"/>
                <w:sz w:val="29"/>
                <w:szCs w:val="29"/>
                <w:b w:val="1"/>
                <w:bCs w:val="1"/>
                <w:color w:val="auto"/>
                <w:vertAlign w:val="superscript"/>
              </w:rPr>
              <w:t>1</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680" w:type="dxa"/>
            <w:vAlign w:val="bottom"/>
            <w:gridSpan w:val="2"/>
            <w:vMerge w:val="continue"/>
          </w:tcPr>
          <w:p>
            <w:pPr>
              <w:spacing w:after="0"/>
              <w:rPr>
                <w:sz w:val="21"/>
                <w:szCs w:val="21"/>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99,560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(13,347)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20" w:type="dxa"/>
            <w:vAlign w:val="bottom"/>
            <w:shd w:val="clear" w:color="auto" w:fill="FEFEFE"/>
          </w:tcPr>
          <w:p>
            <w:pPr>
              <w:spacing w:after="0"/>
              <w:rPr>
                <w:sz w:val="18"/>
                <w:szCs w:val="18"/>
                <w:color w:val="auto"/>
              </w:rPr>
            </w:pPr>
          </w:p>
        </w:tc>
        <w:tc>
          <w:tcPr>
            <w:tcW w:w="240" w:type="dxa"/>
            <w:vAlign w:val="bottom"/>
            <w:tcBorders>
              <w:top w:val="single" w:sz="8" w:color="auto"/>
            </w:tcBorders>
            <w:shd w:val="clear" w:color="auto" w:fill="FEFEFE"/>
          </w:tcPr>
          <w:p>
            <w:pPr>
              <w:spacing w:after="0"/>
              <w:rPr>
                <w:sz w:val="18"/>
                <w:szCs w:val="18"/>
                <w:color w:val="auto"/>
              </w:rPr>
            </w:pPr>
          </w:p>
        </w:tc>
        <w:tc>
          <w:tcPr>
            <w:tcW w:w="880" w:type="dxa"/>
            <w:vAlign w:val="bottom"/>
            <w:tcBorders>
              <w:top w:val="single" w:sz="8" w:color="auto"/>
            </w:tcBorders>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40" w:type="dxa"/>
            <w:vAlign w:val="bottom"/>
            <w:tcBorders>
              <w:top w:val="single" w:sz="8" w:color="auto"/>
            </w:tcBorders>
            <w:shd w:val="clear" w:color="auto" w:fill="FEFEFE"/>
          </w:tcPr>
          <w:p>
            <w:pPr>
              <w:spacing w:after="0"/>
              <w:rPr>
                <w:sz w:val="18"/>
                <w:szCs w:val="18"/>
                <w:color w:val="auto"/>
              </w:rPr>
            </w:pPr>
          </w:p>
        </w:tc>
        <w:tc>
          <w:tcPr>
            <w:tcW w:w="880" w:type="dxa"/>
            <w:vAlign w:val="bottom"/>
            <w:tcBorders>
              <w:top w:val="single" w:sz="8" w:color="auto"/>
            </w:tcBorders>
            <w:shd w:val="clear" w:color="auto" w:fill="FEFEFE"/>
          </w:tcPr>
          <w:p>
            <w:pPr>
              <w:spacing w:after="0"/>
              <w:rPr>
                <w:sz w:val="18"/>
                <w:szCs w:val="18"/>
                <w:color w:val="auto"/>
              </w:rPr>
            </w:pPr>
          </w:p>
        </w:tc>
        <w:tc>
          <w:tcPr>
            <w:tcW w:w="20" w:type="dxa"/>
            <w:vAlign w:val="bottom"/>
            <w:tcBorders>
              <w:top w:val="single" w:sz="8" w:color="auto"/>
            </w:tcBorders>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Foreign exchange impact on cash of ($20K) for the period ending December 31, 2023 not shown 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83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2024 and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 expects full year 2024 revenue to be in a range of $63 to $77 million, with a midpoint target of $70 million. The company is also introducing a 2025 outlook, in which it expects its growth to accelerate with revenue exceeding $100 million in revenue and achieve positive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please see the company’s SEC filings which can be obtained on the company’s website at </w:t>
      </w:r>
      <w:r>
        <w:rPr>
          <w:rFonts w:ascii="Times New Roman" w:cs="Times New Roman" w:eastAsia="Times New Roman" w:hAnsi="Times New Roman"/>
          <w:sz w:val="18"/>
          <w:szCs w:val="18"/>
          <w:color w:val="auto"/>
          <w:highlight w:val="white"/>
        </w:rPr>
        <w:t>investors.soundhound.com.</w:t>
      </w:r>
      <w:r>
        <w:rPr>
          <w:rFonts w:ascii="Times New Roman" w:cs="Times New Roman" w:eastAsia="Times New Roman" w:hAnsi="Times New Roman"/>
          <w:sz w:val="18"/>
          <w:szCs w:val="18"/>
          <w:color w:val="auto"/>
        </w:rPr>
        <w:t xml:space="preserve"> The financial statements will be posted on the website, and will be included when we file our 10-K. The financial data presented in this press release should be considered preliminary until the company files its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Keyvan Mohajer, Co-Founder and CEO, and Nitesh Sharan, CFO will host a live audio conference call and webcast today at 2:00 p.m. Pacific Time/5:00 p.m. Eastern Time. A live webcast and replay will also be accessible at investors.soundhound.com.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SoundHound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SoundHound (Nasdaq: SOUN), a global leader in conversational intelligence, offers voice AI solutions that let businesses offer incredible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 and Other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017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017520"/>
                    </a:xfrm>
                    <a:prstGeom prst="rect">
                      <a:avLst/>
                    </a:prstGeom>
                    <a:noFill/>
                  </pic:spPr>
                </pic:pic>
              </a:graphicData>
            </a:graphic>
          </wp:anchor>
        </w:drawing>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the potential utility of and market for our products and services, our ability to achieve revenue from our cumulative bookings backlog and subscription bookings backlog, and guidance for financial results for 2024 and 2025.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ability to develop the bespoke products and services required under the contracts included in our bookings backlog, including, but not limited to, our ability to convert customer adoption of Smart Ordering into realized revenue, our ability to predict or measure supply chain disruptions at our customers, our market opportunity and our ability to acquire new customers and retain existing customers, the timing and impact of our growth initiatives, level of product service failures that could lead our customers to use competitors’ services, our ability to predict direct and indirect customer demand for our existing and future products,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Cumulative Subscriptions &amp; Bookings Backlog: The company has updated this metric to incorporate its customer subscriptions activity with previously disclosed cumulative bookings backlog. Cumulative bookings backlog takes into account the prior quarter end balance of bookings backlog plus new bookings in the current quarter minus associated revenue recognized from bookings from prior periods. Cumulative bookings backlog is derived from committed customer contracts and this definition remains the same as the previous one. Subscriptions backlog refers to potential revenue achievable for the company with current customers where the company is the leading or exclusive provider, and assuming a 4-year ramp up during which time our technologies are being implemented and assuming a successful full roll out of our technologies over a total 5-year duration. Reasonable assumptions about adoption percentages are included, with lower percentages applied to pilot and proof-of-concept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of Financial Performance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supplement the company’s financial statements, which are presented on the basis of U.S. generally accepted accounting principles (GAAP), the following non-GAAP measure of financial performance is included in this release: adjusted EBITDA. We define Adjusted EBITDA as the company’s GAAP net loss excluding (i) interest and other expense, net, (ii) depreciation and amortization expense, (iii) income taxes, (iv) stock-based compensation,</w:t>
      </w:r>
    </w:p>
    <w:p>
      <w:pPr>
        <w:spacing w:after="0" w:line="1" w:lineRule="exact"/>
        <w:rPr>
          <w:sz w:val="20"/>
          <w:szCs w:val="20"/>
          <w:color w:val="auto"/>
        </w:rPr>
      </w:pPr>
    </w:p>
    <w:p>
      <w:pPr>
        <w:jc w:val="both"/>
        <w:ind w:firstLine="8"/>
        <w:spacing w:after="0" w:line="255" w:lineRule="auto"/>
        <w:tabs>
          <w:tab w:leader="none" w:pos="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and (vi) restructuring expense. A reconciliation of GAAP to this adjusted non-GAAP financial measure is included below. When analyzing the company's operating results, investors should not consider non-GAAP measures as substitutes for the comparable financial measures prepared in accordance with GAAP.</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present a quantitative reconciliation of the forward-looking non-GAAP financial measures and Adjusted EBITDA, to the most directly comparable GAAP financial measure (or otherwise present such forward-looking GAAP measures) because it is impractical to forecast certain items without unreasonable efforts due to the uncertainty and inherent difficulty of predicting, within a reasonable range, the occurrence and financial impact of and the periods in which such items may be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432"/>
        </w:trPr>
        <w:tc>
          <w:tcPr>
            <w:tcW w:w="86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Fourth Quarter Reconciliation of GAAP Net Loss to Non-GAAP Adjusted EBITDA</w:t>
            </w:r>
          </w:p>
        </w:tc>
        <w:tc>
          <w:tcPr>
            <w:tcW w:w="24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24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20" w:type="dxa"/>
            <w:vAlign w:val="bottom"/>
            <w:shd w:val="clear" w:color="auto" w:fill="FEFEFE"/>
          </w:tcPr>
          <w:p>
            <w:pPr>
              <w:spacing w:after="0"/>
              <w:rPr>
                <w:sz w:val="24"/>
                <w:szCs w:val="24"/>
                <w:color w:val="auto"/>
              </w:rPr>
            </w:pPr>
          </w:p>
        </w:tc>
        <w:tc>
          <w:tcPr>
            <w:tcW w:w="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34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80" w:type="dxa"/>
            <w:vAlign w:val="bottom"/>
            <w:tcBorders>
              <w:bottom w:val="single" w:sz="8" w:color="CCEEFF"/>
            </w:tcBorders>
          </w:tcPr>
          <w:p>
            <w:pPr>
              <w:spacing w:after="0"/>
              <w:rPr>
                <w:sz w:val="21"/>
                <w:szCs w:val="21"/>
                <w:color w:val="auto"/>
              </w:rPr>
            </w:pPr>
          </w:p>
        </w:tc>
        <w:tc>
          <w:tcPr>
            <w:tcW w:w="8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(30,881)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OI&amp;E and other</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6,486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(non-GAAP)</w:t>
            </w: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(3,676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(18,821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100" w:type="dxa"/>
            <w:vAlign w:val="bottom"/>
            <w:shd w:val="clear" w:color="auto" w:fill="FEFEFE"/>
          </w:tcPr>
          <w:p>
            <w:pPr>
              <w:spacing w:after="0"/>
              <w:rPr>
                <w:sz w:val="18"/>
                <w:szCs w:val="18"/>
                <w:color w:val="auto"/>
              </w:rPr>
            </w:pPr>
          </w:p>
        </w:tc>
        <w:tc>
          <w:tcPr>
            <w:tcW w:w="240" w:type="dxa"/>
            <w:vAlign w:val="bottom"/>
            <w:tcBorders>
              <w:top w:val="single" w:sz="8" w:color="auto"/>
            </w:tcBorders>
            <w:shd w:val="clear" w:color="auto" w:fill="FEFEFE"/>
          </w:tcPr>
          <w:p>
            <w:pPr>
              <w:spacing w:after="0"/>
              <w:rPr>
                <w:sz w:val="18"/>
                <w:szCs w:val="18"/>
                <w:color w:val="auto"/>
              </w:rPr>
            </w:pPr>
          </w:p>
        </w:tc>
        <w:tc>
          <w:tcPr>
            <w:tcW w:w="880" w:type="dxa"/>
            <w:vAlign w:val="bottom"/>
            <w:tcBorders>
              <w:top w:val="single" w:sz="8" w:color="auto"/>
            </w:tcBorders>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40" w:type="dxa"/>
            <w:vAlign w:val="bottom"/>
            <w:tcBorders>
              <w:top w:val="single" w:sz="8" w:color="auto"/>
            </w:tcBorders>
            <w:shd w:val="clear" w:color="auto" w:fill="FEFEFE"/>
          </w:tcPr>
          <w:p>
            <w:pPr>
              <w:spacing w:after="0"/>
              <w:rPr>
                <w:sz w:val="18"/>
                <w:szCs w:val="18"/>
                <w:color w:val="auto"/>
              </w:rPr>
            </w:pPr>
          </w:p>
        </w:tc>
        <w:tc>
          <w:tcPr>
            <w:tcW w:w="880" w:type="dxa"/>
            <w:vAlign w:val="bottom"/>
            <w:tcBorders>
              <w:top w:val="single" w:sz="8" w:color="auto"/>
            </w:tcBorders>
            <w:shd w:val="clear" w:color="auto" w:fill="FEFEFE"/>
          </w:tcPr>
          <w:p>
            <w:pPr>
              <w:spacing w:after="0"/>
              <w:rPr>
                <w:sz w:val="18"/>
                <w:szCs w:val="18"/>
                <w:color w:val="auto"/>
              </w:rPr>
            </w:pPr>
          </w:p>
        </w:tc>
        <w:tc>
          <w:tcPr>
            <w:tcW w:w="20" w:type="dxa"/>
            <w:vAlign w:val="bottom"/>
            <w:tcBorders>
              <w:top w:val="single" w:sz="8" w:color="auto"/>
            </w:tcBorders>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other income/(expense) of $1.5 and $0.5 million for the three months ended December 31, 2023 and 2022, respectively.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86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Full Year Reconciliation of GAAP Net Loss to Non-GAAP Adjusted EBITDA</w:t>
            </w:r>
          </w:p>
        </w:tc>
        <w:tc>
          <w:tcPr>
            <w:tcW w:w="24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24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20" w:type="dxa"/>
            <w:vAlign w:val="bottom"/>
            <w:shd w:val="clear" w:color="auto" w:fill="FEFEFE"/>
          </w:tcPr>
          <w:p>
            <w:pPr>
              <w:spacing w:after="0"/>
              <w:rPr>
                <w:sz w:val="24"/>
                <w:szCs w:val="24"/>
                <w:color w:val="auto"/>
              </w:rPr>
            </w:pPr>
          </w:p>
        </w:tc>
        <w:tc>
          <w:tcPr>
            <w:tcW w:w="8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34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80" w:type="dxa"/>
            <w:vAlign w:val="bottom"/>
            <w:tcBorders>
              <w:bottom w:val="single" w:sz="8" w:color="CCEEFF"/>
            </w:tcBorders>
          </w:tcPr>
          <w:p>
            <w:pPr>
              <w:spacing w:after="0"/>
              <w:rPr>
                <w:sz w:val="21"/>
                <w:szCs w:val="21"/>
                <w:color w:val="auto"/>
              </w:rPr>
            </w:pPr>
          </w:p>
        </w:tc>
        <w:tc>
          <w:tcPr>
            <w:tcW w:w="8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(116,713)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OI&amp;E and other</w:t>
            </w:r>
            <w:r>
              <w:rPr>
                <w:rFonts w:ascii="Times New Roman" w:cs="Times New Roman" w:eastAsia="Times New Roman" w:hAnsi="Times New Roman"/>
                <w:sz w:val="29"/>
                <w:szCs w:val="29"/>
                <w:b w:val="1"/>
                <w:bCs w:val="1"/>
                <w:color w:val="auto"/>
                <w:vertAlign w:val="superscript"/>
              </w:rPr>
              <w:t>2</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2,313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(non-GAAP)</w:t>
            </w: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(35,896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(72,843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100" w:type="dxa"/>
            <w:vAlign w:val="bottom"/>
            <w:shd w:val="clear" w:color="auto" w:fill="FEFEFE"/>
          </w:tcPr>
          <w:p>
            <w:pPr>
              <w:spacing w:after="0"/>
              <w:rPr>
                <w:sz w:val="18"/>
                <w:szCs w:val="18"/>
                <w:color w:val="auto"/>
              </w:rPr>
            </w:pPr>
          </w:p>
        </w:tc>
        <w:tc>
          <w:tcPr>
            <w:tcW w:w="240" w:type="dxa"/>
            <w:vAlign w:val="bottom"/>
            <w:tcBorders>
              <w:top w:val="single" w:sz="8" w:color="auto"/>
            </w:tcBorders>
            <w:shd w:val="clear" w:color="auto" w:fill="FEFEFE"/>
          </w:tcPr>
          <w:p>
            <w:pPr>
              <w:spacing w:after="0"/>
              <w:rPr>
                <w:sz w:val="18"/>
                <w:szCs w:val="18"/>
                <w:color w:val="auto"/>
              </w:rPr>
            </w:pPr>
          </w:p>
        </w:tc>
        <w:tc>
          <w:tcPr>
            <w:tcW w:w="880" w:type="dxa"/>
            <w:vAlign w:val="bottom"/>
            <w:tcBorders>
              <w:top w:val="single" w:sz="8" w:color="auto"/>
            </w:tcBorders>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40" w:type="dxa"/>
            <w:vAlign w:val="bottom"/>
            <w:tcBorders>
              <w:top w:val="single" w:sz="8" w:color="auto"/>
            </w:tcBorders>
            <w:shd w:val="clear" w:color="auto" w:fill="FEFEFE"/>
          </w:tcPr>
          <w:p>
            <w:pPr>
              <w:spacing w:after="0"/>
              <w:rPr>
                <w:sz w:val="18"/>
                <w:szCs w:val="18"/>
                <w:color w:val="auto"/>
              </w:rPr>
            </w:pPr>
          </w:p>
        </w:tc>
        <w:tc>
          <w:tcPr>
            <w:tcW w:w="880" w:type="dxa"/>
            <w:vAlign w:val="bottom"/>
            <w:tcBorders>
              <w:top w:val="single" w:sz="8" w:color="auto"/>
            </w:tcBorders>
            <w:shd w:val="clear" w:color="auto" w:fill="FEFEFE"/>
          </w:tcPr>
          <w:p>
            <w:pPr>
              <w:spacing w:after="0"/>
              <w:rPr>
                <w:sz w:val="18"/>
                <w:szCs w:val="18"/>
                <w:color w:val="auto"/>
              </w:rPr>
            </w:pPr>
          </w:p>
        </w:tc>
        <w:tc>
          <w:tcPr>
            <w:tcW w:w="20" w:type="dxa"/>
            <w:vAlign w:val="bottom"/>
            <w:tcBorders>
              <w:top w:val="single" w:sz="8" w:color="auto"/>
            </w:tcBorders>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Includes other income/(expense) of $1.2 and ($1.3) million for the years ended December 31, 2023 and 2022,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408-724-1498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IR@SoundHound.com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Fiona McEvoy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415-610-6590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PR@SoundHound.com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7"/>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Exhibit 99.2</w:t>
            </w:r>
          </w:p>
        </w:tc>
        <w:tc>
          <w:tcPr>
            <w:tcW w:w="0" w:type="dxa"/>
            <w:vAlign w:val="bottom"/>
          </w:tcPr>
          <w:p>
            <w:pPr>
              <w:spacing w:after="0"/>
              <w:rPr>
                <w:sz w:val="1"/>
                <w:szCs w:val="1"/>
                <w:color w:val="auto"/>
              </w:rPr>
            </w:pPr>
          </w:p>
        </w:tc>
      </w:tr>
      <w:tr>
        <w:trPr>
          <w:trHeight w:val="425"/>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$203 and $109 as of December 31, 2023 and 2022,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 and unbilled revenue,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113,542</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unbilled revenue, non-current,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7,041</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16,668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24,223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38,571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7,543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84,312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18,299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122,954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74,551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1,000,000 shares authorized; 475,005 and 0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aggregate liquidation preference of $16,227 and $— as of December 31, 2023 and December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14,187</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455,000,000 shares authorized; 216,943,349 and 160,297,664 shares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44,000,000 shares authorized; 37,485,408 and 39,735,408 shares issued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as of December 31, 2023 and 2022,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606,135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466,857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(592,379)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(503,442)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28,168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11,307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9,599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6,585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18,893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20,367</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4,240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51,439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76,392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59,178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28,285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30,443</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16,521</w:t>
            </w: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4,557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114,481</w:t>
            </w: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136,801</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86,524</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(68,608</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(17,570)</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(6,893)</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1,155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10"/>
        </w:trPr>
        <w:tc>
          <w:tcPr>
            <w:tcW w:w="73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(16,415</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(8,152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(13,757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3,914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2,889</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16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(2,774)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229,264,904</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157,317,695</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67,255,538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(88,937)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(116,713)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5,502</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27,931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28,792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3,346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3,189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gain/loss from remeasurement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(821)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(19,578)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4,266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(3,657)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(4,135)</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(7,646)</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2,131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2,946</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(68,265</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(94,019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(66,177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(1,329)</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Series A Preferred Stock, net of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24,942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common stock under the ELOC program, net of issuance cost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71,615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common stock under the Sales Agreement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12,412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 net of issuance costs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85,087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44,738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9,369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 and PIPE, net of transaction costs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90,689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(35,029)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(1,303)</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99,560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year</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9,475</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22,822</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year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95,260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9,245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13,775</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184"/>
        </w:trPr>
        <w:tc>
          <w:tcPr>
            <w:tcW w:w="7320" w:type="dxa"/>
            <w:vAlign w:val="bottom"/>
            <w:tcBorders>
              <w:top w:val="single" w:sz="8" w:color="CCEEFF"/>
            </w:tcBorders>
            <w:shd w:val="clear" w:color="auto" w:fill="CCEEFF"/>
          </w:tcPr>
          <w:p>
            <w:pPr>
              <w:ind w:left="500"/>
              <w:spacing w:after="0" w:line="184"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 in the consolidated</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109,035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9,475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22,822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7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Issuance of common stock to settle commitment shares related to the ELOC program</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ind w:left="340"/>
              <w:spacing w:after="0" w:line="198" w:lineRule="exact"/>
              <w:rPr>
                <w:sz w:val="20"/>
                <w:szCs w:val="20"/>
                <w:color w:val="auto"/>
              </w:rPr>
            </w:pPr>
            <w:r>
              <w:rPr>
                <w:rFonts w:ascii="Times New Roman" w:cs="Times New Roman" w:eastAsia="Times New Roman" w:hAnsi="Times New Roman"/>
                <w:sz w:val="18"/>
                <w:szCs w:val="18"/>
                <w:color w:val="auto"/>
              </w:rPr>
              <w:t>Conversion of redeemable convertible preferred stock to common stock pursuant to Business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Combination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279,503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Conversion of convertible note into common stock pursuant to Business Combination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Operating lease liabilities and right-of-use assets through adoption of ASC 842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Issues of series C redeemable convertible preferred stock for exercise of warrants</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Property and equipment acquired under finance leases or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lvl>
    <w:lvl w:ilvl="1">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2024-03-01T17:14:44Z</dcterms:created>
  <dcterms:modified xsi:type="dcterms:W3CDTF">2024-03-01T17:14:44Z</dcterms:modified>
</cp:coreProperties>
</file>