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60" w:type="dxa"/>
        <w:tblCellMar>
          <w:top w:w="0" w:type="dxa"/>
          <w:left w:w="0" w:type="dxa"/>
          <w:bottom w:w="0" w:type="dxa"/>
          <w:right w:w="0" w:type="dxa"/>
        </w:tblCellMar>
      </w:tblP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iovanni</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aruso</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w:t>
            </w:r>
          </w:p>
        </w:tc>
        <w:tc>
          <w:tcPr>
            <w:tcW w:w="22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Direct</w:t>
            </w:r>
            <w:r>
              <w:rPr>
                <w:rFonts w:ascii="Times New Roman" w:cs="Times New Roman" w:eastAsia="Times New Roman" w:hAnsi="Times New Roman"/>
                <w:sz w:val="18"/>
                <w:szCs w:val="18"/>
                <w:color w:val="auto"/>
                <w:w w:val="94"/>
              </w:rPr>
              <w:t>     212.407.4866</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345 Park Avenue</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Main</w:t>
            </w:r>
            <w:r>
              <w:rPr>
                <w:rFonts w:ascii="Times New Roman" w:cs="Times New Roman" w:eastAsia="Times New Roman" w:hAnsi="Times New Roman"/>
                <w:sz w:val="18"/>
                <w:szCs w:val="18"/>
                <w:color w:val="auto"/>
                <w:w w:val="94"/>
              </w:rPr>
              <w:t>       212.407.4000</w:t>
            </w:r>
          </w:p>
        </w:tc>
        <w:tc>
          <w:tcPr>
            <w:tcW w:w="0" w:type="dxa"/>
            <w:vAlign w:val="bottom"/>
          </w:tcPr>
          <w:p>
            <w:pPr>
              <w:spacing w:after="0"/>
              <w:rPr>
                <w:sz w:val="1"/>
                <w:szCs w:val="1"/>
                <w:color w:val="auto"/>
              </w:rPr>
            </w:pPr>
          </w:p>
        </w:tc>
      </w:t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NY 10154</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Fax</w:t>
            </w:r>
            <w:r>
              <w:rPr>
                <w:rFonts w:ascii="Times New Roman" w:cs="Times New Roman" w:eastAsia="Times New Roman" w:hAnsi="Times New Roman"/>
                <w:sz w:val="18"/>
                <w:szCs w:val="18"/>
                <w:color w:val="auto"/>
                <w:w w:val="95"/>
              </w:rPr>
              <w:t>          212.937.3943</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gcaruso@loeb.com</w:t>
            </w: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Via Edgar</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82296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Crispino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February 14,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333-262094</w:t>
      </w:r>
    </w:p>
    <w:p>
      <w:pPr>
        <w:spacing w:after="0" w:line="200" w:lineRule="exact"/>
        <w:rPr>
          <w:sz w:val="24"/>
          <w:szCs w:val="24"/>
          <w:color w:val="auto"/>
        </w:rPr>
      </w:pPr>
    </w:p>
    <w:p>
      <w:pPr>
        <w:sectPr>
          <w:pgSz w:w="11900" w:h="16838" w:orient="portrait"/>
          <w:cols w:equalWidth="0" w:num="2">
            <w:col w:w="280" w:space="380"/>
            <w:col w:w="10580"/>
          </w:cols>
          <w:pgMar w:left="320" w:top="46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 and Ms. Woo:</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our client,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ATSP</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this letter setting forth the Company’s response to the comments contained in the Staff’s letter dated March 3, 2022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xml:space="preserve">) regarding the Company’s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is today filing via EDGAR Amendment No. 2 to the Form S-4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which reflects the Company’s responses to the comments received from the Staff and certain updated information. For ease of reference, each comment contained in the Comment Letter is printed below and is followed by the Company’s response. All page references in the responses set forth below refer to the page numbers in the Registration Statement.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Registration Statement on Form S-4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Tax Consequences, page 120</w:t>
      </w:r>
    </w:p>
    <w:p>
      <w:pPr>
        <w:spacing w:after="0" w:line="225"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prior comment 14 and that the opinions filed as Exhibits 8.1 and 8.2 are short-form tax opinions. The short-form tax opinions and the tax disclosures in the prospectus both must clearly state that the disclosures in the tax consequences sections of the prospectus are the opinions of counsel. Refer to Section III.B.2 of Staff Legal Bulleting No. 19. Please revise the prospectus disclosure accordingly.</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pages 121, 122 and 125 of Amendment No. 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Company Overview, page 143</w:t>
      </w:r>
    </w:p>
    <w:p>
      <w:pPr>
        <w:spacing w:after="0" w:line="225" w:lineRule="exact"/>
        <w:rPr>
          <w:sz w:val="24"/>
          <w:szCs w:val="24"/>
          <w:color w:val="auto"/>
        </w:rPr>
      </w:pPr>
    </w:p>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revised disclosure in response to prior comment 33 indicating that monetization revenue was generated from the SoundHound music identification app. You also indicate in the response that this is the same monetization revenue stream discussed in the Information about SoundHound section and the Company Overview section of Management’s Discussion and Analysis. However, it appears that monetization revenue discussed in these sections relates to the revenue generated from services for generating leads and transactions on voice-enabled products from the voice-enabled services, which</w:t>
      </w:r>
    </w:p>
    <w:p>
      <w:pPr>
        <w:spacing w:after="0" w:line="2" w:lineRule="exact"/>
        <w:rPr>
          <w:rFonts w:ascii="Times New Roman" w:cs="Times New Roman" w:eastAsia="Times New Roman" w:hAnsi="Times New Roman"/>
          <w:sz w:val="18"/>
          <w:szCs w:val="18"/>
          <w:b w:val="1"/>
          <w:bCs w:val="1"/>
          <w:color w:val="auto"/>
        </w:rPr>
      </w:pPr>
    </w:p>
    <w:p>
      <w:pPr>
        <w:jc w:val="both"/>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will share with the voice-enabled product creators. Please revise your discussions on pages 136 and 145 to indicate the amount of revenue, if any, that you have generated in each of the periods presented from monetization revenue, unrelated to your SoundHound music identification app.</w:t>
      </w:r>
    </w:p>
    <w:p>
      <w:pPr>
        <w:spacing w:after="0" w:line="181"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discussion on monetization revenue has been clarified in the Information about SoundHound section on page 137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Overview section of Management’s Discussion and Analysis on page 146 of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Factors Affecting Our Operating Results, page 147</w:t>
      </w:r>
    </w:p>
    <w:p>
      <w:pPr>
        <w:spacing w:after="0" w:line="225" w:lineRule="exact"/>
        <w:rPr>
          <w:sz w:val="20"/>
          <w:szCs w:val="20"/>
          <w:color w:val="auto"/>
        </w:rPr>
      </w:pPr>
    </w:p>
    <w:p>
      <w:pPr>
        <w:jc w:val="both"/>
        <w:ind w:left="660" w:hanging="652"/>
        <w:spacing w:after="0" w:line="259"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revised disclosure in response to prior comment 17 indicating the amount of renewable revenue in all periods presented is at least 90%. Please further explain how this percentage was computed. In this regard, we note from your discussion of the change in revenue in the nine months ended September 30, 2021 compared to the nine months ended September 30, 2020 on page 51 that $4.3 million of the increase in revenue related to a one-time contract modification to end a distinct professional service contract prior to completion and $0.7 million of the increase in revenue related to the completion of distinct professional services.</w:t>
      </w:r>
    </w:p>
    <w:p>
      <w:pPr>
        <w:spacing w:after="0" w:line="179"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discussion in the Factors Affecting Our Operating Results on page 148 of Amendment No. 2 has been clarified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Staff’s comment.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page 150</w:t>
      </w:r>
    </w:p>
    <w:p>
      <w:pPr>
        <w:spacing w:after="0" w:line="225" w:lineRule="exact"/>
        <w:rPr>
          <w:sz w:val="20"/>
          <w:szCs w:val="20"/>
          <w:color w:val="auto"/>
        </w:rPr>
      </w:pPr>
    </w:p>
    <w:p>
      <w:pPr>
        <w:jc w:val="both"/>
        <w:ind w:left="660" w:hanging="652"/>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discussion of the change in revenue in the nine months ended September 30, 2021 and 2020, you indicate that $4.3 million of the increase was due to a one-time contract modification to end a distinct professional service contract prior to completion. Please explain the factors offsetting the increase in distinct professional services, as we note from your disclosure on page F-123 that professional services revenue only increased by $3.0 million.</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factors in the Results of Operations have been clarified on page 151 of Amendment No. 2 in response to the Staff’s comment.</w:t>
      </w:r>
    </w:p>
    <w:p>
      <w:pPr>
        <w:spacing w:after="0" w:line="225"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revised disclosure in response to prior comment 19 in your discussion of the comparison of revenue in the nine months ended September 30, 2021 and 2020. Please also address the reasons for changes in revenue by geographic location in your comparison of fiscal 2020 and fiscal 2019.</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reasons for changes in revenue by geographic location have been included for all periods presented on pages 152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in response to the Staff’s comment.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Used in Operating Activities, page 157</w:t>
      </w:r>
    </w:p>
    <w:p>
      <w:pPr>
        <w:spacing w:after="0" w:line="225"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further revise your disclosure in response to prior comment 21 to address the decrease in deferred revenue as a result of the modification of certain contracts that reduced the scope of the Company’s performance obligations, as noted from your disclosure on page F-124.</w:t>
      </w:r>
    </w:p>
    <w:p>
      <w:pPr>
        <w:spacing w:after="0" w:line="170"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discussion on the decrease in deferred revenue has been revised on pages F-44 and 156 of management’s discussion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liquidity and capital resources in Amendment No. 2 in response to the Staff’s comment.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 page 160</w:t>
      </w:r>
    </w:p>
    <w:p>
      <w:pPr>
        <w:spacing w:after="0" w:line="225" w:lineRule="exact"/>
        <w:rPr>
          <w:sz w:val="20"/>
          <w:szCs w:val="20"/>
          <w:color w:val="auto"/>
        </w:rPr>
      </w:pPr>
    </w:p>
    <w:p>
      <w:pPr>
        <w:jc w:val="both"/>
        <w:ind w:left="660" w:hanging="652"/>
        <w:spacing w:after="0" w:line="26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response to prior comment 22, you indicate that there is no impact on the classification related to changes in terms of the warrants to purchase Series C preferred stock. Please tell us what consideration you gave to giving effect to the Series C warrants being fully exercised for the Series C preferred stock that will convert into shares of SoundHound common stock immediately prior to effectiveness. Refer to Rule 11-01(a) of Regulation S-X.</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All of the Series C warrants were fully exercised for Series C preferred stock in December of 2021, which is reflected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Pro Forma Financial Information contained in this Amendment No. 2 (which has been updated to be as of December 31, 2021). There are no longer any outstanding Series C warrants.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Consolidated Financial Statements Note 2. Revenue Recognition, page F-121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which sources of revenue you have included in the over time revenue and point-in-time revenue disclosed on page F-123 and reconcile to your disclosures elsewhere. In this regard, we note your disclosure on page F-122 that $5,803 and $1,333 of professional services revenue during the nine months ended September 30, 2021 and 2020, respectively, was recognized at a point in time and monetization revenue is recognized at a point in time when the advertisements are placed.</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disclosure on page F-43 of Amendment No. 2 has been revised to include additional policy descriptions and disclosures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reconcile point-in-time and over time revenue in response to the Staff’s comment.</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revised disclosure in response to prior comment 33 indicating that monetization revenue was generated from the SoundHound music identification app. Explain why your disclosure on page F-124 indicates that revenue from monetization is generated from Houndified Ads and is largely transaction based, consisting of focused ad targeting to users of Houndified Products accessing Houndified Services. Revise to clarify, accordingly.</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disclosure on page F-42 of Amendment No. 2 has been revised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Convertible Notes and Notes Payable, page F-126</w:t>
      </w:r>
    </w:p>
    <w:p>
      <w:pPr>
        <w:spacing w:after="0" w:line="225" w:lineRule="exact"/>
        <w:rPr>
          <w:sz w:val="20"/>
          <w:szCs w:val="20"/>
          <w:color w:val="auto"/>
        </w:rPr>
      </w:pPr>
    </w:p>
    <w:p>
      <w:pPr>
        <w:ind w:left="66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of the maturity of your convertible notes and notes payable throughout your filing to ensure the disclosures are consistent with the terms in your response to prior comment 39.</w:t>
      </w:r>
    </w:p>
    <w:p>
      <w:pPr>
        <w:spacing w:after="0" w:line="154" w:lineRule="exact"/>
        <w:rPr>
          <w:rFonts w:ascii="Times New Roman" w:cs="Times New Roman" w:eastAsia="Times New Roman" w:hAnsi="Times New Roman"/>
          <w:sz w:val="18"/>
          <w:szCs w:val="18"/>
          <w:b w:val="1"/>
          <w:bCs w:val="1"/>
          <w:color w:val="auto"/>
        </w:rPr>
      </w:pPr>
    </w:p>
    <w:p>
      <w:pPr>
        <w:ind w:left="660" w:right="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disclosure throughout the notes to SoundHound’s financial statements have been revised to include SoundHound’s assessment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maturity dates for SoundHound’s debt instruments, consistent with the response to prior comment 39.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Net Loss Per Share, page F-137</w:t>
      </w:r>
    </w:p>
    <w:p>
      <w:pPr>
        <w:spacing w:after="0" w:line="225" w:lineRule="exact"/>
        <w:rPr>
          <w:sz w:val="20"/>
          <w:szCs w:val="20"/>
          <w:color w:val="auto"/>
        </w:rPr>
      </w:pPr>
    </w:p>
    <w:p>
      <w:pPr>
        <w:ind w:left="660" w:hanging="652"/>
        <w:spacing w:after="0" w:line="286"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included the number of Series C convertible preferred stock warrants outstanding in the table in response to prior comment 40. Revise to also include the warrants in the total amount accordingly.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table on page F-62 of Amendment No. 2 has been revised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Giovanni Caruso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8"/>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2022-05-08T21:45:25Z</dcterms:created>
  <dcterms:modified xsi:type="dcterms:W3CDTF">2022-05-08T21:45:25Z</dcterms:modified>
</cp:coreProperties>
</file>