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8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7047230" cy="5006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500634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HOM JAMES MING</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840" w:type="dxa"/>
            <w:vAlign w:val="bottom"/>
          </w:tcPr>
          <w:p>
            <w:pPr>
              <w:ind w:left="40"/>
              <w:spacing w:after="0"/>
              <w:rPr>
                <w:sz w:val="20"/>
                <w:szCs w:val="20"/>
                <w:color w:val="auto"/>
              </w:rPr>
            </w:pPr>
            <w:r>
              <w:rPr>
                <w:rFonts w:ascii="Arial" w:cs="Arial" w:eastAsia="Arial" w:hAnsi="Arial"/>
                <w:sz w:val="13"/>
                <w:szCs w:val="13"/>
                <w:color w:val="auto"/>
              </w:rPr>
              <w:t>(Last)</w:t>
            </w:r>
          </w:p>
        </w:tc>
        <w:tc>
          <w:tcPr>
            <w:tcW w:w="1480" w:type="dxa"/>
            <w:vAlign w:val="bottom"/>
          </w:tcPr>
          <w:p>
            <w:pPr>
              <w:ind w:left="420"/>
              <w:spacing w:after="0"/>
              <w:rPr>
                <w:sz w:val="20"/>
                <w:szCs w:val="20"/>
                <w:color w:val="auto"/>
              </w:rPr>
            </w:pPr>
            <w:r>
              <w:rPr>
                <w:rFonts w:ascii="Arial" w:cs="Arial" w:eastAsia="Arial" w:hAnsi="Arial"/>
                <w:sz w:val="13"/>
                <w:szCs w:val="13"/>
                <w:color w:val="auto"/>
              </w:rPr>
              <w:t>(First)</w:t>
            </w:r>
          </w:p>
        </w:tc>
        <w:tc>
          <w:tcPr>
            <w:tcW w:w="620" w:type="dxa"/>
            <w:vAlign w:val="bottom"/>
          </w:tcPr>
          <w:p>
            <w:pPr>
              <w:ind w:left="160"/>
              <w:spacing w:after="0"/>
              <w:rPr>
                <w:sz w:val="20"/>
                <w:szCs w:val="20"/>
                <w:color w:val="auto"/>
              </w:rPr>
            </w:pPr>
            <w:r>
              <w:rPr>
                <w:rFonts w:ascii="Arial" w:cs="Arial" w:eastAsia="Arial" w:hAnsi="Arial"/>
                <w:sz w:val="13"/>
                <w:szCs w:val="13"/>
                <w:color w:val="auto"/>
                <w:w w:val="93"/>
              </w:rPr>
              <w:t>(Middle)</w:t>
            </w:r>
          </w:p>
        </w:tc>
      </w:tr>
      <w:tr>
        <w:trPr>
          <w:trHeight w:val="265"/>
        </w:trPr>
        <w:tc>
          <w:tcPr>
            <w:tcW w:w="23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C/O SOUNDHOUND AI, INC.</w:t>
            </w:r>
          </w:p>
        </w:tc>
        <w:tc>
          <w:tcPr>
            <w:tcW w:w="620" w:type="dxa"/>
            <w:vAlign w:val="bottom"/>
          </w:tcPr>
          <w:p>
            <w:pPr>
              <w:spacing w:after="0"/>
              <w:rPr>
                <w:sz w:val="23"/>
                <w:szCs w:val="23"/>
                <w:color w:val="auto"/>
              </w:rPr>
            </w:pPr>
          </w:p>
        </w:tc>
      </w:tr>
      <w:tr>
        <w:trPr>
          <w:trHeight w:val="255"/>
        </w:trPr>
        <w:tc>
          <w:tcPr>
            <w:tcW w:w="23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5400 BETSY ROSS DRIVE</w:t>
            </w:r>
          </w:p>
        </w:tc>
        <w:tc>
          <w:tcPr>
            <w:tcW w:w="620" w:type="dxa"/>
            <w:vAlign w:val="bottom"/>
          </w:tcPr>
          <w:p>
            <w:pPr>
              <w:spacing w:after="0"/>
              <w:rPr>
                <w:sz w:val="22"/>
                <w:szCs w:val="22"/>
                <w:color w:val="auto"/>
              </w:rPr>
            </w:pPr>
          </w:p>
        </w:tc>
      </w:tr>
      <w:tr>
        <w:trPr>
          <w:trHeight w:val="423"/>
        </w:trPr>
        <w:tc>
          <w:tcPr>
            <w:tcW w:w="840" w:type="dxa"/>
            <w:vAlign w:val="bottom"/>
          </w:tcPr>
          <w:p>
            <w:pPr>
              <w:spacing w:after="0"/>
              <w:rPr>
                <w:sz w:val="20"/>
                <w:szCs w:val="20"/>
                <w:color w:val="auto"/>
              </w:rPr>
            </w:pPr>
            <w:r>
              <w:rPr>
                <w:rFonts w:ascii="Arial" w:cs="Arial" w:eastAsia="Arial" w:hAnsi="Arial"/>
                <w:sz w:val="13"/>
                <w:szCs w:val="13"/>
                <w:color w:val="auto"/>
              </w:rPr>
              <w:t>(Street)</w:t>
            </w:r>
          </w:p>
        </w:tc>
        <w:tc>
          <w:tcPr>
            <w:tcW w:w="14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26"/>
        </w:trPr>
        <w:tc>
          <w:tcPr>
            <w:tcW w:w="23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SANTA CLARA CA</w:t>
            </w:r>
          </w:p>
        </w:tc>
        <w:tc>
          <w:tcPr>
            <w:tcW w:w="62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95054</w:t>
            </w:r>
          </w:p>
        </w:tc>
      </w:tr>
      <w:tr>
        <w:trPr>
          <w:trHeight w:val="461"/>
        </w:trPr>
        <w:tc>
          <w:tcPr>
            <w:tcW w:w="840" w:type="dxa"/>
            <w:vAlign w:val="bottom"/>
          </w:tcPr>
          <w:p>
            <w:pPr>
              <w:ind w:left="40"/>
              <w:spacing w:after="0"/>
              <w:rPr>
                <w:sz w:val="20"/>
                <w:szCs w:val="20"/>
                <w:color w:val="auto"/>
              </w:rPr>
            </w:pPr>
            <w:r>
              <w:rPr>
                <w:rFonts w:ascii="Arial" w:cs="Arial" w:eastAsia="Arial" w:hAnsi="Arial"/>
                <w:sz w:val="13"/>
                <w:szCs w:val="13"/>
                <w:color w:val="auto"/>
              </w:rPr>
              <w:t>(City)</w:t>
            </w:r>
          </w:p>
        </w:tc>
        <w:tc>
          <w:tcPr>
            <w:tcW w:w="1480" w:type="dxa"/>
            <w:vAlign w:val="bottom"/>
          </w:tcPr>
          <w:p>
            <w:pPr>
              <w:ind w:left="420"/>
              <w:spacing w:after="0"/>
              <w:rPr>
                <w:sz w:val="20"/>
                <w:szCs w:val="20"/>
                <w:color w:val="auto"/>
              </w:rPr>
            </w:pPr>
            <w:r>
              <w:rPr>
                <w:rFonts w:ascii="Arial" w:cs="Arial" w:eastAsia="Arial" w:hAnsi="Arial"/>
                <w:sz w:val="13"/>
                <w:szCs w:val="13"/>
                <w:color w:val="auto"/>
              </w:rPr>
              <w:t>(State)</w:t>
            </w:r>
          </w:p>
        </w:tc>
        <w:tc>
          <w:tcPr>
            <w:tcW w:w="620" w:type="dxa"/>
            <w:vAlign w:val="bottom"/>
          </w:tcPr>
          <w:p>
            <w:pPr>
              <w:ind w:left="1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8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SOUNDHOUND AI,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SOUN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80" w:type="dxa"/>
            <w:vAlign w:val="bottom"/>
            <w:tcBorders>
              <w:bottom w:val="single" w:sz="8" w:color="0000EE"/>
            </w:tcBorders>
          </w:tcPr>
          <w:p>
            <w:pPr>
              <w:spacing w:after="0"/>
              <w:rPr>
                <w:sz w:val="3"/>
                <w:szCs w:val="3"/>
                <w:color w:val="auto"/>
              </w:rPr>
            </w:pPr>
          </w:p>
        </w:tc>
        <w:tc>
          <w:tcPr>
            <w:tcW w:w="1560" w:type="dxa"/>
            <w:vAlign w:val="bottom"/>
          </w:tcPr>
          <w:p>
            <w:pPr>
              <w:spacing w:after="0"/>
              <w:rPr>
                <w:sz w:val="3"/>
                <w:szCs w:val="3"/>
                <w:color w:val="auto"/>
              </w:rPr>
            </w:pPr>
          </w:p>
        </w:tc>
        <w:tc>
          <w:tcPr>
            <w:tcW w:w="18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0"/>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28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03/11/2024</w:t>
            </w:r>
          </w:p>
        </w:tc>
        <w:tc>
          <w:tcPr>
            <w:tcW w:w="1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280" w:type="dxa"/>
            <w:vAlign w:val="bottom"/>
            <w:gridSpan w:val="3"/>
            <w:vMerge w:val="continue"/>
          </w:tcPr>
          <w:p>
            <w:pPr>
              <w:spacing w:after="0"/>
              <w:rPr>
                <w:sz w:val="10"/>
                <w:szCs w:val="10"/>
                <w:color w:val="auto"/>
              </w:rPr>
            </w:pPr>
          </w:p>
        </w:tc>
        <w:tc>
          <w:tcPr>
            <w:tcW w:w="1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7"/>
                <w:szCs w:val="17"/>
                <w:color w:val="0000FF"/>
              </w:rPr>
              <w:t>Chief Product Officer</w:t>
            </w:r>
          </w:p>
        </w:tc>
        <w:tc>
          <w:tcPr>
            <w:tcW w:w="0" w:type="dxa"/>
            <w:vAlign w:val="bottom"/>
          </w:tcPr>
          <w:p>
            <w:pPr>
              <w:spacing w:after="0"/>
              <w:rPr>
                <w:sz w:val="1"/>
                <w:szCs w:val="1"/>
                <w:color w:val="auto"/>
              </w:rPr>
            </w:pPr>
          </w:p>
        </w:tc>
      </w:tr>
      <w:tr>
        <w:trPr>
          <w:trHeight w:val="115"/>
        </w:trPr>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tcPr>
          <w:p>
            <w:pPr>
              <w:spacing w:after="0"/>
              <w:rPr>
                <w:sz w:val="8"/>
                <w:szCs w:val="8"/>
                <w:color w:val="auto"/>
              </w:rPr>
            </w:pPr>
          </w:p>
        </w:tc>
        <w:tc>
          <w:tcPr>
            <w:tcW w:w="156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1" w:lineRule="exact"/>
        <w:rPr>
          <w:sz w:val="24"/>
          <w:szCs w:val="24"/>
          <w:color w:val="auto"/>
        </w:rPr>
      </w:pPr>
    </w:p>
    <w:p>
      <w:pPr>
        <w:ind w:left="8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60" w:right="340" w:hanging="238"/>
        <w:spacing w:after="0" w:line="180" w:lineRule="auto"/>
        <w:tabs>
          <w:tab w:leader="none" w:pos="36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4"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84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right"/>
              <w:ind w:right="54"/>
              <w:spacing w:after="0"/>
              <w:rPr>
                <w:sz w:val="20"/>
                <w:szCs w:val="20"/>
                <w:color w:val="auto"/>
              </w:rPr>
            </w:pPr>
            <w:r>
              <w:rPr>
                <w:rFonts w:ascii="Times New Roman" w:cs="Times New Roman" w:eastAsia="Times New Roman" w:hAnsi="Times New Roman"/>
                <w:sz w:val="17"/>
                <w:szCs w:val="17"/>
                <w:color w:val="0000FF"/>
              </w:rPr>
              <w:t>50,416</w:t>
            </w:r>
          </w:p>
        </w:tc>
        <w:tc>
          <w:tcPr>
            <w:tcW w:w="680" w:type="dxa"/>
            <w:vAlign w:val="bottom"/>
            <w:vMerge w:val="restart"/>
          </w:tcPr>
          <w:p>
            <w:pPr>
              <w:jc w:val="center"/>
              <w:ind w:right="2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5.972</w:t>
            </w:r>
            <w:r>
              <w:rPr>
                <w:rFonts w:ascii="Times New Roman" w:cs="Times New Roman" w:eastAsia="Times New Roman" w:hAnsi="Times New Roman"/>
                <w:sz w:val="21"/>
                <w:szCs w:val="21"/>
                <w:color w:val="008000"/>
                <w:vertAlign w:val="superscript"/>
              </w:rPr>
              <w:t>(3)</w:t>
            </w: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1080" w:type="dxa"/>
            <w:vAlign w:val="bottom"/>
          </w:tcPr>
          <w:p>
            <w:pPr>
              <w:jc w:val="right"/>
              <w:ind w:right="200"/>
              <w:spacing w:after="0" w:line="141" w:lineRule="exact"/>
              <w:rPr>
                <w:sz w:val="20"/>
                <w:szCs w:val="20"/>
                <w:color w:val="auto"/>
              </w:rPr>
            </w:pPr>
            <w:r>
              <w:rPr>
                <w:rFonts w:ascii="Times New Roman" w:cs="Times New Roman" w:eastAsia="Times New Roman" w:hAnsi="Times New Roman"/>
                <w:sz w:val="13"/>
                <w:szCs w:val="13"/>
                <w:color w:val="0000FF"/>
              </w:rPr>
              <w:t>03/11/2024</w:t>
            </w:r>
          </w:p>
        </w:tc>
        <w:tc>
          <w:tcPr>
            <w:tcW w:w="10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40" w:type="dxa"/>
            <w:vAlign w:val="bottom"/>
          </w:tcPr>
          <w:p>
            <w:pPr>
              <w:jc w:val="right"/>
              <w:ind w:right="41"/>
              <w:spacing w:after="0" w:line="141" w:lineRule="exact"/>
              <w:rPr>
                <w:sz w:val="20"/>
                <w:szCs w:val="20"/>
                <w:color w:val="auto"/>
              </w:rPr>
            </w:pPr>
            <w:r>
              <w:rPr>
                <w:rFonts w:ascii="Times New Roman" w:cs="Times New Roman" w:eastAsia="Times New Roman" w:hAnsi="Times New Roman"/>
                <w:sz w:val="13"/>
                <w:szCs w:val="13"/>
                <w:color w:val="0000FF"/>
              </w:rPr>
              <w:t>50,416</w:t>
            </w: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20" w:type="dxa"/>
            <w:vAlign w:val="bottom"/>
          </w:tcPr>
          <w:p>
            <w:pPr>
              <w:ind w:left="200"/>
              <w:spacing w:after="0" w:line="141" w:lineRule="exact"/>
              <w:rPr>
                <w:sz w:val="20"/>
                <w:szCs w:val="20"/>
                <w:color w:val="auto"/>
              </w:rPr>
            </w:pPr>
            <w:r>
              <w:rPr>
                <w:rFonts w:ascii="Times New Roman" w:cs="Times New Roman" w:eastAsia="Times New Roman" w:hAnsi="Times New Roman"/>
                <w:sz w:val="13"/>
                <w:szCs w:val="13"/>
                <w:color w:val="0000FF"/>
              </w:rPr>
              <w:t>2,162,172</w:t>
            </w:r>
          </w:p>
        </w:tc>
        <w:tc>
          <w:tcPr>
            <w:tcW w:w="72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84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right"/>
              <w:ind w:right="14"/>
              <w:spacing w:after="0"/>
              <w:rPr>
                <w:sz w:val="20"/>
                <w:szCs w:val="20"/>
                <w:color w:val="auto"/>
              </w:rPr>
            </w:pPr>
            <w:r>
              <w:rPr>
                <w:rFonts w:ascii="Times New Roman" w:cs="Times New Roman" w:eastAsia="Times New Roman" w:hAnsi="Times New Roman"/>
                <w:sz w:val="17"/>
                <w:szCs w:val="17"/>
                <w:color w:val="0000FF"/>
                <w:w w:val="94"/>
              </w:rPr>
              <w:t>200,000</w:t>
            </w:r>
          </w:p>
        </w:tc>
        <w:tc>
          <w:tcPr>
            <w:tcW w:w="680" w:type="dxa"/>
            <w:vAlign w:val="bottom"/>
            <w:vMerge w:val="restart"/>
          </w:tcPr>
          <w:p>
            <w:pPr>
              <w:jc w:val="center"/>
              <w:ind w:right="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8.0089</w:t>
            </w:r>
            <w:r>
              <w:rPr>
                <w:rFonts w:ascii="Times New Roman" w:cs="Times New Roman" w:eastAsia="Times New Roman" w:hAnsi="Times New Roman"/>
                <w:sz w:val="21"/>
                <w:szCs w:val="21"/>
                <w:color w:val="008000"/>
                <w:vertAlign w:val="superscript"/>
              </w:rPr>
              <w:t>(4)</w:t>
            </w: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1080" w:type="dxa"/>
            <w:vAlign w:val="bottom"/>
          </w:tcPr>
          <w:p>
            <w:pPr>
              <w:jc w:val="right"/>
              <w:ind w:right="180"/>
              <w:spacing w:after="0" w:line="141" w:lineRule="exact"/>
              <w:rPr>
                <w:sz w:val="20"/>
                <w:szCs w:val="20"/>
                <w:color w:val="auto"/>
              </w:rPr>
            </w:pPr>
            <w:r>
              <w:rPr>
                <w:rFonts w:ascii="Times New Roman" w:cs="Times New Roman" w:eastAsia="Times New Roman" w:hAnsi="Times New Roman"/>
                <w:sz w:val="13"/>
                <w:szCs w:val="13"/>
                <w:color w:val="0000FF"/>
              </w:rPr>
              <w:t>03/13/2024</w:t>
            </w:r>
          </w:p>
        </w:tc>
        <w:tc>
          <w:tcPr>
            <w:tcW w:w="10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40" w:type="dxa"/>
            <w:vAlign w:val="bottom"/>
          </w:tcPr>
          <w:p>
            <w:pPr>
              <w:jc w:val="right"/>
              <w:ind w:right="1"/>
              <w:spacing w:after="0" w:line="141" w:lineRule="exact"/>
              <w:rPr>
                <w:sz w:val="20"/>
                <w:szCs w:val="20"/>
                <w:color w:val="auto"/>
              </w:rPr>
            </w:pPr>
            <w:r>
              <w:rPr>
                <w:rFonts w:ascii="Times New Roman" w:cs="Times New Roman" w:eastAsia="Times New Roman" w:hAnsi="Times New Roman"/>
                <w:sz w:val="13"/>
                <w:szCs w:val="13"/>
                <w:color w:val="0000FF"/>
              </w:rPr>
              <w:t>200,000</w:t>
            </w: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20" w:type="dxa"/>
            <w:vAlign w:val="bottom"/>
          </w:tcPr>
          <w:p>
            <w:pPr>
              <w:ind w:left="200"/>
              <w:spacing w:after="0" w:line="141" w:lineRule="exact"/>
              <w:rPr>
                <w:sz w:val="20"/>
                <w:szCs w:val="20"/>
                <w:color w:val="auto"/>
              </w:rPr>
            </w:pPr>
            <w:r>
              <w:rPr>
                <w:rFonts w:ascii="Times New Roman" w:cs="Times New Roman" w:eastAsia="Times New Roman" w:hAnsi="Times New Roman"/>
                <w:sz w:val="13"/>
                <w:szCs w:val="13"/>
                <w:color w:val="0000FF"/>
              </w:rPr>
              <w:t>1,962,172</w:t>
            </w:r>
          </w:p>
        </w:tc>
        <w:tc>
          <w:tcPr>
            <w:tcW w:w="72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58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into one share of Class A Common Stock at any time at the option of the reporting person or automatically or on the earliest to occur of certain events specified. The Class B Common Stock has no expiration date.</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in December 2023.</w:t>
      </w:r>
    </w:p>
    <w:p>
      <w:pPr>
        <w:spacing w:after="0" w:line="41" w:lineRule="exact"/>
        <w:rPr>
          <w:rFonts w:ascii="Times New Roman" w:cs="Times New Roman" w:eastAsia="Times New Roman" w:hAnsi="Times New Roman"/>
          <w:sz w:val="13"/>
          <w:szCs w:val="13"/>
          <w:color w:val="008000"/>
        </w:rPr>
      </w:pPr>
    </w:p>
    <w:p>
      <w:pPr>
        <w:ind w:left="40" w:right="40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11, 2024, a 10b5-1 transaction executed and sold 50,416 shares of this reporting person's Class B Common Stock, resulting in the automatic conversion of such shares into Class A Common Stock upon execution of the sale. This transaction was executed in multiple trades during the day at prices ranging from $5.69 to $6.25. The weighted-average price is reported above. The reporting person hereby undertakes to provide upon request to the SEC staff, the issuer or a security holder of the issuer full information regarding the number of shares and prices at which the transactions were effected.</w:t>
      </w:r>
    </w:p>
    <w:p>
      <w:pPr>
        <w:spacing w:after="0" w:line="26" w:lineRule="exact"/>
        <w:rPr>
          <w:rFonts w:ascii="Times New Roman" w:cs="Times New Roman" w:eastAsia="Times New Roman" w:hAnsi="Times New Roman"/>
          <w:sz w:val="13"/>
          <w:szCs w:val="13"/>
          <w:color w:val="008000"/>
        </w:rPr>
      </w:pPr>
    </w:p>
    <w:p>
      <w:pPr>
        <w:ind w:left="40" w:right="32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13, 2024, a 10b5-1 transaction executed and sold 200,000 shares of this reporting person's Class B Common Stock, resulting in the automatic conversion of such shares into Class A Common Stock upon execution of the sale. This transaction was executed in multiple trades during the day at prices ranging from $8.00 to $8.06. The weighted-average price is reported above. The reporting person hereby undertakes to provide upon request to the SEC staff, the issuer or a security holder of the issuer full information regarding the number of shares and prices at which the transactions were effected.</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18" w:lineRule="auto"/>
        <w:rPr>
          <w:sz w:val="20"/>
          <w:szCs w:val="20"/>
          <w:color w:val="auto"/>
        </w:rPr>
      </w:pPr>
      <w:r>
        <w:rPr>
          <w:rFonts w:ascii="Times New Roman" w:cs="Times New Roman" w:eastAsia="Times New Roman" w:hAnsi="Times New Roman"/>
          <w:sz w:val="17"/>
          <w:szCs w:val="17"/>
          <w:color w:val="0000FF"/>
        </w:rPr>
        <w:t xml:space="preserve">/s /Warren Heit, attorney-in-fact </w:t>
      </w:r>
      <w:r>
        <w:rPr>
          <w:rFonts w:ascii="Times New Roman" w:cs="Times New Roman" w:eastAsia="Times New Roman" w:hAnsi="Times New Roman"/>
          <w:sz w:val="33"/>
          <w:szCs w:val="33"/>
          <w:color w:val="0000FF"/>
          <w:vertAlign w:val="subscript"/>
        </w:rPr>
        <w:t>03/13/2024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455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for HOM JAMES MING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-21590</wp:posOffset>
            </wp:positionV>
            <wp:extent cx="10598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59815"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-86360</wp:posOffset>
            </wp:positionV>
            <wp:extent cx="4787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2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ind w:right="3839"/>
        <w:spacing w:after="0" w:line="250" w:lineRule="auto"/>
        <w:rPr>
          <w:sz w:val="20"/>
          <w:szCs w:val="20"/>
          <w:color w:val="auto"/>
        </w:rPr>
      </w:pPr>
      <w:r>
        <w:rPr>
          <w:rFonts w:ascii="Courier New" w:cs="Courier New" w:eastAsia="Courier New" w:hAnsi="Courier New"/>
          <w:sz w:val="17"/>
          <w:szCs w:val="17"/>
          <w:color w:val="auto"/>
        </w:rPr>
        <w:t>LIMITED POWER OF ATTORNEY FOR REPORTING UNDER SECTION 16(a) OF THE SECURITIES EXCHANGE ACT OF 1934, AS AMENDED SOUNDHOUND AI,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HOM JAMES MING - CIK # 0001920481</w:t>
      </w:r>
    </w:p>
    <w:p>
      <w:pPr>
        <w:spacing w:after="0" w:line="159" w:lineRule="exact"/>
        <w:rPr>
          <w:sz w:val="20"/>
          <w:szCs w:val="20"/>
          <w:color w:val="auto"/>
        </w:rPr>
      </w:pPr>
    </w:p>
    <w:p>
      <w:pPr>
        <w:ind w:right="3839" w:firstLine="497"/>
        <w:spacing w:after="0" w:line="247"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spacing w:after="0" w:line="1" w:lineRule="exact"/>
        <w:rPr>
          <w:sz w:val="20"/>
          <w:szCs w:val="20"/>
          <w:color w:val="auto"/>
        </w:rPr>
      </w:pPr>
    </w:p>
    <w:p>
      <w:pPr>
        <w:ind w:right="3839" w:firstLine="498"/>
        <w:spacing w:after="0" w:line="252" w:lineRule="auto"/>
        <w:tabs>
          <w:tab w:leader="none" w:pos="89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any Form 3, 4, or 5 in accordance with Section 16(a) of the Securities Exchange Act of 1934, as amended, and the rules thereunder;</w:t>
      </w:r>
    </w:p>
    <w:p>
      <w:pPr>
        <w:spacing w:after="0" w:line="2" w:lineRule="exact"/>
        <w:rPr>
          <w:rFonts w:ascii="Courier New" w:cs="Courier New" w:eastAsia="Courier New" w:hAnsi="Courier New"/>
          <w:sz w:val="16"/>
          <w:szCs w:val="16"/>
          <w:color w:val="auto"/>
        </w:rPr>
      </w:pPr>
    </w:p>
    <w:p>
      <w:pPr>
        <w:ind w:right="3339" w:firstLine="498"/>
        <w:spacing w:after="0" w:line="238" w:lineRule="auto"/>
        <w:tabs>
          <w:tab w:leader="none" w:pos="89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ind w:right="3239" w:firstLine="498"/>
        <w:spacing w:after="0" w:line="238" w:lineRule="auto"/>
        <w:tabs>
          <w:tab w:leader="none" w:pos="89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3139" w:firstLine="497"/>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3039"/>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839" w:firstLine="497"/>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539" w:firstLine="497"/>
        <w:spacing w:after="0" w:line="30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4 day of May, 2022.</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James Ming Hom</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rPr>
          <w:sz w:val="20"/>
          <w:szCs w:val="20"/>
          <w:color w:val="auto"/>
        </w:rPr>
      </w:pPr>
      <w:r>
        <w:rPr>
          <w:rFonts w:ascii="Courier New" w:cs="Courier New" w:eastAsia="Courier New" w:hAnsi="Courier New"/>
          <w:sz w:val="17"/>
          <w:szCs w:val="17"/>
          <w:color w:val="auto"/>
        </w:rPr>
        <w:t>Signature</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James Ming Hom</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920481"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2024-03-13T17:42:29Z</dcterms:created>
  <dcterms:modified xsi:type="dcterms:W3CDTF">2024-03-13T17:42:29Z</dcterms:modified>
</cp:coreProperties>
</file>