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Times New Roman;Times;Serif" w:hAnsi="Times New Roman;Times;Serif"/>
          <w:b/>
          <w:i w:val="false"/>
          <w:caps w:val="false"/>
          <w:smallCaps w:val="false"/>
          <w:sz w:val="20"/>
        </w:rPr>
      </w:pPr>
      <w:bookmarkStart w:id="0" w:name="ea0304524-424b7_soundhound.htm"/>
      <w:bookmarkStart w:id="1" w:name="ksea0304524424b7_soundhound"/>
      <w:bookmarkEnd w:id="0"/>
      <w:bookmarkEnd w:id="1"/>
      <w:r>
        <w:rPr>
          <w:rFonts w:ascii="Times New Roman;Times;Serif" w:hAnsi="Times New Roman;Times;Serif"/>
          <w:b/>
          <w:i w:val="false"/>
          <w:caps w:val="false"/>
          <w:smallCaps w:val="false"/>
          <w:sz w:val="20"/>
        </w:rPr>
        <w:t>Filed Pursuant to Rule 424(b)(7)</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333-295779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SUPPLEMENT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52625" cy="1314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13144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36,894,839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an aggregate of 36,894,839 shares of our Class A common stock, par value $0.0001 per share (“Common Stock”), that are being registered to satisfy certain registration rights pursuant to that certain registration rights agreement, among the Company and the holders of Secured Notes (defined below), dated September 4, 2026 (the “Registration Rights Agreement”). These shares of Common Stock may be offered from time to time by the selling securityholders identified in the “Selling Securityholders” section of this prospectus supplement (the “selling securityholders”). We will not receive any of the proceeds from any such sales and have agreed to pay certain registration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relates to 36,894,839 shares of Common Stock issued in connection with that certain notes restructuring agreement, dated as of April 21, 2026 (the “Notes Restructuring Agreement”), by and among us, LivePerson, Inc. (“LivePerson”) and each of the holders of LivePerson’s First Lien Convertible Secured Notes due 2029 and LivePerson’s Second Lien Senior Subordinated Secured Notes due 2029 (collectively, the “Secured Notes”). The Notes Restructuring Agreement was entered into concurrently with the execution by the Company of the Merger Agreement with LivePerson, and provides, among other things, that the holders of the Secured Notes will release and deem satisfied the Secured Notes in exchange for shares of Common Stock. These shares of Common Stock are being registered pursuant to the registration rights we granted to such selling securityholders in the Registration Rights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offer and sell from time to time, together or separately, the Common Stock described in this prospectus supplement and the accompanying prospectus through one or more underwriters, dealers and agents, or directly to purchasers, or through a combination of these methods. See “Plan of Distribution” for more information. No securities may be sold without delivery of this prospectus supplement and the accompanying prospectus describing the method and terms of the offering of such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ticker symbol “SOUN.” On August 31, 2026, the last reported sale price of our Common Stock on the Nasdaq Global Select Market was $7.16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on page S-2 of this prospectus supplement, in the similar section contained in the accompanying prospectus and in the documents incorporated by reference in this prospectus supplement concerning factors you should consider before investing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September 4,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7250"/>
        <w:gridCol w:w="140"/>
        <w:gridCol w:w="410"/>
      </w:tblGrid>
      <w:tr>
        <w:trPr/>
        <w:tc>
          <w:tcPr>
            <w:tcW w:w="7250"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sz w:val="20"/>
                </w:rPr>
                <w:t>ABOUT THIS PROSPECTUS SUPPLEMENT</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w:t>
            </w:r>
          </w:p>
        </w:tc>
      </w:tr>
      <w:tr>
        <w:trPr/>
        <w:tc>
          <w:tcPr>
            <w:tcW w:w="7250"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sz w:val="20"/>
                </w:rPr>
                <w:t>TRADEMARKS</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S-iii</w:t>
            </w:r>
          </w:p>
        </w:tc>
      </w:tr>
      <w:tr>
        <w:trPr/>
        <w:tc>
          <w:tcPr>
            <w:tcW w:w="7250"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sz w:val="20"/>
                </w:rPr>
                <w:t>WHERE YOU CAN FIND MORE INFORMATION; INCORPORATION BY REFERENCE</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S-iv</w:t>
            </w:r>
          </w:p>
        </w:tc>
      </w:tr>
      <w:tr>
        <w:trPr/>
        <w:tc>
          <w:tcPr>
            <w:tcW w:w="7250" w:type="dxa"/>
            <w:tcBorders/>
            <w:shd w:fill="FFFFFF" w:val="clear"/>
            <w:vAlign w:val="center"/>
          </w:tcPr>
          <w:p>
            <w:pPr>
              <w:pStyle w:val="TableContents"/>
              <w:bidi w:val="0"/>
              <w:spacing w:before="0" w:after="283"/>
              <w:jc w:val="left"/>
              <w:rPr/>
            </w:pPr>
            <w:hyperlink w:anchor="S_004">
              <w:r>
                <w:rPr>
                  <w:rStyle w:val="InternetLink"/>
                  <w:rFonts w:ascii="Times New Roman;Times;Serif" w:hAnsi="Times New Roman;Times;Serif"/>
                  <w:sz w:val="20"/>
                </w:rPr>
                <w:t>THE COMPANY</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7250" w:type="dxa"/>
            <w:tcBorders/>
            <w:shd w:fill="CCEEFF" w:val="clear"/>
            <w:vAlign w:val="center"/>
          </w:tcPr>
          <w:p>
            <w:pPr>
              <w:pStyle w:val="TableContents"/>
              <w:bidi w:val="0"/>
              <w:spacing w:before="0" w:after="283"/>
              <w:jc w:val="left"/>
              <w:rPr/>
            </w:pPr>
            <w:hyperlink w:anchor="S_005">
              <w:r>
                <w:rPr>
                  <w:rStyle w:val="InternetLink"/>
                  <w:rFonts w:ascii="Times New Roman;Times;Serif" w:hAnsi="Times New Roman;Times;Serif"/>
                  <w:sz w:val="20"/>
                </w:rPr>
                <w:t>RISK FACTORS</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w:t>
            </w:r>
          </w:p>
        </w:tc>
      </w:tr>
      <w:tr>
        <w:trPr/>
        <w:tc>
          <w:tcPr>
            <w:tcW w:w="7250" w:type="dxa"/>
            <w:tcBorders/>
            <w:shd w:fill="FFFFFF" w:val="clear"/>
            <w:vAlign w:val="center"/>
          </w:tcPr>
          <w:p>
            <w:pPr>
              <w:pStyle w:val="TableContents"/>
              <w:bidi w:val="0"/>
              <w:spacing w:before="0" w:after="283"/>
              <w:jc w:val="left"/>
              <w:rPr/>
            </w:pPr>
            <w:hyperlink w:anchor="S_006">
              <w:r>
                <w:rPr>
                  <w:rStyle w:val="InternetLink"/>
                  <w:rFonts w:ascii="Times New Roman;Times;Serif" w:hAnsi="Times New Roman;Times;Serif"/>
                  <w:sz w:val="20"/>
                </w:rPr>
                <w:t>CAUTIONARY NOTE REGARDING FORWARD-LOOKING STATEMENTS</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S-3</w:t>
            </w:r>
          </w:p>
        </w:tc>
      </w:tr>
      <w:tr>
        <w:trPr/>
        <w:tc>
          <w:tcPr>
            <w:tcW w:w="7250" w:type="dxa"/>
            <w:tcBorders/>
            <w:shd w:fill="CCEEFF" w:val="clear"/>
            <w:vAlign w:val="center"/>
          </w:tcPr>
          <w:p>
            <w:pPr>
              <w:pStyle w:val="TableContents"/>
              <w:bidi w:val="0"/>
              <w:spacing w:before="0" w:after="283"/>
              <w:jc w:val="left"/>
              <w:rPr/>
            </w:pPr>
            <w:hyperlink w:anchor="S_007">
              <w:r>
                <w:rPr>
                  <w:rStyle w:val="InternetLink"/>
                  <w:rFonts w:ascii="Times New Roman;Times;Serif" w:hAnsi="Times New Roman;Times;Serif"/>
                  <w:sz w:val="20"/>
                </w:rPr>
                <w:t>USE OF PROCEEDS</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S-4</w:t>
            </w:r>
          </w:p>
        </w:tc>
      </w:tr>
      <w:tr>
        <w:trPr/>
        <w:tc>
          <w:tcPr>
            <w:tcW w:w="7250" w:type="dxa"/>
            <w:tcBorders/>
            <w:shd w:fill="FFFFFF" w:val="clear"/>
            <w:vAlign w:val="center"/>
          </w:tcPr>
          <w:p>
            <w:pPr>
              <w:pStyle w:val="TableContents"/>
              <w:bidi w:val="0"/>
              <w:spacing w:before="0" w:after="283"/>
              <w:jc w:val="left"/>
              <w:rPr/>
            </w:pPr>
            <w:hyperlink w:anchor="S_008">
              <w:r>
                <w:rPr>
                  <w:rStyle w:val="InternetLink"/>
                  <w:rFonts w:ascii="Times New Roman;Times;Serif" w:hAnsi="Times New Roman;Times;Serif"/>
                  <w:sz w:val="20"/>
                </w:rPr>
                <w:t>SELLING SECURITYHOLDERS</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S-5</w:t>
            </w:r>
          </w:p>
        </w:tc>
      </w:tr>
      <w:tr>
        <w:trPr/>
        <w:tc>
          <w:tcPr>
            <w:tcW w:w="7250" w:type="dxa"/>
            <w:tcBorders/>
            <w:shd w:fill="CCEEFF" w:val="clear"/>
            <w:vAlign w:val="center"/>
          </w:tcPr>
          <w:p>
            <w:pPr>
              <w:pStyle w:val="TableContents"/>
              <w:bidi w:val="0"/>
              <w:spacing w:before="0" w:after="283"/>
              <w:jc w:val="left"/>
              <w:rPr/>
            </w:pPr>
            <w:hyperlink w:anchor="S_009">
              <w:r>
                <w:rPr>
                  <w:rStyle w:val="InternetLink"/>
                  <w:rFonts w:ascii="Times New Roman;Times;Serif" w:hAnsi="Times New Roman;Times;Serif"/>
                  <w:sz w:val="20"/>
                </w:rPr>
                <w:t>PLAN OF DISTRIBUTION</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S-9</w:t>
            </w:r>
          </w:p>
        </w:tc>
      </w:tr>
      <w:tr>
        <w:trPr/>
        <w:tc>
          <w:tcPr>
            <w:tcW w:w="7250" w:type="dxa"/>
            <w:tcBorders/>
            <w:shd w:fill="FFFFFF" w:val="clear"/>
            <w:vAlign w:val="center"/>
          </w:tcPr>
          <w:p>
            <w:pPr>
              <w:pStyle w:val="TableContents"/>
              <w:bidi w:val="0"/>
              <w:spacing w:before="0" w:after="283"/>
              <w:jc w:val="left"/>
              <w:rPr/>
            </w:pPr>
            <w:hyperlink w:anchor="S_010">
              <w:r>
                <w:rPr>
                  <w:rStyle w:val="InternetLink"/>
                  <w:rFonts w:ascii="Times New Roman;Times;Serif" w:hAnsi="Times New Roman;Times;Serif"/>
                  <w:sz w:val="20"/>
                </w:rPr>
                <w:t>LEGAL MATTERS</w:t>
              </w:r>
            </w:hyperlink>
          </w:p>
        </w:tc>
        <w:tc>
          <w:tcPr>
            <w:tcW w:w="14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r>
        <w:trPr/>
        <w:tc>
          <w:tcPr>
            <w:tcW w:w="7250" w:type="dxa"/>
            <w:tcBorders/>
            <w:shd w:fill="CCEEFF" w:val="clear"/>
            <w:vAlign w:val="center"/>
          </w:tcPr>
          <w:p>
            <w:pPr>
              <w:pStyle w:val="TableContents"/>
              <w:bidi w:val="0"/>
              <w:spacing w:before="0" w:after="283"/>
              <w:jc w:val="left"/>
              <w:rPr/>
            </w:pPr>
            <w:hyperlink w:anchor="S_011">
              <w:r>
                <w:rPr>
                  <w:rStyle w:val="InternetLink"/>
                  <w:rFonts w:ascii="Times New Roman;Times;Serif" w:hAnsi="Times New Roman;Times;Serif"/>
                  <w:sz w:val="20"/>
                </w:rPr>
                <w:t>EXPERTS</w:t>
              </w:r>
            </w:hyperlink>
          </w:p>
        </w:tc>
        <w:tc>
          <w:tcPr>
            <w:tcW w:w="14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4685"/>
        <w:gridCol w:w="60"/>
        <w:gridCol w:w="275"/>
      </w:tblGrid>
      <w:tr>
        <w:trPr/>
        <w:tc>
          <w:tcPr>
            <w:tcW w:w="468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trike w:val="false"/>
                  <w:dstrike w:val="false"/>
                  <w:sz w:val="20"/>
                  <w:u w:val="none"/>
                  <w:effect w:val="none"/>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ii</w:t>
            </w:r>
          </w:p>
        </w:tc>
      </w:tr>
      <w:tr>
        <w:trPr/>
        <w:tc>
          <w:tcPr>
            <w:tcW w:w="468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trike w:val="false"/>
                  <w:dstrike w:val="false"/>
                  <w:sz w:val="20"/>
                  <w:u w:val="none"/>
                  <w:effect w:val="none"/>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iii</w:t>
            </w:r>
          </w:p>
        </w:tc>
      </w:tr>
      <w:tr>
        <w:trPr/>
        <w:tc>
          <w:tcPr>
            <w:tcW w:w="468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trike w:val="false"/>
                  <w:dstrike w:val="false"/>
                  <w:sz w:val="20"/>
                  <w:u w:val="none"/>
                  <w:effect w:val="none"/>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1</w:t>
            </w:r>
          </w:p>
        </w:tc>
      </w:tr>
      <w:tr>
        <w:trPr/>
        <w:tc>
          <w:tcPr>
            <w:tcW w:w="468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trike w:val="false"/>
                  <w:dstrike w:val="false"/>
                  <w:sz w:val="20"/>
                  <w:u w:val="none"/>
                  <w:effect w:val="none"/>
                </w:rPr>
                <w:t>Risk Factors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6</w:t>
            </w:r>
          </w:p>
        </w:tc>
      </w:tr>
      <w:tr>
        <w:trPr/>
        <w:tc>
          <w:tcPr>
            <w:tcW w:w="468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trike w:val="false"/>
                  <w:dstrike w:val="false"/>
                  <w:sz w:val="20"/>
                  <w:u w:val="none"/>
                  <w:effect w:val="none"/>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7</w:t>
            </w:r>
          </w:p>
        </w:tc>
      </w:tr>
      <w:tr>
        <w:trPr/>
        <w:tc>
          <w:tcPr>
            <w:tcW w:w="468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trike w:val="false"/>
                  <w:dstrike w:val="false"/>
                  <w:sz w:val="20"/>
                  <w:u w:val="none"/>
                  <w:effect w:val="none"/>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8</w:t>
            </w:r>
          </w:p>
        </w:tc>
      </w:tr>
      <w:tr>
        <w:trPr/>
        <w:tc>
          <w:tcPr>
            <w:tcW w:w="468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trike w:val="false"/>
                  <w:dstrike w:val="false"/>
                  <w:sz w:val="20"/>
                  <w:u w:val="none"/>
                  <w:effect w:val="none"/>
                </w:rPr>
                <w:t>Description of Securities We May Offer</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11</w:t>
            </w:r>
          </w:p>
        </w:tc>
      </w:tr>
      <w:tr>
        <w:trPr/>
        <w:tc>
          <w:tcPr>
            <w:tcW w:w="468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trike w:val="false"/>
                  <w:dstrike w:val="false"/>
                  <w:sz w:val="20"/>
                  <w:u w:val="none"/>
                  <w:effect w:val="none"/>
                </w:rPr>
                <w:t>Form of Securities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22</w:t>
            </w:r>
          </w:p>
        </w:tc>
      </w:tr>
      <w:tr>
        <w:trPr/>
        <w:tc>
          <w:tcPr>
            <w:tcW w:w="468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trike w:val="false"/>
                  <w:dstrike w:val="false"/>
                  <w:sz w:val="20"/>
                  <w:u w:val="none"/>
                  <w:effect w:val="none"/>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23</w:t>
            </w:r>
          </w:p>
        </w:tc>
      </w:tr>
      <w:tr>
        <w:trPr/>
        <w:tc>
          <w:tcPr>
            <w:tcW w:w="468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trike w:val="false"/>
                  <w:dstrike w:val="false"/>
                  <w:sz w:val="20"/>
                  <w:u w:val="none"/>
                  <w:effect w:val="none"/>
                </w:rPr>
                <w:t>Experts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23</w:t>
            </w:r>
          </w:p>
        </w:tc>
      </w:tr>
      <w:tr>
        <w:trPr/>
        <w:tc>
          <w:tcPr>
            <w:tcW w:w="468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trike w:val="false"/>
                  <w:dstrike w:val="false"/>
                  <w:sz w:val="20"/>
                  <w:u w:val="none"/>
                  <w:effect w:val="none"/>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23</w:t>
            </w:r>
          </w:p>
        </w:tc>
      </w:tr>
      <w:tr>
        <w:trPr/>
        <w:tc>
          <w:tcPr>
            <w:tcW w:w="468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trike w:val="false"/>
                  <w:dstrike w:val="false"/>
                  <w:sz w:val="20"/>
                  <w:u w:val="none"/>
                  <w:effect w:val="none"/>
                </w:rPr>
                <w:t>Incorporation of Documents By Reference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_001"/>
      <w:bookmarkEnd w:id="2"/>
      <w:r>
        <w:rPr>
          <w:rFonts w:ascii="Times New Roman;Times;Serif" w:hAnsi="Times New Roman;Times;Serif"/>
          <w:b/>
          <w:i w:val="false"/>
          <w:caps w:val="false"/>
          <w:smallCaps w:val="false"/>
          <w:sz w:val="20"/>
        </w:rPr>
        <w:t xml:space="preserve">ABOUT THIS PROSPECTUS SUPPLEMENT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part of a registration statement that we have filed with the Securities and Exchange Commission, or SEC, which became automatically effective upon filing, utilizing a “shelf” registration process, and relates to the offering of our Common Stock. Before buying any of the Common Stock that the selling securityholders are offering, we urge you to carefully read this prospectus supplement, the accompanying prospectus and all of the information incorporated by reference herein and therein, as well as the additional information described under the heading “Where You Can Find More Information; Incorporation by Reference.” These documents contain important information that you should consider when making your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securityholders provide information to you about this offering of our Common Stock in two separate documents that are bound together: (1) this prospectus supplement, which describes the specific details regarding this offering and also adds to and updates information contained in the documents incorporated by reference into this prospectus supplement;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supplement, the accompanying prospectus and any free writing prospectus that we may authorize for use in connection with this offering. We have not, and the selling securityholders have not, authorized anyone to provide you with different information. If anyone provides you with different or inconsistent information, you should not rely on it. We and the selling securityholders take no responsibility for, and can provide no assurance as to the reliability of, any other information that others may give you. We are not, and the selling securityholders are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in their entirety before making an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or the selling securityholders in any agreement that is filed as an exhibit to any document that is incorporated by reference in this prospectus supplement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“SoundHound,” “we,” “our,” “us,” the “Company” and “our company” in this prospectus supplement, we mean SoundHound AI, Inc. and its consolidated subsidiaries, unless otherwise specified. When we refer to “you,” we mean the holders of, and potential investors in,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_002"/>
      <w:bookmarkEnd w:id="3"/>
      <w:r>
        <w:rPr>
          <w:rFonts w:ascii="Times New Roman;Times;Serif" w:hAnsi="Times New Roman;Times;Serif"/>
          <w:b/>
          <w:i w:val="false"/>
          <w:caps w:val="false"/>
          <w:smallCaps w:val="false"/>
          <w:sz w:val="20"/>
        </w:rPr>
        <w:t xml:space="preserve">TRADEMARKS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proprietary rights to trademarks used in this prospectus supplement that are important to our business, many of which are registered under applicable intellectual property laws. Solely for convenience, trademarks and trade names referred to in this prospectus supplement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prospectus supplement is the property of its respective 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_003"/>
      <w:bookmarkEnd w:id="4"/>
      <w:r>
        <w:rPr>
          <w:rFonts w:ascii="Times New Roman;Times;Serif" w:hAnsi="Times New Roman;Times;Serif"/>
          <w:b/>
          <w:i w:val="false"/>
          <w:caps w:val="false"/>
          <w:smallCaps w:val="false"/>
          <w:sz w:val="20"/>
        </w:rPr>
        <w:t xml:space="preserve">WHERE YOU CAN FIND MORE INFORMATION; INCORPORATION BY REFERENCE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Available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reports, proxy statements and other information with the SEC. The SEC maintains a website that contains reports, proxy and information statements and other information about issuers, such as us, who file electronically with the SEC. The address of that website is https://www.sec.gov.</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address is https://www.soundhound.com. The information contained on, or accessible through, our website does not constitute part of this prospectus supplement. We have included our website address in this prospectus supplement solely as an inactive textual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part of a registration statement that we filed with the SEC and does not contain all of the information in the registration statement. The full registration statement may be obtained from the SEC or us, as provided below. Documents establishing the terms of the offered securities are or may be filed as exhibits to the registration statement or documents incorporated by reference in the registration statement. Statements in this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Incorporation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incorporates by reference the documents set forth below that have previously been filed with the SEC, but excluding any information furnished to, rather than filed with, the SEC:</w:t>
      </w:r>
    </w:p>
    <w:p>
      <w:pPr>
        <w:pStyle w:val="TextBody"/>
        <w:bidi w:val="0"/>
        <w:spacing w:before="0" w:after="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9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with the SEC on March 2,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quarters ended March 31, 2026 and June 30, 2026, filed with the SEC on </w:t>
            </w:r>
            <w:hyperlink r:id="rId4">
              <w:r>
                <w:rPr>
                  <w:rStyle w:val="InternetLink"/>
                  <w:rFonts w:ascii="Times New Roman;Times;Serif" w:hAnsi="Times New Roman;Times;Serif"/>
                  <w:b w:val="false"/>
                  <w:i w:val="false"/>
                  <w:caps w:val="false"/>
                  <w:smallCaps w:val="false"/>
                  <w:sz w:val="20"/>
                </w:rPr>
                <w:t>May 11, 2026</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August 10, 2026</w:t>
              </w:r>
            </w:hyperlink>
            <w:r>
              <w:rPr>
                <w:rFonts w:ascii="Times New Roman;Times;Serif" w:hAnsi="Times New Roman;Times;Serif"/>
                <w:b w:val="false"/>
                <w:i w:val="false"/>
                <w:caps w:val="false"/>
                <w:smallCaps w:val="false"/>
                <w:sz w:val="20"/>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w:t>
            </w:r>
            <w:hyperlink r:id="rId6">
              <w:r>
                <w:rPr>
                  <w:rStyle w:val="InternetLink"/>
                  <w:rFonts w:ascii="Times New Roman;Times;Serif" w:hAnsi="Times New Roman;Times;Serif"/>
                  <w:b w:val="false"/>
                  <w:i w:val="false"/>
                  <w:caps w:val="false"/>
                  <w:smallCaps w:val="false"/>
                  <w:sz w:val="20"/>
                </w:rPr>
                <w:t>Form 8-K/A</w:t>
              </w:r>
            </w:hyperlink>
            <w:r>
              <w:rPr>
                <w:rFonts w:ascii="Times New Roman;Times;Serif" w:hAnsi="Times New Roman;Times;Serif"/>
                <w:b w:val="false"/>
                <w:i w:val="false"/>
                <w:caps w:val="false"/>
                <w:smallCaps w:val="false"/>
                <w:sz w:val="20"/>
              </w:rPr>
              <w:t xml:space="preserve"> filed with the SEC on November 17, 2025 and on Form 8-K filed with the SEC on </w:t>
            </w:r>
            <w:hyperlink r:id="rId7">
              <w:r>
                <w:rPr>
                  <w:rStyle w:val="InternetLink"/>
                  <w:rFonts w:ascii="Times New Roman;Times;Serif" w:hAnsi="Times New Roman;Times;Serif"/>
                  <w:b w:val="false"/>
                  <w:i w:val="false"/>
                  <w:caps w:val="false"/>
                  <w:smallCaps w:val="false"/>
                  <w:sz w:val="20"/>
                </w:rPr>
                <w:t>March 18,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April 21,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May 27,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2,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July 13,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July 24, 2026</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September 2, 2026</w:t>
              </w:r>
            </w:hyperlink>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section entitled “Risk Factors” in our proxy statement/prospectus on </w:t>
            </w:r>
            <w:hyperlink r:id="rId14">
              <w:r>
                <w:rPr>
                  <w:rStyle w:val="InternetLink"/>
                  <w:rFonts w:ascii="Times New Roman;Times;Serif" w:hAnsi="Times New Roman;Times;Serif"/>
                  <w:b w:val="false"/>
                  <w:i w:val="false"/>
                  <w:caps w:val="false"/>
                  <w:smallCaps w:val="false"/>
                  <w:sz w:val="20"/>
                </w:rPr>
                <w:t>Form S-4/A</w:t>
              </w:r>
            </w:hyperlink>
            <w:r>
              <w:rPr>
                <w:rFonts w:ascii="Times New Roman;Times;Serif" w:hAnsi="Times New Roman;Times;Serif"/>
                <w:b w:val="false"/>
                <w:i w:val="false"/>
                <w:caps w:val="false"/>
                <w:smallCaps w:val="false"/>
                <w:sz w:val="20"/>
              </w:rPr>
              <w:t xml:space="preserve"> filed with the SEC on July 8,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and warrants contained in our Registration Statement on </w:t>
            </w:r>
            <w:hyperlink r:id="rId15">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March 10, 2021 and the Description of Securities filed as </w:t>
            </w:r>
            <w:hyperlink r:id="rId16">
              <w:r>
                <w:rPr>
                  <w:rStyle w:val="InternetLink"/>
                  <w:rFonts w:ascii="Times New Roman;Times;Serif" w:hAnsi="Times New Roman;Times;Serif"/>
                  <w:b w:val="false"/>
                  <w:i w:val="false"/>
                  <w:caps w:val="false"/>
                  <w:smallCaps w:val="false"/>
                  <w:sz w:val="20"/>
                </w:rPr>
                <w:t>Exhibit 4.5</w:t>
              </w:r>
            </w:hyperlink>
            <w:r>
              <w:rPr>
                <w:rFonts w:ascii="Times New Roman;Times;Serif" w:hAnsi="Times New Roman;Times;Serif"/>
                <w:b w:val="false"/>
                <w:i w:val="false"/>
                <w:caps w:val="false"/>
                <w:smallCaps w:val="false"/>
                <w:sz w:val="20"/>
              </w:rPr>
              <w:t xml:space="preserve"> to our Annual Report on </w:t>
            </w:r>
            <w:hyperlink r:id="rId17">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2022, including any amendments or reports filed for the purpose of updating such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the Securities Exchange Act of 1934, as amended (the “Exchange Act”)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supplement by writing or telephoning us at the following address: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Betsy Ross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 95054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 441-3200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to the filings will not be sent, however, unless those exhibits have specifically been incorporated by reference in this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S-v</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5" w:name="S_004"/>
      <w:bookmarkEnd w:id="5"/>
      <w:r>
        <w:rPr>
          <w:rFonts w:ascii="Times New Roman;Times;Serif" w:hAnsi="Times New Roman;Times;Serif"/>
          <w:b/>
          <w:i w:val="false"/>
          <w:caps w:val="false"/>
          <w:smallCaps w:val="false"/>
          <w:sz w:val="20"/>
          <w:bdr w:val="single" w:sz="12" w:space="1" w:color="000000"/>
        </w:rPr>
        <w:t xml:space="preserve">THE COMPANY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Overview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SoundHound AI, Inc. is a global leader in voice and conversational AI, delivering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telecom, smart devices, and restaurants. SoundHound’s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has enabled SoundHound to power millions of products and services, and process billions of interactions each year for world-class businesses.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Corporate Information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SoundHound AI, Inc. is incorporated under the laws of the State of Delaware. Our principal executive office is located at 5400 Betsy Ross Drive, Santa Clara, California 95054, and our telephone number is (408) 441-3200. Our website address is https://www.soundhound.com. The information contained on, or that can be accessed from, our website does not form part of this prospectus supplement. References to our website address do not constitute incorporation by reference of the information contained on the website, and the information contained on the website is not part of this prospectus supplement or any other document that we file with or furnish to the SEC.</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_005"/>
      <w:bookmarkEnd w:id="6"/>
      <w:r>
        <w:rPr>
          <w:rFonts w:ascii="Times New Roman;Times;Serif" w:hAnsi="Times New Roman;Times;Serif"/>
          <w:b/>
          <w:i w:val="false"/>
          <w:caps w:val="false"/>
          <w:smallCaps w:val="false"/>
          <w:sz w:val="20"/>
        </w:rPr>
        <w:t xml:space="preserve">RISK FACTORS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the Common Stock offered pursuant to this prospectus supplement and the accompanying prospectus involves risks. Before deciding whether to invest in our Common Stock, you should carefully consider the risk factors below and the risk factors incorporated by reference to our most recent Annual Report on Form 10-K, any subsequent Quarterly Reports on Form 10-Q, the proxy statement/prospectus on Form S-4/A filed with the SEC on July 8, 2026 and Current Reports on Form 8-K, and all other information contained or incorporated by reference into this prospectus supplement, as updated by our subsequent filings under the Exchange Act, and the risk factors and other information contained in any applicable free writing prospectus. The occurrence of any of these risks might cause you to lose all or part of your investment in the Common Stock offered.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carefully read the section entitled “Cautionary Note Regarding Forward-Looking Statements” included in our most recent Annual Report on Form 10-K and any subsequent Quarterly Reports on Form 10-Q or Current Reports on Form 8-K. For more information about our SEC filings, please see “Where You Can Find More Information; Incorporation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or the exercise of our outstanding options and warrants, or settlement of our restricted stock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of our Common Stock or other securities convertible into or exchangeable for our Common Stock. We may sell shares of our Common Stock or other securities convertible into or exchangeable for our Common Stock in any other offering at a price per share that is less than the price per share paid by investors in any offering pursuant to this prospectus supplement. Further, the exercise of our outstanding options and warrants, or settlement of our restricted stock units, may adversely affect our stock price. To the extent warrants or options are exercised, or our restricted stock units settle, additional shares of Common Stock will be issued and outstanding, which will dilute existing stockholders. Our stock price may also be affected due to sales of a large number of shares of our Common Stock or the perception that such sales could occur. These factors also could make it more difficult to raise funds through future offerings of our securities and could adversely impact the terms under which we could obtain additional equity capital. Exercise of our outstanding options and warrants, or settlement of restricted stock units, or any future issuance of additional shares of our Common Stock or other equity securities, including but not limited to options, warrants, restricted stock units or other derivative securities convertible into our Common Stock, may result in significant dilution to our stockholders and may decrease our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the price of our Common Stock, including as a result of actual or anticipated sales of shares by us and/or our directors, officers or stockholders, may make our Common Stock more difficult to resell.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and trading volume of our Common Stock may be subject to significant fluctuations due not only to general stock market conditions, but also to changes in sentiment in the market regarding the industry in which we operate, our operations, business prospects or liquidity, or sales of our securities, including pursuant to this prospectus supplement. In addition to the risk factors discussed in our periodic reports and in this prospectus supplement, the price and volume volatility of our Common Stock may be affected by actual or anticipated sales of Common Stock by us and/or our directors, officers or stockholders, including the selling securityholders, whether in the market, in connection with business transactions, in this offering or in subsequent public offerings. Sales of a substantial number of shares of our Common Stock by the selling securityholders, or the perception that such sales may occur, could adversely affect the market price of our Common Stock and could make it more difficult for us to raise capital through future offerings of our securities. Stock markets in general have at times experienced extreme volatility unrelated to the operating performance of particular companies. These broad market fluctuations may adversely affect the trading price of our Common Stock, regardless of our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these fluctuations in the market price and trading volume of our Common Stock may make it difficult to predict the market price of our Common Stock in the future, cause the value of your investment to decline and make it more difficult to resell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006"/>
      <w:bookmarkEnd w:id="7"/>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contain or may contain “forward-looking statements” within the meaning of Section 27A of the Securities Act of 1933, as amended (the “Securities Act”), Section 21E of the Exchange Act, and the Private Securities Litigation Reform Act of 1995. For all forward-looking statements, we claim the protection of the safe harbor for forward-looking statements contained in the Private Securities Litigation Reform Act of 1995. All statements other than statements of historical fact contained in this prospectus supplement and the documents incorporated by reference herein, including statements regarding future events, our future financial performance, business strategy, and plans and objectives of management for future operations, are forward-looking statements. These statements involve known and unknown risks, uncertainties and other factors that may cause our actual results, performance or achievements to be materially different from any future results, performance or achievements expressed or implied by the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 our ability to execute our business strategy, including launching new product offerings and expanding information and technology capabilities; our market opportunity and our ability to acquire new customers and retain existing customers; the timing and impact of our growth initiatives on our future financial performance; our ability to integrate the businesses and operations from our recent acquisitions with our current operations to realize the expected benefits of those acquisitions; our ability to close our pending acquisition of LivePerson; our ability to protect intellectual property and trade secrets; our ability to obtain additional capital, as necessary, including equity or debt financing, on terms that are acceptable to us, if at all; changes in applicable laws or regulations and extensive and evolving government regulations that impact our operations and business; our ability to attract or maintain a qualified workforce; level of product service failures that could lead our customers to use competitors’ services; investigations, claims, disputes, enforcement actions, litigation and/or other regulatory or legal proceedings, including with respect to our AI technology; risks relating to uncertainty of our estimates of market opportunity and forecasts of market growth; the possibility that we may be adversely affected by other economic, business, and/or competitive factors; and other risks and uncertainties described under “Risk Factors” in Item 1A of Part I, “Management’s Discussion and Analysis of Financial Condition and Results of Operations” in Item 7 of Part II and elsewhere in our Form 10-K for the year ended December 31, 2025, as further updated in “Management’s Discussion and Analysis of Financial Condition and Results of Operations” in Item 2 of our Quarterly Reports on Form 10-Q for the quarterly periods ended March 31, 2026 and June 30, 2026, in our subsequent filings with the SEC and in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make forward-looking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supplement or the documents incorporated by reference herein, which may cause our or our industry’s actual results, levels of activity, performance or achievements to vary materially from those expressed or implied by these forward-looking statements.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made herein speak only as of the date of this prospectus supplement,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prospectus supplement or to conform these statements to actual results or revised expectations.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_007"/>
      <w:bookmarkEnd w:id="8"/>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Common Stock being offered by the selling securityholders.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_008"/>
      <w:bookmarkEnd w:id="9"/>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identified in the table below may, from time to time, offer and sell up to 36,894,839 shares of Common Stock offered by this prospectus supplement and the accompanying prospectus. When we refer to the selling securityholders identified in the table below, we mean the entities identified in the table, and the donees, pledgees, transferees, assignees, designees, distributees or other successors-in-interest who after the date of this prospectus supplement come to hold any of such selling securityholders’ respective interests in our Common Stock other than through a public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resale from time to time of our Common Stock by the selling securityholders identified in the table below relates to 36,894,839 shares of our Common Stock issued in connection with the Notes Restructuring Agreement. The Notes Restructuring Agreement was entered into concurrently with the execution by the Company of the Merger Agreement with LivePerson, and provides, among other things, that the holders of the Secured Notes will release and deem satisfied the Secured Notes in exchange for shares of Common Stock. These shares of Common Stock are being registered pursuant to the registration rights we granted to such selling securityholders in the Registration Rights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September 4, 2026, regarding the beneficial ownership of our Common Stock held by the selling securityholders identified below, and the number of shares of our Common Stock that may from time to time be offered or sold by the selling securityholders pursuant to this prospectus supplement. We have prepared the following table based on information given to us by, or on behalf of, the selling securityholders identified below on or before the date hereof with respect to the beneficial ownership of our Common Stock held by such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independently verified this information, and this information may change from time to time and any changed information will be set forth in amendments or supplements to this prospectus supplement, if and when necessary. The selling securityholders identified below may offer all, some or none of their Common Stock, and we cannot advise you as to whether they will in fact sell any or all of such Common Stock. In addition, the selling securityholders identified below may have sold, transferred or otherwise disposed of, or may sell, transfer or otherwise dispose of, at any time and from time to time, our Common Stock in transactions exempt from the registration requirements of the Securities Act after the date on which they provided the information set forth in the table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by each selling securityholder is determined in accordance with the rules of the SEC, and the information is not necessarily indicative of beneficial ownership for any other purpose. Under such rules, beneficial ownership includes any Common Stock over which the individual or entity has sole or shared voting power or investment power. Applicable percentage ownership is based on 411,576,753 shares of Class A Common Stock outstanding as of August 31, 2026. Except as otherwise indicated, and subject to applicable community property laws, the persons identified in the table have sole voting and investment power with respect to all Common Stock held by that person. The information regarding Common Stock beneficially owned after the offering assumes the sale of all Common Stock offered by the selling securityholders identified below, and that such selling securityholders do not acquire any additional Common Stock or additional securities convertible, exchangeable or exercisable into additional Common Stock. Information in the table below is based on information filed with the SEC or obtained from the persons identified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1"/>
        <w:gridCol w:w="60"/>
        <w:gridCol w:w="110"/>
        <w:gridCol w:w="1754"/>
        <w:gridCol w:w="110"/>
        <w:gridCol w:w="110"/>
        <w:gridCol w:w="110"/>
        <w:gridCol w:w="511"/>
        <w:gridCol w:w="60"/>
        <w:gridCol w:w="60"/>
        <w:gridCol w:w="117"/>
        <w:gridCol w:w="1868"/>
        <w:gridCol w:w="60"/>
        <w:gridCol w:w="60"/>
        <w:gridCol w:w="116"/>
        <w:gridCol w:w="1355"/>
        <w:gridCol w:w="116"/>
        <w:gridCol w:w="116"/>
        <w:gridCol w:w="116"/>
        <w:gridCol w:w="245"/>
        <w:gridCol w:w="80"/>
      </w:tblGrid>
      <w:tr>
        <w:trPr/>
        <w:tc>
          <w:tcPr>
            <w:tcW w:w="3071" w:type="dxa"/>
            <w:tcBorders/>
            <w:vAlign w:val="center"/>
          </w:tcPr>
          <w:p>
            <w:pPr>
              <w:pStyle w:val="TableContents"/>
              <w:bidi w:val="0"/>
              <w:spacing w:before="0" w:after="283"/>
              <w:ind w:left="0" w:right="0" w:hanging="360"/>
              <w:jc w:val="center"/>
              <w:rPr/>
            </w:pPr>
            <w:r>
              <w:rPr/>
              <w:t> </w:t>
            </w:r>
          </w:p>
        </w:tc>
        <w:tc>
          <w:tcPr>
            <w:tcW w:w="60" w:type="dxa"/>
            <w:tcBorders/>
            <w:vAlign w:val="center"/>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Beneficial Ownership of</w:t>
              <w:br/>
              <w:t>Class A Common Stock Prior to</w:t>
              <w:br/>
              <w:t>this Prospectus Supplement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Number of</w:t>
              <w:br/>
              <w:t>Class A Common Stock</w:t>
              <w:br/>
              <w:t>Subject to</w:t>
              <w:br/>
              <w:t>Resale Pursuant to this</w:t>
              <w:br/>
              <w:t>Prospectus Supplement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Beneficial Ownership </w:t>
              <w:br/>
              <w:t xml:space="preserve">After Resale of All </w:t>
              <w:br/>
              <w:t>Class A Common Stock</w:t>
              <w:br/>
              <w:t>Subject to Resale</w:t>
              <w:br/>
              <w:t>Pursuant to</w:t>
              <w:br/>
              <w:t>this Prospectus Supplement</w:t>
            </w:r>
          </w:p>
        </w:tc>
        <w:tc>
          <w:tcPr>
            <w:tcW w:w="80" w:type="dxa"/>
            <w:tcBorders/>
            <w:vAlign w:val="center"/>
          </w:tcPr>
          <w:p>
            <w:pPr>
              <w:pStyle w:val="TableContents"/>
              <w:bidi w:val="0"/>
              <w:spacing w:before="0" w:after="283"/>
              <w:ind w:left="0" w:right="0" w:hanging="180"/>
              <w:jc w:val="left"/>
              <w:rPr/>
            </w:pPr>
            <w:r>
              <w:rPr/>
              <w:t> </w:t>
            </w:r>
          </w:p>
        </w:tc>
      </w:tr>
      <w:tr>
        <w:trPr/>
        <w:tc>
          <w:tcPr>
            <w:tcW w:w="307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Securityholders</w:t>
            </w:r>
          </w:p>
        </w:tc>
        <w:tc>
          <w:tcPr>
            <w:tcW w:w="60" w:type="dxa"/>
            <w:tcBorders/>
            <w:vAlign w:val="center"/>
          </w:tcPr>
          <w:p>
            <w:pPr>
              <w:pStyle w:val="TableContents"/>
              <w:bidi w:val="0"/>
              <w:spacing w:before="0" w:after="283"/>
              <w:jc w:val="center"/>
              <w:rPr/>
            </w:pPr>
            <w:r>
              <w:rPr/>
              <w:t> </w:t>
            </w:r>
          </w:p>
        </w:tc>
        <w:tc>
          <w:tcPr>
            <w:tcW w:w="18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110"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6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116"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center"/>
              <w:rPr/>
            </w:pPr>
            <w:r>
              <w:rPr/>
              <w:t> </w:t>
            </w:r>
          </w:p>
        </w:tc>
        <w:tc>
          <w:tcPr>
            <w:tcW w:w="3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80" w:type="dxa"/>
            <w:tcBorders/>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Lynrock Lake Master Fund LP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25,142,335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25,142,335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Aequim Arbitrage Master Fund LP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280,823</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DS Liquid Div RVA AEQ LLC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43,071</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Calamos Market Neutral Income Fund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602,995</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Calamos Global Convertible Fund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18,372</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Calamos Global Convertible Fund (sub fund of GemCap Investment Funds (Ireland) plc) </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85,680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Calamos Global Dynamic Income Fund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6,030</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Oblate International Pastoral Investment Trust </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2,078</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 E. Shaw Valence Portfolios, L.L.C. </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953,933</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378,021</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Davidson Kempner Arbitrage, Equities and Relative Value LP </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2,181,631</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2,181,631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M.H. Davidson &amp; Co. </w:t>
            </w:r>
            <w:r>
              <w:rPr>
                <w:rFonts w:ascii="Times New Roman;Times;Serif" w:hAnsi="Times New Roman;Times;Serif"/>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66,674</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Linden Capital L.P. </w:t>
            </w:r>
            <w:r>
              <w:rPr>
                <w:rFonts w:ascii="Times New Roman;Times;Serif" w:hAnsi="Times New Roman;Times;Serif"/>
                <w:position w:val="7"/>
                <w:sz w:val="16"/>
                <w:sz w:val="20"/>
              </w:rPr>
              <w:t>(10)</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3,429,080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3,424,079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5,001</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Crown Managed Accounts SPC acting for and on behalf of Crown/Linden Segregated Portfolio </w:t>
            </w:r>
            <w:r>
              <w:rPr>
                <w:rFonts w:ascii="Times New Roman;Times;Serif" w:hAnsi="Times New Roman;Times;Serif"/>
                <w:position w:val="7"/>
                <w:sz w:val="16"/>
                <w:sz w:val="20"/>
              </w:rPr>
              <w:t>(11)</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84,316</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PCH Manager Fund, SPC. solely on behalf of and for the account of Segregated Portfolio 214 </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104,680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Opti Opportunity Master Fund, LP </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880,372</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880,372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Eagle Harbor Multi Strategy Master Fund, LTD </w:t>
            </w:r>
            <w:r>
              <w:rPr>
                <w:rFonts w:ascii="Times New Roman;Times;Serif" w:hAnsi="Times New Roman;Times;Serif"/>
                <w:position w:val="7"/>
                <w:sz w:val="16"/>
                <w:sz w:val="20"/>
              </w:rPr>
              <w:t>(12)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275,655</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Chi-Rho Multi-Strategy Master Fund, Ltd </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44,794</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Silverback Master Fund Limited </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267,109</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Blackwell Partners LLC_Series B </w:t>
            </w:r>
            <w:r>
              <w:rPr>
                <w:rFonts w:ascii="Times New Roman;Times;Serif" w:hAnsi="Times New Roman;Times;Serif"/>
                <w:position w:val="7"/>
                <w:sz w:val="16"/>
                <w:sz w:val="20"/>
              </w:rPr>
              <w:t>(13)</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478,329</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KASAD 2, L.P. </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613,643</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30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Tenor Opportunity Master Fund, Ltd. </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1,378,825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8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1,378,825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30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Palogic Value Fund, LP </w:t>
            </w:r>
            <w:r>
              <w:rPr>
                <w:rFonts w:ascii="Times New Roman;Times;Serif" w:hAnsi="Times New Roman;Times;Serif"/>
                <w:position w:val="7"/>
                <w:sz w:val="16"/>
                <w:sz w:val="20"/>
              </w:rPr>
              <w:t>(15)</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337,436</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8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55"/>
        <w:gridCol w:w="7640"/>
      </w:tblGrid>
      <w:tr>
        <w:trPr/>
        <w:tc>
          <w:tcPr>
            <w:tcW w:w="155"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both"/>
              <w:rPr/>
            </w:pPr>
            <w:r>
              <w:rPr/>
              <w:t>Represents beneficial ownership of less than 1% of our Class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283"/>
              <w:jc w:val="both"/>
              <w:rPr/>
            </w:pPr>
            <w:r>
              <w:rPr/>
              <w:t>Shares held directly by Lynrock Lake Master Fund LP (“Lynrock Lake Master”). Lynrock Lake LP (the “Investment Manager”) is the investment manager of Lynrock Lake Master and, pursuant to an investment management agreement, the Investment Manager has been delegated full voting and investment power over the shares held by Lynrock Lake Master. Cynthia Paul is the Chief Investment Officer of the Investment Manager and the Sole Member of Lynrock Lake Partners LLC, the general partner of the Investment Manager, and may be deemed to exercise voting and investment power over the shares held by Lynrock Lake Master. The address of the foregoing entities is c/o Lynrock Lake LP, 2 International Drive, Suite 130, Rye Brook, New York 10573.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283"/>
              <w:jc w:val="both"/>
              <w:rPr/>
            </w:pPr>
            <w:r>
              <w:rPr/>
              <w:t>Aequim Alternative Investments LP is the general partner of Aequim Arbitrage Master Fund LP and the investment advisor to DS Liquid Div RVA AEQ LLC. Franklin Parlamis, David Goldstein, Paul Wanveer and Eric White share dispositive and voting power with respect to the shares held by Aequim Arbitrage Master Fund LP and DS Liquid Div RVA AEQ LLC. The address of Aequim Alternative Investments LP is Two Belvedere Place, Suite 250, Mill Valley, CA 94941.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283"/>
              <w:jc w:val="both"/>
              <w:rPr/>
            </w:pPr>
            <w:r>
              <w:rPr/>
              <w:t>Mr. John P. Calamos, Sr. is the Founder and Global CIO and a control person of Calamos Advisors LLC, the registered investment adviser for Calamos Market Neutral Income Fund, and may be deemed to possess voting and dispositive power over the securities held by Calamos Market Neutral Income Fund, subject to the terms and conditions of the applicable investment management agreement. Mr. Calamos disclaims beneficial ownership of the shares except to the extent of his pecuniary interest therein. Calamos Market Neutral Income Fund is an affiliate of Calamos Financial Services LLC, a limited-purpose registered broker-dealer that serves as the distributor for the Calamos registered open-end and closed-end investment companies; Calamos Financial Services LLC and Calamos Advisors LLC are under common control within the Calamos organization. The address of the principal business office of Calamos Advisors LLC is 2020 Calamos Court, Naperville, IL 60563.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John P. Calamos, Sr. is the Founder and Global CIO and a control person of Calamos Advisors LLC, the registered investment adviser for Calamos Global Convertible Fund, and may be deemed to possess voting and dispositive power over the securities held by Calamos Global Convertible Fund, subject to the terms and conditions of the applicable investment management agreement. Mr. Calamos disclaims beneficial ownership of the shares except to the extent of his pecuniary interest therein. Calamos Global Convertible Fund is an affiliate of Calamos Financial Services LLC, a limited-purpose registered broker-dealer that serves as the distributor for the Calamos registered open-end and closed-end investment companies; Calamos Financial Services LLC and Calamos Advisors LLC are under common control within the Calamos organization. The address of the principal business office of Calamos Advisors LLC is 2020 Calamos Court, Naperville, IL 60563.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John P. Calamos, Sr. is the Founder and Global CIO and a control person of Calamos Advisors LLC, the registered investment adviser for Calamos Global Convertible Fund (sub fund of GemCap Investment Funds (Ireland) plc), and may be deemed to possess voting and dispositive power over the securities held by Calamos Global Convertible Fund (sub fund of GemCap Investment Funds (Ireland) plc), subject to the terms and conditions of the applicable investment management agreement. Mr. Calamos disclaims beneficial ownership of the shares except to the extent of his pecuniary interest therein. Calamos Global Convertible Fund (sub fund of GemCap Investment Funds (Ireland) plc) is an affiliate of Calamos Financial Services LLC, a limited-purpose registered broker-dealer that serves as the distributor for the Calamos registered open-end and closed-end investment companies; Calamos Financial Services LLC and Calamos Advisors LLC are under common control within the Calamos organization. The address of the principal business office of Calamos Advisors LLC is 2020 Calamos Court, Naperville, IL 60563.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John P. Calamos, Sr. is the Founder and Global CIO and a control person of Calamos Advisors LLC, the registered investment adviser for Calamos Global Dynamic Income Fund, and may be deemed to possess voting and dispositive power over the securities held by Calamos Global Dynamic Income Fund, subject to the terms and conditions of the applicable investment management agreement. Mr. Calamos disclaims beneficial ownership of the shares except to the extent of his pecuniary interest therein. Calamos Global Dynamic Income Fund is an affiliate of Calamos Financial Services LLC, a limited-purpose registered broker-dealer that serves as the distributor for the Calamos registered open-end and closed-end investment companies; Calamos Financial Services LLC and Calamos Advisors LLC are under common control within the Calamos organization. The address of the principal business office of Calamos Advisors LLC is 2020 Calamos Court, Naperville, IL 60563.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John P. Calamos, Sr. is the Founder and Global CIO and a control person of Calamos Advisors LLC, the registered investment adviser for Oblate International Pastoral Investment Trust, and may be deemed to possess dispositive power over the securities held by Oblate International Pastoral Investment Trust, subject to the terms and conditions of the applicable investment management agreement. Voting authority over such securities is retained by Oblate International Pastoral Investment Trust. Mr. Calamos disclaims beneficial ownership of the shares except to the extent of his pecuniary interest therein. Oblate International Pastoral Investment Trust is an affiliate of Calamos Financial Services LLC, a limited-purpose registered broker-dealer that serves as the distributor for the Calamos registered open-end and closed-end investment companies; Calamos Financial Services LLC and Calamos Advisors LLC are under common control within the Calamos organization. The address of the principal business office of Calamos Advisors LLC is 2020 Calamos Court, Naperville, IL 60563.</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August 17, 2026, D. E. Shaw Valence Portfolios, L.L.C. (i) beneficially owns 621 shares of Class A common stock and 377,400 shares of Class A common stock that D. E. Shaw Valence Portfolios, L.L.C. has the right to acquire through the exercise of listed call options, and (ii) pursuant to the Notes Exchange, has the right to acquire the number of Holder Shares determined in accordance with the Notes Restructuring Agreement, dated as of April 21, 2026, by and among LivePerson, Inc., SoundHound AI, Inc., and the Holders party thereto, in exchange for $5,921,846 in aggregate principal amount of Second Lien Secured Notes ((i) and (ii) hereinafter referred to collectively as the “Valence Subject Shares”). D. E. Shaw Valence Portfolios, L.L.C. has the power to vote or to direct the vote of (and the power to dispose or direct the disposition of) the Valence Subject Shares directly owned by it. D. E. Shaw &amp; Co., L.P. (“DESCO LP”), as the investment adviser of D. E. Shaw Valence Portfolios, L.L.C., may be deemed to have the shared power to vote or direct the vote of (and the shared power to dispose or direct the disposition of) the Valence Subject Shares held by D. E. Shaw Valence Portfolios, L.L.C. D. E. Shaw &amp; Co., L.L.C. (“DESCO LLC”), as the manager of D. E. Shaw Valence Portfolios, L.L.C., may be deemed to have the shared power to vote or direct the vote of (and the shared power to dispose or direct the disposition of) such Valence Subject Shares. Edwin Jager, Maximilian Stone, Adam Deaton and Anoop Prasad, or their designees, exercise voting and investment control over such Valence Subject Shares on each of DESCO LP’s and DESCO LLC’s behalf. D. E. Shaw &amp; Co., Inc. (“DESCO Inc.”), as general partner of DESCO LP, may be deemed to have the shared power to vote or direct the vote of (and the shared power to dispose or direct the disposition of) such Valence Subject Shares. D. E. Shaw &amp; Co. II, Inc. (“DESCO II Inc.”), as managing member of DESCO LLC, may be deemed to have the shared power to vote or direct the vote of (and the shared power to dispose or direct the disposition of) such Valence Subject Shares. None of DESCO LP, DESCO LLC, DESCO Inc., or DESCO II Inc. owns any shares of the Company directly, and each such entity disclaims beneficial ownership of such Valence Subject Shares. Dr. David E. Shaw does not own any shares of the Company directly. By virtue of Dr. Shaw’s position as President and sole shareholder of DESCO Inc., which is the general partner of DESCO LP, and by virtue of Dr. Shaw’s position as President and sole shareholder of DESCO II Inc., which is the managing member of DESCO LLC, Dr. Shaw may be deemed to have the shared power to vote or direct the vote of (and the shared power to dispose or direct the disposition of) such Valence Subject Shares and, therefore, Dr. Shaw may be deemed to be the beneficial owner of such Valence Subject Shares. Dr. Shaw disclaims beneficial ownership of such Valence Subject Shares. The address of D. E. Shaw Valence Portfolios, L.L.C. is c/o D. E. Shaw &amp; Co., L.P., Two Manhattan West, 375 Ninth Avenue, 52nd Floor, New York, NY 10001.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M.H. Davidson &amp; Co. GP, L.L.C. (“CO GP”) is the general partner of M.H. Davidson &amp; Co. (“CO”), and Davidson Kempner Liquid GP Topco LLC (“Liquid GP Topco”) is the managing member of CO GP. Davidson Kempner Multi-Strategy GP II LLC (“DKAERV GP”) is the general partner of Davidson Kempner Arbitrage, Equities and Relative Value LP (“DKAERV” and together with CO, the “DK Holders”), and Liquid GP Topco is the managing member of DKAERV GP. Davidson Kempner Capital Management LP (“DKCM”) acts as investment manager to each of the DK Holders. DKCM GP LLC is the general partner of DKCM. The partners of DKCM are Anthony A. Yoseloff, Patrick W. Dennis, Gabriel T. Schwartz, Chris Krishanthan, James Li, Zachary Z. Altschuler, Conor Bastable, Morgan P. Blackwell, Daniel Boehm, Suzanne K. Gibbons, Zachary Gozali, Melanie Levine, Joshua D. Morris, Punit Patel, Michael Chiaramonte, Gregory Feldman, Romain Ferron, Sona Gohel, Jeffery Hurwitz, Vince Ortiz and Andrew Tan. Mr. Anthony A. Yoseloff, through DKCM, is responsible for the voting and investment decisions relating to the securities held by the DK Holders. The address of the DK Holders is 9 West 57</w:t>
            </w:r>
            <w:r>
              <w:rPr>
                <w:rFonts w:ascii="Times New Roman;Times;Serif" w:hAnsi="Times New Roman;Times;Serif"/>
                <w:position w:val="7"/>
                <w:sz w:val="16"/>
                <w:sz w:val="20"/>
              </w:rPr>
              <w:t>th</w:t>
            </w:r>
            <w:r>
              <w:rPr>
                <w:rFonts w:ascii="Times New Roman;Times;Serif" w:hAnsi="Times New Roman;Times;Serif"/>
                <w:sz w:val="20"/>
              </w:rPr>
              <w:t xml:space="preserve"> Street, 29</w:t>
            </w:r>
            <w:r>
              <w:rPr>
                <w:rFonts w:ascii="Times New Roman;Times;Serif" w:hAnsi="Times New Roman;Times;Serif"/>
                <w:position w:val="7"/>
                <w:sz w:val="16"/>
                <w:sz w:val="20"/>
              </w:rPr>
              <w:t>th</w:t>
            </w:r>
            <w:r>
              <w:rPr>
                <w:rFonts w:ascii="Times New Roman;Times;Serif" w:hAnsi="Times New Roman;Times;Serif"/>
                <w:sz w:val="20"/>
              </w:rPr>
              <w:t xml:space="preserve"> Floor, New York, NY 10019.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(10)</w:t>
            </w:r>
          </w:p>
        </w:tc>
        <w:tc>
          <w:tcPr>
            <w:tcW w:w="9845" w:type="dxa"/>
            <w:tcBorders/>
            <w:vAlign w:val="center"/>
          </w:tcPr>
          <w:p>
            <w:pPr>
              <w:pStyle w:val="TableContents"/>
              <w:bidi w:val="0"/>
              <w:spacing w:before="0" w:after="283"/>
              <w:jc w:val="both"/>
              <w:rPr/>
            </w:pPr>
            <w:r>
              <w:rPr/>
              <w:t>The first column of this table consists of (i) 3,424,079 shares of Class A common stock beneficially owned by Linden Capital L.P. that are being registered for resale herein, and (ii) 5,001 shares of Class A common stock beneficially owned by Linden Capital L.P. Linden Advisors LP is an investment manager for the beneficial owners of Linden Capital L.P. Siu Min (Joe) Wong, the principal owner and the controlling person of Linden Advisors LP, shares voting and dispositive power with respect to the securities listed above next to Linden Capital L.P. The address of Linden Advisors LP is 590 Madison Avenue, 32nd Floor, New York, NY 10022.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Linden Advisors LP is an investment manager for the beneficial owners of Crown Managed Accounts SPC acting for and on behalf of Crown/Linden Segregated Portfolio and PCH Manager Fund, SPC. solely on behalf of and for the account of Segregated Portfolio 214. Siu Min (Joe) Wong, the principal owner and the controlling person of Linden Advisors LP, shares voting and dispositive power with respect to the securities listed above next to Crown Managed Accounts SPC acting for and on behalf of Crown/Linden Segregated Portfolio and PCH Manager Fund, SPC. solely on behalf of and for the account of Segregated Portfolio 214. The address of Linden Advisors LP is 590 Madison Avenue, 32nd Floor, New York, NY 10022.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pPr>
            <w:r>
              <w:rPr/>
              <w:t>(12)</w:t>
            </w:r>
          </w:p>
        </w:tc>
        <w:tc>
          <w:tcPr>
            <w:tcW w:w="9840" w:type="dxa"/>
            <w:tcBorders/>
            <w:vAlign w:val="center"/>
          </w:tcPr>
          <w:p>
            <w:pPr>
              <w:pStyle w:val="TableContents"/>
              <w:bidi w:val="0"/>
              <w:spacing w:before="0" w:after="283"/>
              <w:jc w:val="both"/>
              <w:rPr/>
            </w:pPr>
            <w:r>
              <w:rPr/>
              <w:t>Opti Opportunity Associates is the general partner of Opti Capital Management, LP and Xiuping Li has dispositive and voting power with respect to the shares held by Opti Opportunity Master Fund, LP, Eagle Harbor Multi Strategy Master Fund, LTD and Chi-Rho Multi-Strategy Master Fund, Ltd as the managing member of Opti Opportunity Associates. The address of Opti Capital Management, LP is 120 West 45th St., Suite 3005, New York, NY 10036.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(13)</w:t>
            </w:r>
          </w:p>
        </w:tc>
        <w:tc>
          <w:tcPr>
            <w:tcW w:w="9839" w:type="dxa"/>
            <w:tcBorders/>
            <w:vAlign w:val="center"/>
          </w:tcPr>
          <w:p>
            <w:pPr>
              <w:pStyle w:val="TableContents"/>
              <w:bidi w:val="0"/>
              <w:spacing w:before="0" w:after="283"/>
              <w:jc w:val="both"/>
              <w:rPr/>
            </w:pPr>
            <w:r>
              <w:rPr/>
              <w:t>Robert Barron, Chief Investment Officer and Investment Manager of Silverback Asset Management, LLC, has voting and dispositive power with respect to the shares held by Silverback Master Fund Limited, Blackwell Partners LLC_Series B and KASAD 2, L.P. Mr. Barron disclaims beneficial ownership of such shares. The address of Silverback Asset Management, LLC is 555 S. Mangum, Suite 910, Durham, NC 27701.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(14)</w:t>
            </w:r>
          </w:p>
        </w:tc>
        <w:tc>
          <w:tcPr>
            <w:tcW w:w="9845" w:type="dxa"/>
            <w:tcBorders/>
            <w:vAlign w:val="center"/>
          </w:tcPr>
          <w:p>
            <w:pPr>
              <w:pStyle w:val="TableContents"/>
              <w:bidi w:val="0"/>
              <w:spacing w:before="0" w:after="283"/>
              <w:jc w:val="both"/>
              <w:rPr/>
            </w:pPr>
            <w:r>
              <w:rPr/>
              <w:t>Tenor Capital Management Company, L.P. serves as the investment adviser for Tenor Opportunity Master Fund, Ltd. and therefore may be deemed to share voting and investment power with respect to these shares in such capacity. Tenor Management GP, LLC is the general partner of Tenor Capital Management Company, L.P. and Robin R. Shah is the sole managing member of Tenor Management GP, LLC. As such, Mr. Shah may be deemed to have beneficial ownership of the shares. The address of Tenor Opportunity Master Fund, Ltd. is c/o Tenor Capital Management, 810 7th Avenue, Suite 1905, New York, NY 10019.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(15)</w:t>
            </w:r>
          </w:p>
        </w:tc>
        <w:tc>
          <w:tcPr>
            <w:tcW w:w="9846" w:type="dxa"/>
            <w:tcBorders/>
            <w:vAlign w:val="center"/>
          </w:tcPr>
          <w:p>
            <w:pPr>
              <w:pStyle w:val="TableContents"/>
              <w:bidi w:val="0"/>
              <w:spacing w:before="0" w:after="283"/>
              <w:jc w:val="both"/>
              <w:rPr/>
            </w:pPr>
            <w:r>
              <w:rPr/>
              <w:t>Palogic Value Management, L.P. (“Palogic Value Management”) is the general partner of, and may be deemed to beneficially own securities owned by, Palogic Value Fund. Palogic Capital Management, LLC (“Palogic Capital Management”) is the general partner of, and may be deemed to beneficially own securities beneficially owned by, Palogic Value Management. Mr. Vardeman is the sole member of, and may be deemed to beneficially own securities beneficially owned by, Palogic Capital Management. Mr. Vardeman is also a limited partner in, and may be deemed to beneficially own securities owned by, Palogic Value Fund. The address of Palogic Value Fund, LP is 8333 Douglas Ave., Suite 775, Dallas, TX 75225.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_009"/>
      <w:bookmarkEnd w:id="10"/>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including such selling securityholders’ respective donees, pledgees, transferees, assignees, designees, distributees or other successors-in-interest selling our Common Stock or interests in our Common Stock received after the date of this prospectus supplement from such selling securityholders as a gift, pledge, partnership distribution or other transfer other than through a public sale, may sell the offered securities from time to time, separately or together, covered by this prospectus supplement. Registration of the securities covered by this prospectus supplement does not mean, however, that those securities necessarily will be offered or sold. To the extent required, this prospectus supplement may be amended or supplemented from time to time to describe a specific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supplement may be sold from time to time, at market prices prevailing at the time of sale, at prices related to market prices, at a fixed price or prices subject to change or at negotiated prices, by a variety of methods including, but not limited to,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any national securities exchange on which our Common Stock may be listed at the time of sale, including the Nasdaq Global Market (including through “at-the-market” offerings);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over-the-counter market;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privately negotiated transactions;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exchange distribution and/or secondary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broker-dealers, who may act as agents or principals;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the distribution of the securities by any selling securityholder to its partners, members, managers, affiliates, employees, directors or stockholders;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one or more underwriters for resale to the public or institutional investors;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 block trade (which may involve crosses) in which a broker-dealer may attempt to sell a block of Common Stock as agent or may position and resell all or a portion of the block as principal to facilitate the transaction;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put or call option transactions relating to our Common Stock;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the writing or settlement of options or other hedging transactions, whether through an options exchange or otherwise, and/or the settlement of margin transactions;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short sales entered into after the date of this prospectus supplement;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directly to one or more purchasers, including through a specific bidding, auction or other process;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agents to the public or to institutional investors;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directly to institutional investors;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directly to a limited number of purchasers;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loans or pledges of our Common Stock, including to a broker-dealer or an affiliate thereof; or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 combination of any of these methods of sale or by any other legally available means.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effecting sales, brokers or dealers engaged by the selling securityholders may arrange for other brokers or dealers to participate. Broker-dealer transactions may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purchases of our Common Stock by a broker-dealer as principal and resales of our Common Stock by the broker-dealer for its account pursuant to this prospectus supplement;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brokerage transactions; or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in which the broker-dealer solicits purchasers on a best-efforts basis.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supplement may be amended or supplemented from time to time to describe a specific plan of distribution, and, if required, such amendment or supplement will set forth the aggregate amount of Common Stock covered by this prospectus supplement being offered and the terms of the offering, including the name or names of any underwriters, dealers, brokers or agents. In addition, to the extent required, any discounts, commissions, concessions and other items constituting underwriters’ or agents’ compensation, as well as any discounts, commissions or concessions allowed or reallowed or paid to dealers, will be set forth in such prospectus supplement. To the extent required, any such amendment or supplement to this prospectus supplement, and, if necessary, a post-effective amendment to the registration statement of which this prospectus supplement is a part, will be filed with the SEC to reflect the disclosure of additional information with respect to the distribution of the Common Stock covered by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an in-kind distribution of Common Stock to its members, partners, managers, affiliates or direct or indirect equityholders pursuant to the registration statement of which this prospectus supplement forms a part. Such members, partners, managers, affiliates or equityholders would thereby receive freely tradeable Common Stock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being notified by a selling securityholder that a donee, pledgee, distributee, transferee or other successor-in-interest intends to sell securities, we will, to the extent required, promptly file a supplement to this prospectus supplement to name specifically such person as a selling securityholder.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selling securityholders utilize a dealer in the sale of the securities being offered pursuant to this prospectus supplement, the selling securityholders will sell the securities to the dealer, as principal. The dealer may then resell the securities to the public at varying prices to be determined by the dealer at the time of resale. The selling securityholders may also authorize agents or underwriters to solicit offers by certain types of institutional investors to purchase securities at the public offering price set forth in an amendment or supplement to this prospectus supplement pursuant to delayed delivery contracts providing for payment and delivery on a specified date in the future. To the extent required, the conditions to these contracts and the commission that the selling securityholders must pay for solicitation of these contracts will be described in an amendment or supplement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pledge or grant a security interest in some of the Common Stock owned by them and, if a selling securityholder defaults in the performance of its secured obligations, the pledgees or secured parties may offer and sell such Common Stock, as applicable, from time to time, under this prospectus supplement, or under an amendment or supplement to this prospectus supplement. The selling securityholders also may transfer our Common Stock in other circumstances, in which case the transferees, pledgees or other successors-in-interest will be the selling beneficial owners for purposes of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Common Stock or interests therein, the selling securityholders may enter into hedging transactions with broker-dealers or other financial institutions, which may in turn engage in short sales of our Common Stock in the course of hedging the positions they assume. The selling securityholders may also sell Common Stock short and deliver these securities to close out their short positions, or loan or pledge Common Stock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the Common Stock offered by this prospectus supplement, which Common Stock such broker-dealer or other financial institution may resell pursuant to this prospectus supplement (as supplemented or amended to reflect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enter into derivative transactions with third parties, or sell securities not covered by this prospectus supplement to third parties in privately negotiated transactions. In connection with those derivatives, the third parties may sell securities covered by this prospectus supplement, including in short sale transactions. If so, the third party may use shares of Common Stock pledged by such selling securityholder or borrowed from such selling securityholder or others to settle those sales or to close out any related open borrowings of stock, and may use shares of Common Stock received from such selling securityholder in settlement of those derivatives to close out any related open borrowings of stock. The third party in such sale transactions will be an underwriter and, if not identified in this prospectus supplement, will be identified in the applicable prospectus supplement (or a post-effective amendment). In addition, the selling securityholders may otherwise loan or pledge shares of Common Stock to a financial institution or other third party that in turn may sell the shares of Common Stock short using this prospectus supplement. Such financial institution or other third party may transfer its economic short position to investors in the securities of such selling securityholder or in connection with a concurrent offering of other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may also be exchanged for satisfaction of the selling securityholders’ obligations or other liabilities to their creditors. Such transactions may or may not involve brokers or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Common Stock covered by this prospectus supplement through underwriters, underwriters may receive compensation in the form of underwriting discounts or commissions and may also receive commissions from purchasers of shares of Common Stock for whom they may act as agent. Underwriters may sell to or through dealers, and such dealers may receive compensation in the form of discounts, concessions or commissions from the underwriters and/or commissions from the purchasers for whom they may act as agent. To the extent applicable, the selling securityholders will pay any underwriting discounts, selling commissions or transfer taxes incurred by the selling securityholders in connection with the sale of the Common Stock offered 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broker-dealers or agents participating in the distribution of Common Stock covered by this prospectus supplement may be deemed to be “underwriters” within the meaning of the Securities Act, and any commissions received by any of those underwriters, broker-dealers or agents may be deemed to be underwriting commissions under the Securities Act. A selling securityholder may be deemed to be an “underwriter” within the meaning of the Securities Act with respect to the sale of the Common Stock covered by this prospectus supplement. We have advised the selling securityholders that the anti-manipulation rules of Regulation M under the Exchange Act may apply to sales of shares in the market and to the activities of the selling securityholders and their respective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securityholders may agree to indemnify underwriters, broker-dealers or agents against certain liabilities, including liabilities under the Securities Act and may also agree to contribute to payments which the underwriters, broker-dealers or agents may be required to make.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underwriters, broker-dealers or agents who may become involved in the sale of our Common Stock may engage in transactions with and perform other services for us in the ordinary course of their business for which they receive customary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Common Stock covered by this prospectus supplement may be sold by selling securityholders in private transactions or under Rule 144 under the Securities Act or another available exemption from the registration requirements of the Securities Act rather than pursuant to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in the Registration Rights Agreement to indemnify the selling securityholders (and the selling securityholders have agreed to indemnify us) against certain liabilities, including certain liabilities under the Securities Act, the Exchange Act or other federal or state law. We have also agreed to pay certain registration expenses of the selling securityholders.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_010"/>
      <w:bookmarkEnd w:id="11"/>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for us by Latham &amp; Watkins LLP.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_011"/>
      <w:bookmarkEnd w:id="12"/>
      <w:r>
        <w:rPr>
          <w:rFonts w:ascii="Times New Roman;Times;Serif" w:hAnsi="Times New Roman;Times;Serif"/>
          <w:b/>
          <w:i w:val="false"/>
          <w:caps w:val="false"/>
          <w:smallCaps w:val="false"/>
          <w:sz w:val="20"/>
        </w:rPr>
        <w:t xml:space="preserve">EXPERTS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SoundHound AI, Inc.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an adverse opinion on the effectiveness of internal control over financial reporting and a paragraph relating to the effectiveness of internal control over financial reporting due to the exclusion of Interactions Corporation because it was acquired by SoundHound AI, Inc. in a business combination during 2025) of PricewaterhouseCoopers LLP,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LivePerson, Inc. as of December 31, 2025 and 2024, and for each of the three years in the period ended December 31, 2025, included as Exhibit 99.1 to the registration statement on Form S-3 (Registration No. 333-295779) of which this prospectus supplement forms a part, have been so included in reliance on the report of BDO USA, P.C.,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Interactions Corporation as of and for the year ended December 31, 2024 included in the Current Report on Form 8-K/A of SoundHound AI, Inc., filed with the Securities and Exchange Commission on November 17, 2025, have been audited by Ernst &amp; Young LLP, independent auditors, as set forth in their report thereon, included therein, and incorporated by reference herein. Such consolidated financial statements are incorporated herein by reference in reliance upon such report given on the authority of such firm as experts in accounting and auditing.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4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CONTRACTS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series, any one of the following securities of SoundHound AI, Inc. (“SoundHound,” the “Company,” “we,” “us” or “our”):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common stock, par value $0.0001 per share (the “Class A Shares,” the “Class A Common Stock” or the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contracts;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 to purchase our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subscription rights to purchase any of the foregoing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units comprised of, or other combinations of, the foregoing securities.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these securities separately or together, in one or more series or classes and in amounts, at prices and on terms described in one or more offerings. We may offer securities through underwriting syndicates managed or co-managed by one or more underwriters or dealers, through agents or directly to purchasers, or through a combination of these methods, on a continuous or delayed basis. If any agents, underwriters or dealers are involved in the sale of any securities with respect to which this prospectus is being delivered, the names of such agents, underwriters or dealers and any applicable fees, commissions, discounts and options to purchase additional shares will be set forth in a prospectus supplement. The prospectus supplement for each offering of securities will describe in detail the plan of distribution for that offering. The price to the public of such securities and the net proceeds we expect to receive from such sale will also be set forth in a prospectus supplement. For general information about the distribution of securities offered, please see “Plan of Distribution”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our securities are offered, we will provide a prospectus supplement containing more specific information about the particular offering and attach it to this prospectus. The prospectus supplements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offer or sell securities without a prospectus supplement which includes a description of the method and terms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listed on the Global Market of The Nasdaq Stock Market LLC (“Nasdaq”) under the symbol “SOUN.” The last reported sale price of our Class A Common Stock on May 8, 2026 was $8.88 per share. Our listed redeemable warrants are listed on the Nasdaq Global Market under the symbol “SOUNW.”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decide to seek a listing of any preferred stock, purchase contracts, warrants, subscriptions rights, depositary shares, debt securities or units offered by this prospectus, the related prospectus supplement will disclose the exchange or market on which the securities will be listed, if any, or where we have made an application for listing,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certain risks. See “Risk Factors” beginning on page 6  and the risk factors in our most recent Annual Report on Form 10-K, which is incorporated by reference herein, as well as in any other recently filed quarterly or current reports and in the relevant prospectus supplement. We urge you to carefully read this prospectus and any applicable prospectus supplement, together with the documents we incorporate by reference, describing the terms of these securities before investing.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May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5105"/>
        <w:gridCol w:w="500"/>
      </w:tblGrid>
      <w:tr>
        <w:trPr/>
        <w:tc>
          <w:tcPr>
            <w:tcW w:w="5105"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b/>
                <w:strike w:val="false"/>
                <w:dstrike w:val="false"/>
                <w:sz w:val="20"/>
                <w:u w:val="none"/>
                <w:effect w:val="none"/>
              </w:rPr>
              <w:t>Page</w:t>
            </w:r>
            <w:r>
              <w:rPr>
                <w:rFonts w:ascii="Times New Roman;Times;Serif" w:hAnsi="Times New Roman;Times;Serif"/>
                <w:strike w:val="false"/>
                <w:dstrike w:val="false"/>
                <w:sz w:val="20"/>
                <w:u w:val="none"/>
                <w:effect w:val="none"/>
              </w:rPr>
              <w:t> </w:t>
            </w:r>
          </w:p>
        </w:tc>
      </w:tr>
      <w:tr>
        <w:trPr/>
        <w:tc>
          <w:tcPr>
            <w:tcW w:w="51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trike w:val="false"/>
                  <w:dstrike w:val="false"/>
                  <w:sz w:val="20"/>
                  <w:u w:val="none"/>
                  <w:effect w:val="none"/>
                </w:rPr>
                <w:t>About This Prospectus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ii</w:t>
            </w:r>
          </w:p>
        </w:tc>
      </w:tr>
      <w:tr>
        <w:trPr/>
        <w:tc>
          <w:tcPr>
            <w:tcW w:w="51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trike w:val="false"/>
                  <w:dstrike w:val="false"/>
                  <w:sz w:val="20"/>
                  <w:u w:val="none"/>
                  <w:effect w:val="none"/>
                </w:rPr>
                <w:t>Cautionary Statement Regarding Forward-Looking Statements</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iii</w:t>
            </w:r>
          </w:p>
        </w:tc>
      </w:tr>
      <w:tr>
        <w:trPr/>
        <w:tc>
          <w:tcPr>
            <w:tcW w:w="51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trike w:val="false"/>
                  <w:dstrike w:val="false"/>
                  <w:sz w:val="20"/>
                  <w:u w:val="none"/>
                  <w:effect w:val="none"/>
                </w:rPr>
                <w:t>Prospectus Summary</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1</w:t>
            </w:r>
          </w:p>
        </w:tc>
      </w:tr>
      <w:tr>
        <w:trPr/>
        <w:tc>
          <w:tcPr>
            <w:tcW w:w="51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trike w:val="false"/>
                  <w:dstrike w:val="false"/>
                  <w:sz w:val="20"/>
                  <w:u w:val="none"/>
                  <w:effect w:val="none"/>
                </w:rPr>
                <w:t>Risk Factors</w:t>
              </w:r>
            </w:hyperlink>
          </w:p>
        </w:tc>
        <w:tc>
          <w:tcPr>
            <w:tcW w:w="500" w:type="dxa"/>
            <w:tcBorders/>
            <w:shd w:fill="FFFF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6</w:t>
            </w:r>
          </w:p>
        </w:tc>
      </w:tr>
      <w:tr>
        <w:trPr/>
        <w:tc>
          <w:tcPr>
            <w:tcW w:w="51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trike w:val="false"/>
                  <w:dstrike w:val="false"/>
                  <w:sz w:val="20"/>
                  <w:u w:val="none"/>
                  <w:effect w:val="none"/>
                </w:rPr>
                <w:t>Use of Proceeds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7</w:t>
            </w:r>
          </w:p>
        </w:tc>
      </w:tr>
      <w:tr>
        <w:trPr/>
        <w:tc>
          <w:tcPr>
            <w:tcW w:w="51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trike w:val="false"/>
                  <w:dstrike w:val="false"/>
                  <w:sz w:val="20"/>
                  <w:u w:val="none"/>
                  <w:effect w:val="none"/>
                </w:rPr>
                <w:t>Plan of Distribution</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8</w:t>
            </w:r>
          </w:p>
        </w:tc>
      </w:tr>
      <w:tr>
        <w:trPr/>
        <w:tc>
          <w:tcPr>
            <w:tcW w:w="51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trike w:val="false"/>
                  <w:dstrike w:val="false"/>
                  <w:sz w:val="20"/>
                  <w:u w:val="none"/>
                  <w:effect w:val="none"/>
                </w:rPr>
                <w:t>Description of Securities We May Offer</w:t>
              </w:r>
            </w:hyperlink>
          </w:p>
        </w:tc>
        <w:tc>
          <w:tcPr>
            <w:tcW w:w="500" w:type="dxa"/>
            <w:tcBorders/>
            <w:shd w:fill="CCEEFF" w:val="clear"/>
            <w:vAlign w:val="center"/>
          </w:tcPr>
          <w:p>
            <w:pPr>
              <w:pStyle w:val="TableContents"/>
              <w:bidi w:val="0"/>
              <w:spacing w:before="0" w:after="283"/>
              <w:jc w:val="center"/>
              <w:rPr>
                <w:strike w:val="false"/>
                <w:dstrike w:val="false"/>
                <w:u w:val="none"/>
                <w:effect w:val="none"/>
              </w:rPr>
            </w:pPr>
            <w:r>
              <w:rPr>
                <w:strike w:val="false"/>
                <w:dstrike w:val="false"/>
                <w:u w:val="none"/>
                <w:effect w:val="none"/>
              </w:rPr>
              <w:t>11</w:t>
            </w:r>
          </w:p>
        </w:tc>
      </w:tr>
      <w:tr>
        <w:trPr/>
        <w:tc>
          <w:tcPr>
            <w:tcW w:w="51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trike w:val="false"/>
                  <w:dstrike w:val="false"/>
                  <w:sz w:val="20"/>
                  <w:u w:val="none"/>
                  <w:effect w:val="none"/>
                </w:rPr>
                <w:t>Forms of Securities</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22</w:t>
            </w:r>
          </w:p>
        </w:tc>
      </w:tr>
      <w:tr>
        <w:trPr/>
        <w:tc>
          <w:tcPr>
            <w:tcW w:w="51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trike w:val="false"/>
                  <w:dstrike w:val="false"/>
                  <w:sz w:val="20"/>
                  <w:u w:val="none"/>
                  <w:effect w:val="none"/>
                </w:rPr>
                <w:t>Legal Matters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23</w:t>
            </w:r>
          </w:p>
        </w:tc>
      </w:tr>
      <w:tr>
        <w:trPr/>
        <w:tc>
          <w:tcPr>
            <w:tcW w:w="51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trike w:val="false"/>
                  <w:dstrike w:val="false"/>
                  <w:sz w:val="20"/>
                  <w:u w:val="none"/>
                  <w:effect w:val="none"/>
                </w:rPr>
                <w:t>Experts</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23</w:t>
            </w:r>
          </w:p>
        </w:tc>
      </w:tr>
      <w:tr>
        <w:trPr/>
        <w:tc>
          <w:tcPr>
            <w:tcW w:w="51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trike w:val="false"/>
                  <w:dstrike w:val="false"/>
                  <w:sz w:val="20"/>
                  <w:u w:val="none"/>
                  <w:effect w:val="none"/>
                </w:rPr>
                <w:t>Where You Can Find Additional Information</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23</w:t>
            </w:r>
          </w:p>
        </w:tc>
      </w:tr>
      <w:tr>
        <w:trPr/>
        <w:tc>
          <w:tcPr>
            <w:tcW w:w="51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trike w:val="false"/>
                  <w:dstrike w:val="false"/>
                  <w:sz w:val="20"/>
                  <w:u w:val="none"/>
                  <w:effect w:val="none"/>
                </w:rPr>
                <w:t>Incorporation of Documents By Reference</w:t>
              </w:r>
            </w:hyperlink>
          </w:p>
        </w:tc>
        <w:tc>
          <w:tcPr>
            <w:tcW w:w="500" w:type="dxa"/>
            <w:tcBorders/>
            <w:shd w:fill="FFFF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01"/>
      <w:bookmarkEnd w:id="13"/>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or SEC, utilizing an automatic “shelf” registration process. Under this shelf registration process, we may offer and sell, either individually or in combination, in one or more offerings, any of the securities described in this prospectus. This prospectus provides you with a general description of the securities we may offer. Each time we offer securities under this prospectus, we will provide a prospectus supplement to this prospectus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may not be used to consummate a sale of securities unless it is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Documents by Reference,” before investing in any of the securities being offered. We have not authorized anyone to provide you with different or additional information. This prospectus is an offer to sell only the securities offered hereby, but only under circumstances and in jurisdictions where it is lawful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sections entitled “Where You Can Find Additional Information” and “Incorporation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by reference, trademarks, tradenames, service marks and service names of SoundHound and its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2"/>
      <w:bookmarkEnd w:id="14"/>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or may contain “forward looking statements” within the meaning of Section 27A of the Securities Act of 1933, as amended (the “Securities Act”), Section 21E of the Securities Exchange Act of 1934, as amended, (the “Exchange Act”), and the Private Securities Litigation Reform Act of 1995. For all forward-looking statements, we claim the protection of the safe harbor for forward-looking statements contained in the Private Securities Litigation Reform Act of 1995.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These statements involve known and unknown risks, uncertainties and other factors that may cause our actual results, performance or achievements to be materially different from any future results, performances or achievements expressed or implied by the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The following factors among others, could cause actual results and future events to differ materially from those set forth or contemplated in the forward-looking statements: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our business strategy, including launching new product offerings and expanding information and technology capabilities;</w:t>
            </w:r>
          </w:p>
        </w:tc>
      </w:tr>
    </w:tbl>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market opportunity and our ability to acquire new customers and retain existing customers;</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and impact of our growth initiatives on our future financial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our ability to integrate the businesses and operations from our recent acquisitions with our current operations to realize the expected benefits of those acquisitions;</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close our pending acquisition of LivePerson, Inc.;</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rFonts w:ascii="Times New Roman;Times;Serif" w:hAnsi="Times New Roman;Times;Serif"/>
                <w:sz w:val="20"/>
                <w:shd w:fill="FFFFFF" w:val="clear"/>
              </w:rPr>
              <w:t>our ability to protect intellectual property and trade secrets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shd w:fill="FFFFFF" w:val="clear"/>
              </w:rPr>
              <w:t>our ability to obtain additional capital, as necessary, including equity or debt financing, on terms that are acceptable to us, if at all</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applicable laws or regulations and extensive and evolving government regulations that impact our operations and business;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or maintain a qualified workforce;</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170"/>
        <w:gridCol w:w="7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of product service failures that could lead our customers to use competitors’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investigations, claims, disputes, enforcement actions, litigation and/or other regulatory or legal proceedings, including with respect to our AI technology;</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uncertainty of our estimates of market opportunity and forecasts of market growth;</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we may be adversely affected by other economic, business, and/or competitive factors;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risks and uncertainties described under the section titled “Risk Factors” in this prospectus and the documents incorporated by reference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the applicable prospectus supplement and the documents incorporated by reference herein and therein, which may cause our or our industry’s actual results, levels of activity, performance or achievements to vary materially from those expressed or implied by these forward-looking statements. Moreover, we operate in a highly regulated,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prospectus and the documents incorporated by reference herein, and in particular, the risks discussed below and under the heading “Risk Factors” in this prospectus, the applicable prospectus supplement and in other documents we file with the SEC, as well as any amendments thereto. The following discussion should be read in conjunction with the consolidated financial statements included in our Annual Report on Form 10-K for the fiscal year ended December 31, 2025 and notes to such financial statements incorporated by reference 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you read in this prospectus, any prospectus supplement or any document incorporated by reference reflects our current views at the time the forward-looking statement was made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15" w:name="a_003"/>
      <w:bookmarkEnd w:id="15"/>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in this prospectus. This summary does not contain all the information that you should consider before investing in our Company. You should carefully read the entire prospectus, including all documents incorporated by reference herein. In particular, attention should be directed to our “Risk Factors,” “Information With Respect to the Company,” “Management’s Discussion and Analysis of Financial Condition and Results of Operations” and the financial statements and related notes thereto contained herein or otherwise incorporated by reference hereto, before making an investment decision.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used herein, and any amendment or supplement hereto, unless otherwise indicated, “we,” “us,” “our,” the “Company,” or “SoundHound” means SoundHound AI, Inc. and its subsidiaries. Unless otherwise indicated, all references in this prospectus to “dollars” or “$” refer to US dollars.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Company Overview</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global leader in conversational intelligence, offering independent Voice AI solutions that enable businesses to deliver high-quality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and Employee Assist. Along with SoundHound Chat AI, a powerful voice assistant with integrated Generative AI, SoundHound powers millions of products and services, and processes billions of interactions each year for world class businesses.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SoundHound developer platform, Houndify, is an open-access platform that allows developers to leverage SoundHound’s Voice AI technology and a library of over 100 content domains, including commonly used domains for points of interest, weather, flight status, sports and more. SoundHound's Collective AI is an architecture for connecting domain knowledge that encourages collaboration and contribution among developers. The architecture is based on proprietary software engineering technology, CaiLAN (Conversational AI Language), and machine learning technology, CaiNET (Conversational AI Network) to ensure fast, accurate and appropriate responses.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market position is strengthened by the technical barriers to entry in the Voice AI space, which tend to discourage new market participants. Furthermore, our technology is backed by significant investments in intellectual property, with over 359 patents granted and over 102 patents pending,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that SoundHound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our brand, users and data. As a result, brands relying on big tech may lose their ability to innovate, differentiate and customize. In some cases, these providers even compete with the products they support, making them increasingly less attractive as a choice for a voice interface.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alternative options are generally legacy vendors tending to use what we consider to be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creates a great opportunity for SoundHound: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When it comes to criteria for adoption, our goal is to win on every dimension. We believe to be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enabling them to offer disruptive technologies to their users while maintaining control of their brand and user experience.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also expect to provide an additional path to monetization for our customer base. By choosing our platform, product creators can generate additional revenue while making their product better by using Voice AI, providing further incentive to choose our platform.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We aim to deliver the most advanced Voice AI in the world and thus allowing our partners to differentiate and innovate their overall experiences for their brands.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strongly believe that product creators know their product and users best. The idea of a single third-party assistant taking over their product is not reflective of our anticipated future. We envision that every product will have its own identity, and will have Voice AI customized in different ways. Product creators can each tap into a single Collective AI to access the ever-growing set of domains, but the product creators can innovate on top of Collective AI and create value for the end users in their own way. This is the future that we are focusing on enabling.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When a product is voice enabled, we see three stages of integration and value propositions. The first stage is to enable the core use case of the product. For example, the product could be a TV, a coffee machine, a car, a wearable device, a robot, a smart speaker or an appliance, and with your voice you can control the functionality of the device and the product. With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in only a few seconds, but it can take many steps to use alternative interfaces such as a remote control or a companion app.</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or flight status, and even search for a local business. The addition of these public domains further enhances the value proposition of the product.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Products and Technology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momentum in the Voice AI market can, in large part, be attributed to our large number of technology breakthroughs.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Houndify Platform</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Houndify provides a web API that takes in text queries or audio and returns actionable JavaScript Object Notation to anyone with an internet connection wanting to add Voice AI to any product or application.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CaiNET and CaiLAN Expert Domain Selections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CaiNET software uses machine learning to enhance how domains work together to better handle complex queries including natural language processing, predictive analytics, and building language models, or translation of speech.</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SoundHound’s proprietary CaiLAN software expertly arbitrates responses so users get better answers from the right domain such as for use with natural language processing, predictive analytics, and building language models, or translation of speech.</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Automatic Speech Recognition (“ASR”)</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Natural Language Understanding (“NLU”)</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These technologies are anchored by three important innovations: Speech-to-Meaning, Deep Meaning Understanding and Collective AI.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Speech-to-Meaning refers to SoundHound’s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Deep Meaning Understanding is our innovative approach to language understanding that allows our Voice AI platform to understand highly complex conversation.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example it can understand: “Show me hotels in San Francisco that are less than $600, but not less than $300, are pet friendly, have a gym and a pool with at least three stars staying for two nights, and don’t include anything that doesn’t have Wi-Fi.”</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complex search like this will take many minutes to perform on a website with complex forms, but it can be done within a few seconds using SoundHound technology, which we believe to be unique in its ability to handle complex queries of this nature at scale.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Collective AI is an architecture that gives potential to SoundHound to improve the understanding capability of its platform exponentially based on linear contributions.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Most other platforms add skills or domains that are separate and don’t interact with each other. For them, linear contribution results in linear growth in understanding, which is less scalable. With the Collective AI architecture, SoundHound domains can be interconnected and learn from each other. As developers contribute to the platform, the platform’s understanding capability can grow exponentially.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Smart Ordering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 Smart Ordering offers an easy-to-understand voice assistant for restaurants that takes phone orders and automatically processes them by seamlessly integrating with multiple POS systems. For enterprises, we also offer a flexible Gateway to integrate with custom POSs.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Dynamic Interaction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Dynamic Interaction is a category-level breakthrough in conversational AI that we believe raises the bar for human-computer interaction by not only recognizing and understanding speech, but also responding and acting in real-time. Where existing voice technology requires wake words and relies on turn-taking with awkward pauses to process requests, Dynamic Interaction uses the twin technologies of fragment parsing – which breaks speech down to partial-utterances and processes them in real-time – and full-duplex audio-visual integration to create an instantaneous, next-generation experience in human-computer interaction.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SoundHound Chat AI</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launched SoundHound Chat AI, which we believe will usher in a new phase of voice-enabled, conversational AI by combining the power of software engineering and machine learning generative AI.</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 Chat AI integrates with dozens of knowledge domains, pulling real-time data like weather, sports, stocks, flight status, restaurants, and many more. We combine this with the most cutting-edge large language models like OpenAI’s ChatGPT to deliver the most accurate, timely, and comprehensive responses. There is no need for awkward search queries since you can speak to SoundHound Chat AI naturally, like another person. You can also follow-up questions and commands without awkward pauses to filter, sort, or add more information to the original request.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Smart Answering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SoundHound Smart Answering is built to offer all customer establishments, including restaurants, the option to build an easy to use, custom AI-powered voice assistant that can handle 100% of phone calls including, greetings, hours, menu, location, delivery, wait time, policies, promotions, including SMS functionality for reservations and appointments, and many more standard and custom options.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Wake Words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Wake words are the entry point into branded voice experiences, allowing users to invoke the assistant by literally speaking the company’s name. Examples range from “Hey Pandora” in a mobile app to “Hey Peugeot” within a vehicle.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Custom Domains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library of over 100 public domains is available to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Companies can enhance product functionality or proprietary operations with Houndify Private Domains, allowing customization and development of more specific content. Customers who subscribe for this service have full access to their private domains securely on our platform while retaining the ability to iterate and update content.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example, an automotive manufacturer can make helpful updates about the car’s user manual over time. In this way, SoundHound becomes a long-term “partner” to its customers, helping companies create the domains that they need in order to improve brand value for their own customers or end users.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Text-to-speech (“TTS”)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high quality TTS helps companies create a unique voice that differentiates them from the competition. Brands can fully express their personality by choosing the gender, tone, and personality that will become their vocal identity.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Edge and Cloud Connectivity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edge (embedded) we offer a fully-embedded voice solution for brands seeking the convenience of a voice user interface without the privacy or connectivity concerns of the internet. Includes full access to custom commands and the ability to instantly update commands during development.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With Cloud we equip your voice assistant with real-time data from the cloud, deliver the most relevant responses with no CPU or memory restrictions, and retain ownership of customer relationships with access to data and analytics.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To harness the capabilities of full cloud connectivity with the reliability of embedded edge voice technology. Houndify Edge Hybrid solutions are designed to ensure that devices are always-on and responsive to commands. Allows for over-the-air product updates and a broader voice experience with the level of cloud-connectivity that best matches the product and its users.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principal executive offices are located at 5400 Betsy Ross Drive, Santa Clara, CA 95054, and our telephone number is (408) 441-3200. Our corporate website address is </w:t>
      </w:r>
      <w:r>
        <w:rPr>
          <w:rFonts w:ascii="Times New Roman;Times;Serif" w:hAnsi="Times New Roman;Times;Serif"/>
          <w:b w:val="false"/>
          <w:i/>
          <w:caps w:val="false"/>
          <w:smallCaps w:val="false"/>
          <w:sz w:val="20"/>
          <w:bdr w:val="single" w:sz="12" w:space="5" w:color="000000"/>
        </w:rPr>
        <w:t>www.soundhound.com</w:t>
      </w:r>
      <w:r>
        <w:rPr>
          <w:rFonts w:ascii="Times New Roman;Times;Serif" w:hAnsi="Times New Roman;Times;Serif"/>
          <w:b w:val="false"/>
          <w:i w:val="false"/>
          <w:caps w:val="false"/>
          <w:smallCaps w:val="false"/>
          <w:sz w:val="20"/>
          <w:bdr w:val="single" w:sz="12" w:space="5" w:color="000000"/>
        </w:rPr>
        <w:t>. The information contained on or accessible through our website is not a part of, and is not incorporated by reference into, this prospectus.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4"/>
      <w:bookmarkEnd w:id="1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deciding whether to invest in our securities, you should carefully consider the risk factors we describe in any prospectus supplement and in any related free writing prospectus for a specific offering of securities, as well as those described in the documents incorporated by reference into this prospectus and any prospectus supplement. You should also carefully consider other information contained and incorporated by reference in this prospectus and any applicable prospectus supplement, including our financial statements and the related notes thereto incorporated by reference in this prospectus. The risks and uncertainties described in the applicable prospectus supplement and our other filings with the SEC incorporated by reference therein and herein are not the only ones we face. Additional risks and uncertainties not presently known to us or that we currently consider immaterial may also adversely affect us. If any of the described risks occur, our business, financial condition or results of operations could be materially harmed. In such case, the value of our securities could decline and you may lose all or part of your investment. Please also carefully read the section titled “Cautionary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5"/>
      <w:bookmarkEnd w:id="1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these sales for general corporate purposes, which may include, without limitation, investing in or acquiring companies and working capital. The amounts and timing of these expenditures will depend on numerous factors, including the development of our current business initiatives. Pending use of the net proceeds, we intend to invest the net proceeds in short-term, interest-bearing, investment-grade securities or in cash or money market funds.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6"/>
      <w:bookmarkEnd w:id="1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from time to time to or through underwriters or dealers, through agents, or directly to one or more purchasers. A distribution of the securities offered by this prospectus may also be effected through the issuance of derivative securities, including without limitation, warrants, rights to purchase and subscriptions. In addition, the manner in which we may sell some or all of the securities covered by this prospectus includes, without limitation, through: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block trade in which a broker-dealer will attempt to sell as agent, but may position or resell a portion of the block, as principal, in order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a broker solicits purchasers.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or supplements with respect to each series of securities will describe the terms of the offering, including, to the extent applicable: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the underwriters or agents and the amounts of securities underwritten or purchased by each of them,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 offering price or purchase price of the securities or other consideration therefor, and the proceeds to be received by us from the sale;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delayed delivery requirements;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over-allotment options under which underwriters may purchase additional securities from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underwriting discounts or agency fees and other items constituting underwriters’ or agents’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securities described in this prospectus by us, the underwriters or the third parties described above may be effected from time to time in one or more transactions, including privately negotiated transactions, either:</w:t>
      </w:r>
    </w:p>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fixed price or prices, which may be changed;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 “at the market” offering within the meaning of Rule 415(a)(4) of the Securities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prices related to such prevailing market prices;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will be underwriters of the securities offered by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 and Agents; Direct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 sale, they will acquire the offered securities for their own account and may resell the offered securities from time to time in one or more transactions, including negotiated transactions, at a fixed public offering price or at varying prices determined at the time of sale. We may offer the securities to the public through underwriting syndicates represented by managing underwriters or by underwriters without a syndicate.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prospectus supplement states otherwise, the obligations of the underwriters to purchase the securities will be subject to the conditions set forth in the applicable underwriting agreement.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offered securities to dealers as principals. The dealer may then resell such securities to the public either at varying prices to be determined by the dealer or at a fixed offering price agreed to with us at the time of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Institutional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on the solicitations.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enter into such delayed contracts only with institutional purchasers that we approve. These institutions may include commercial and savings banks, insurance companies, pension funds, investment companies and educational and charitable institutions.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Other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underwriters, dealers and remarketing firms with indemnification against certain civil liabilities, including liabilities under the Securities Act, or contribution with respect to payments that the agents or underwriters may make with respect to these liabilities. Agents, underwriters, dealers and remarketing firms, and their affiliates, may engage in transactions with, or perform services for, us in the ordinary course of business. This includes commercial banking and investment banking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Market-Making; Stabilization and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market for any of the offered securities, other than our Class A Common Stock and redeemable listed warrants, which are quoted on the Nasdaq Global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warrants or subscription rights on any securities exchange or quotation system; any such listing with respect to any particular debt securities, preferred stock, warrants or subscription rights will be described in the applicable prospectus supplement or other offering materials,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or agents that are qualified market makers on the Nasdaq Global Market may engage in passive market making transactions in our Class A Common Stock or redeemable listed warrants on the Nasdaq Global Market in accordance with Regulation M under the Exchange Act, during the business day prior to the pricing of the offering, before the commencement of offers or sales of our Class A Common Stock or redeemable listed warrants.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7"/>
      <w:bookmarkEnd w:id="19"/>
      <w:r>
        <w:rPr>
          <w:rFonts w:ascii="Times New Roman;Times;Serif" w:hAnsi="Times New Roman;Times;Serif"/>
          <w:b/>
          <w:i w:val="false"/>
          <w:caps w:val="false"/>
          <w:smallCaps w:val="false"/>
          <w:sz w:val="20"/>
        </w:rPr>
        <w:t>DESCRIPTION OF SECURITIES WE MAY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terms of our capital stock. The following description is not complete and may not contain all the information you should consider before investing in our capital stock. For a more detailed description of these securities, you should read the applicable provisions of Delaware law and our Restated Certificate of Incorporation, referred to herein as our charter, and our Amended and Restated Bylaws, referred to herein as our bylaws. When we offer to sell a particular series of these securities, we will describe the specific terms of the series in a supplement to this prospectus. Accordingly, for a description of the terms of any series of securities, you must refer to both the prospectus supplement relating to that series and the description of the securities described in this prospectus. To the extent the information contained in the prospectus supplement differs from this summary description, you should rely on the information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800,000,000 shares, par value $0.0001 per share, consisting of: 799,000,000 shares of common stock, of which, 755,000,000 shares are designated as Class A Common Stock and 44,000,000 shares are designated as Class B common stock (“Class B Common Stock”); and 1,000,000 shares of preferred stock, all of which are currently undesignated.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directly or through agents, dealers or underwriters designated from time to time, may offer, issue and sell, together or separately,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preferred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contracts;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to purchase our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rights to purchase our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units comprised of, or other combinations of, the foregoing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exchangeable for or convertible into shares of common stock, preferred stock or other securities that may be sold by us pursuant to this prospectus or any combination of the foregoing. The preferred stock may also be exchangeable for and/or convertible into shares of common stock, another series of preferred stock or other securities that may be sold by us pursuant to this prospectus or any combination of the foregoing. When a particular series of securities is offered, a supplement to this prospectus will be delivered with this prospectus, which will set forth the terms of the offering and sale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390,070,691 shares of the Company’s Class A Common Stock and 32,535,408 shares of the Company’s Class B Common Stock issued and outstanding. In addition, there were 3,654,115 shares of Class A Common Stock issuable upon exercise of outstanding warrants, 3,883,413 shares of Class A Common Stock issuable upon exercise of outstanding stock options, 15,971,969 shares of Class A Common Stock issuable upon vesting of restricted stock units and 20,844,261 shares of Class A Common Stock issuable upon the achievement of certain milestones in connection with our acquisitions of Synq3, Inc. (“Synq3”) and Amelia Holdings, Inc. (“Amelia”).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for two classes of common stock, and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Our charter provides for mandatory or optional conversion of the Class B Common Stock upon the occurrence of circumstances described in the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and Class B are not entitled to pre-emptive rights and are not subject to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including any series of preferred stock that we may designate and issue in the future. Our Class A Common Stock are listed on The Nasdaq Global Market under the trading symbol “SOUN.” The transfer agent and registrar for our Class A Common Stock is Continental Stock Transfer &amp; Trust Company. The Transfer Agent’s address is 1 State Street, 30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 New York, New York 10004.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have 1,000,000 shares of preferred stock authorized, all of which are currently undesignated. Pursuant to our charter, our undesignated shares of preferred stock are “blank check” preferred stock which means that our board of directors are authorized, without further action by the stockholders, to establish one or more class or series, and fix the relative rights and preferences of the Company’s undesignated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offering of undesignated preferred stock, we will fix the rights, preferences, privileges and restrictions of the preferred stock of each series in the certificate of designation relating to that series. We will file as an exhibit to the registration statement of which this prospectus is a part, or will incorporate by reference from a current report on Form 8-K that we file with the SEC, the form of any certificate of designation that describes the terms of the series of preferred stock we are offering before the issuance of the related series of preferred stock. This description will include any or all of the following, as required:</w:t>
      </w:r>
    </w:p>
    <w:p>
      <w:pPr>
        <w:pStyle w:val="TextBody"/>
        <w:bidi w:val="0"/>
        <w:spacing w:before="0" w:after="0"/>
        <w:ind w:left="0" w:right="0" w:firstLine="72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170"/>
        <w:gridCol w:w="20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and stated value;</w:t>
            </w:r>
          </w:p>
        </w:tc>
      </w:tr>
    </w:tbl>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170"/>
        <w:gridCol w:w="3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we are offering;</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liquidation preference per share;</w:t>
            </w:r>
          </w:p>
        </w:tc>
      </w:tr>
    </w:tbl>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rate, period and payment date and method of calculation for dividends;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dividends will be cumulative or non-cumulative and, if cumulative, the date from which dividends will accumulate;</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contractual limitations on our ability to declare, set aside or pay any dividends;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for any auction and remarketing, if any;</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a sinking fund,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redemption or repurchase, if applicable, and any restrictions on our ability to exercise those redemption and repurchase rights;</w:t>
            </w:r>
          </w:p>
        </w:tc>
      </w:tr>
    </w:tbl>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listing of the preferred stock on any securities exchange or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stock will be convertible into our common stock, and, if applicable, the conversion price, or how it will be calculated, and the conversion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stock will be exchangeable into debt securities, and, if applicable, the exchange price, or how it will be calculated, and the exchange period;</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if any, of the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rights, if any;</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transfer, sale or other assignment, if any;</w:t>
            </w:r>
          </w:p>
        </w:tc>
      </w:tr>
    </w:tbl>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170"/>
        <w:gridCol w:w="6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interests in the preferred stock will be represented by depositary shares;</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170"/>
        <w:gridCol w:w="9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United States federal income tax considerations applicable to the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stock as to dividend rights and rights if we liquidate, dissolve or wind up our affairs;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issuance of any class or series of preferred stock ranking senior to or on a parity with the series of preferred stock as to dividend rights and rights if we liquidate, dissolve or wind up our affairs; and</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preferred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shares of preferred stock under this prospectus, after receipt of payment therefor, the shares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that the holders of preferred stock will have the right to vote separately as a class on any proposal involving fundamental changes in the rights of holders of that preferred stock. This right is in addition to any voting rights provided for in the applicable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authorize the issuance of preferred stock with voting or conversion rights that could adversely affect the voting power or other rights of the holders of our common stock. Preferred stock could be issued quickly with terms designed to delay or prevent a change in control of our Company or make removal of management more difficult. Additionally, the issuance of preferred stock could have the effect of decreasing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purchase contracts, representing contracts obligating holders to purchase from us, and us to sell to the holders, a specific or varying number of Class A Common Stock, preferred stock, warrants, depositary shares, debt securities, or any combination of the above, at a future date or dates. Alternatively, the purchase contracts may obligate us to purchase from holders, and obligate holders to sell to us, a specific or varying number of Class A Common Stock, preferred stock, warrants, depositary shares, debt securities, or any combination of the above. The price of the securities and other property subject to the purchase contracts may be fixed at the time the purchase contracts are issued or may be determined by reference to a specific formula set forth in the purchase contracts. The purchase contracts may be issued separately or as a part of a unit that consists of (a) a purchase contract and (b) one or more of the other securities that may be sold by us pursuant to this prospectus or any combination of the foregoing, which may secure the holders’ obligations to purchase the securities under the purchase contract. The purchase contracts may require us to make periodic payments to the holders or require the holders to make periodic payments to us. These payments may be unsecured or prefunded and may be paid on a current or on a deferred basis. The purchase contracts may require holders to secure their obligations under the contracts in a manner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forms of the purchase contracts and purchase contract agreement, if any. The applicable prospectus supplement will describe the terms of any purchase contracts in respect of which this prospectus is being delivered, including, to the extent applicable,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the purchase contracts are to be prepaid or not;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purchase contracts are to be settled by delivery, or by reference or linkage to the value, performance or level of the securities subject to purchase under the purchase contract;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850" w:type="dxa"/>
        <w:jc w:val="left"/>
        <w:tblInd w:w="0" w:type="dxa"/>
        <w:tblLayout w:type="fixed"/>
        <w:tblCellMar>
          <w:top w:w="0" w:type="dxa"/>
          <w:left w:w="0" w:type="dxa"/>
          <w:bottom w:w="0" w:type="dxa"/>
          <w:right w:w="0" w:type="dxa"/>
        </w:tblCellMar>
      </w:tblPr>
      <w:tblGrid>
        <w:gridCol w:w="75"/>
        <w:gridCol w:w="170"/>
        <w:gridCol w:w="9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acceleration, cancellation, termination or other provisions relating to the settlement of the purchase contracts;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purchase contracts will be issued in fully registered or global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securities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forms of the warrant and warrant agreement, if any. The prospectus supplement relating to any warrants that we may offer will contain the specific terms of the warrants and a description of the material provisions of the applicable warrant agreement, if any. These terms may include the following:</w:t>
      </w:r>
    </w:p>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170"/>
        <w:gridCol w:w="1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amount and terms of the securities or other rights for which the warrants are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other securities, if any, with which the warrants are to be issued and the number of warrants issued with each other security;</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securities or other rights purchasable upon exercise of the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the warrants and the securities or other rights purchasable upon exercise of the warrants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U.S. federal income tax considerations applicable to the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maximum or minimum number of warrants that may be exercised at any time;</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warrants, including terms, procedures and limitations relating to the exchange and exercise of the warrants.</w:t>
            </w:r>
          </w:p>
        </w:tc>
      </w:tr>
    </w:tbl>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of Warrants</w:t>
      </w:r>
      <w:r>
        <w:rPr>
          <w:rFonts w:ascii="Times New Roman;Times;Serif" w:hAnsi="Times New Roman;Times;Serif"/>
          <w:b w:val="false"/>
          <w:i w:val="false"/>
          <w:caps w:val="false"/>
          <w:smallCaps w:val="false"/>
          <w:sz w:val="20"/>
        </w:rPr>
        <w:t>. Each warrant will entitle the holder of warrants to purchase the amount of securities or other rights,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Currently 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3,654,115 public warrants and warrants that were issued in private placement transactions outstanding, including 208,000 warrants issued in connection with our Business Combination (as hereinafter defined) (the “private warrants”). The terms of our private warrants and the terms of our public warrants are identical. Each whole warrant entitles the registered holder to purchase one share of Class A Common Stock at a price of $11.50 per share, subject to adjustment as discussed below, at any time commencing 30 days after the completion of our business combination with Archimedes Tech SPAC Partners Co. on April 26, 2022 (the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the Business Combination, warrant holders may, until such time as there is an effective registration statement and during any period when we shall have failed to maintain an effective registration statement, exercise the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are listed on The Nasdaq Global Market under the trading symbol “SOUNW.” The warrant agent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In connection with a rights offering to holders of our capital stock a prospectus supplement will be distributed to such holders on the record date for receiving rights in the rights offering set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 current report on Form 8-K that we file with the SEC, forms of the subscription rights, standby underwriting agreement or other agreements, if any. 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amount of securities purchasable upon exercise of the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federal income tax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if any,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We may offer fractional shares of preferred stock, rather than full shares of preferred stock. If we decide to offer fractional shares of our preferred stock, we will issue receipts for depositary shares. Each depositary share will represent a fraction of a share of a particular series of our preferred stock, and the applicable prospectus supplement will indicate that fraction. The shares of preferred stock represented by depositary shares will be deposited under a deposit agreement between us and a depositary that is a bank or trust company that meets certain requirements and is selected by us.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our preferred stock in accordance with the terms of the offering. We will file as exhibits to the registration statement of which this prospectus is a part, or will incorporate by reference from a current report on Form 8-K that we file with the SEC, forms of the deposit agreement, form of certificate of designation of underlying preferred stock, form of depositary receipts and any other related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 and Other Distributions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will distribute all cash dividends or other cash distributions received by it in respect of the preferred stock to the record holders of depositary shares relating to such preferred shares in proportion to the numbers of depositary shares held on the relevant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of Depositary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we redeem the preferred stock, the depositary will redeem a number of depositary shares representing the same number of shares of preferred stock so redeemed. If fewer than all of the depositary shares are to be redeemed, the depositary shares to be redeemed will be selected by lot, pro rata or by any other equitable method as the depositary may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of Underlying Shares</w:t>
      </w:r>
      <w:r>
        <w:rPr>
          <w:rFonts w:ascii="Times New Roman;Times;Serif" w:hAnsi="Times New Roman;Times;Serif"/>
          <w:b w:val="false"/>
          <w:i w:val="false"/>
          <w:caps w:val="false"/>
          <w:smallCaps w:val="false"/>
          <w:sz w:val="20"/>
        </w:rPr>
        <w:t>. Upon receipt of notice of any meeting at which the holders of our preferred stock of any series are entitled to vote, 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We will agree to take all action that the depositary may deem reasonably necessary in order to enable the depositary to do so. To the extent the depositary does not receive specific instructions from the holders of depositary shares relating to such preferred shares, it will abstain from voting such shares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Withdrawal of Shares</w:t>
      </w:r>
      <w:r>
        <w:rPr>
          <w:rFonts w:ascii="Times New Roman;Times;Serif" w:hAnsi="Times New Roman;Times;Serif"/>
          <w:b w:val="false"/>
          <w:i w:val="false"/>
          <w:caps w:val="false"/>
          <w:smallCaps w:val="false"/>
          <w:sz w:val="20"/>
        </w:rPr>
        <w:t>. Upon surrender of depositary receipts representing any number of whole shares at the depositary’s office, unless the related 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 and Termination of Depositary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form of depositary receipt evidencing the depositary shares and any provision of the applicable depositary agreement may at any time be amended by agreement between us and the depositary. We may, with the consent of the depositary, amend the depositary agreement from time to time in any manner that we desire. However, if the amendment would materially and adversely alter the rights of the existing holders of depositary shares, the amendment would need to be approved by the holders of at least a majority of the depositary shares then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agreement may be terminated by us or the depositary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outstanding depositary shares have been redeemed;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has been a final distribution in respect of the shares of preferred stock of the applicable series in connection with our liquidation, dissolution or winding up and such distribution has been made to the holders of depositary receipts.</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Resignation and Removal of Depositary.</w:t>
      </w:r>
      <w:r>
        <w:rPr>
          <w:rFonts w:ascii="Times New Roman;Times;Serif" w:hAnsi="Times New Roman;Times;Serif"/>
          <w:b w:val="false"/>
          <w:i w:val="false"/>
          <w:caps w:val="false"/>
          <w:smallCaps w:val="false"/>
          <w:sz w:val="20"/>
        </w:rPr>
        <w:t xml:space="preserve"> The depositary may resign at any time by delivering to us notice of its election to do so. We may remove a depositary at any time. Any resignation or removal will take effect upon the appointment of a successor depositary and its acceptance of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xml:space="preserve"> We will pay all transfer and other taxes and governmental charges arising solely from the existence of any depositary arrangements. We will pay all charges of each depositary in connection with the initial deposit of the preferred shares of any series, the initial issuance of the depositary shares, any redemption of such preferred shares and any withdrawals of such preferred shares by holders of depositary shares. Holders of depositary shares will be required to pay any other transfer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Each depositary will forward to the holders of the applicable depositary shares all notices, reports and communications from us which are delivered to such depositary and which we are required to furnish the holders of the preferred stock represented by such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The depositary agreement may contain provisions that limit our liability and the liability of the depositary to the holders of depositary shares. Both the depositary and we are also entitled to an indemnity from the holders of the depositary shares prior to bringing, or defending against, any legal proceeding. We or any depositary may rely upon written advice of counsel or accountants, or information provided by persons presenting preferred shares for deposit, holders of depositary shares or other persons believed by us to be competent and on documents believed by us or them to be genuine.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may be issued under an indenture (which we refer to herein as an Indenture), which are contracts entered into between us and a trustee to be named therein. The Indenture has been filed as an exhibit to the registration statement of which this prospectus forms a part. We may issue debt securities and incur additional indebtedness other than through the offering of debt securities pursuant to this prospectus. It is likely that convertible debt securities will not be issued under an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unsecured indebtedness issued under an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describe the terms relating to the specific series of debt securities. These terms will include some or all of the following:</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debt securities and whether the debt securities are senior or subordinated;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6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aggregate principal amount of debt securities of such series;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6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the principal amount at which the debt securities of any series will be issued;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6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issue additional debt securities of the same series;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6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for the debt securities and the denominations of the debt securities;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specific designation of the series of debt securities being offered;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basis for calculating interest;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from which any interest will accrue or the method by which such date or dates will be determined;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duration of any deferral period, including the period during which interest payment periods may be extended;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we will pay interest on the debt securities and the regular record date for determining who is entitled to the interest payable on any interest payment date;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of amortization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terms for the attachment to the debt securities of warrants, options or other rights to purchase or sell our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debt securities will be secured by any collateral and, if so, a general description of the collateral and the terms and provisions of such collateral security, pledge or other agreements;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possess the option to do so, the periods within which and the prices at which we may redeem the debt securities, in whole or in part, pursuant to optional redemption provisions, and the other terms and conditions of any such provisions;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any, regarding the option or mandatory conversion or exchange of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restriction or condition on the transferability of the debt securities of a particular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or methods of determining the portion, of the principal amount of the debt securities which we must pay upon the acceleration of the maturity of the debt securities in connection with any event of default;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if any, granting special rights to holders of the debt securities upon the occurrence of specified events;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 on our ability to incur debt, redeem stock, sell our assets or other restrictions;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application, if any, of the terms of the applicable Indenture relating to defeasance and covenant defeasance (which terms are described below) to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what subordination provisions will apply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if any, upon which the holders may convert or exchange the debt securities into or for our securities or property;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we are issuing the debt securities in whole or in part in global form;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change in the right of the trustee or the requisite holders of debt securities to declare the principal amount thereof due and payable because of an event of default;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for global or certificated debt securities,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material federal income tax consequences applicable to the debt securities, including any debt securities denominated and made payable, as described in the prospectus supplements, in foreign currencies, or units based on or related to foreign currencies;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any trustees, depositories, authenticating or paying agents, transfer agents or registrars or other agents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the principal amount of any debt securities which shall be payable upon declaration of acceleration of the maturity of the debt securities pursuant to the applicable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of the debt securities, including any modifications to the events of default under the debt securities and any other terms which may be required by or advisable under applicable laws or regulations.</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any units, certain terms of that series of units will be described in the applicable prospectus supplement, including, without limitation, the following, as applicable:</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title of the series of units;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identification and description of the separate constituent securities comprising the units;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price or prices at which the units will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if any, on and after which the constituent securities comprising the units will be separately transferable;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discussion of certain United States federal income tax considerations applicable to the units;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material terms of the units and their constituent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8"/>
      <w:bookmarkEnd w:id="20"/>
      <w:r>
        <w:rPr>
          <w:rFonts w:ascii="Times New Roman;Times;Serif" w:hAnsi="Times New Roman;Times;Serif"/>
          <w:b/>
          <w:i w:val="false"/>
          <w:caps w:val="false"/>
          <w:smallCaps w:val="false"/>
          <w:sz w:val="20"/>
        </w:rPr>
        <w:t>FORMS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may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securities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to holders with respect to securities represented by a registered global security registered in the name of a depositary or its nominee will be made to the depositary or its nominee, as the case may be, as the registered owner of the registered global security. None of the Company, the trustees, the warrant agents, the unit agents or any other agent of the Company, agent of the trustees,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payment or distribution to holders of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9"/>
      <w:bookmarkEnd w:id="21"/>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will be passed upon for us by Ellenoff Grossman &amp; Schole LLP, New York, New York. If legal matters in connection with offerings made by this prospectus are passed on by counsel for the underwriters, dealers or agents, if any, that counsel will be named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10"/>
      <w:bookmarkEnd w:id="22"/>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financial statements of SoundHound AI, Inc.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an adverse opinion on the effectiveness of internal control over financial reporting and a paragraph relating to the effectiveness of internal control over financial reporting due to the exclusion of Interactions Corporation because it was acquired by the Company in a business combination during 2025) of PricewaterhouseCoopers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consolidated financial statements of LivePerson, Inc. as of December 31, 2025 and 2024, and for each of the three years in period ended December 31, 2025, included as Exhibit 99.1 to this Registration Statement have been so included in reliance on the report of BDO USA, P.C.,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consolidated financial statements of Interactions Corporation as of and for the year ended December 31, 2024 included in the Current Report on Form 8-K/A of SoundHound AI, Inc., filed with the Securities and Exchange Commission on November, 14, 2025, have been audited by Ernst &amp; Young LLP independent auditors, as set forth in their report thereon, included therein, and incorporated by reference herein. Such consolidated financial statements are incorporated herein by reference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11"/>
      <w:bookmarkEnd w:id="23"/>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We file annual, quarter and periodic reports, proxy statements and other information with the SEC using its EDGAR system. The SEC maintains a web site that contains reports, proxy and information statements and other information regarding registrants that file electronically with the SEC. The address of such site is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2"/>
      <w:bookmarkEnd w:id="24"/>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SEC and they are incorporated herein by reference as of their respective dates of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1. Our Annual Report on </w:t>
      </w:r>
      <w:hyperlink r:id="rId18">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with the SEC on March 2,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2. Our </w:t>
      </w:r>
      <w:hyperlink r:id="rId19">
        <w:r>
          <w:rPr>
            <w:rStyle w:val="InternetLink"/>
            <w:rFonts w:ascii="Times New Roman;Times;Serif" w:hAnsi="Times New Roman;Times;Serif"/>
            <w:b w:val="false"/>
            <w:i w:val="false"/>
            <w:caps w:val="false"/>
            <w:smallCaps w:val="false"/>
            <w:sz w:val="20"/>
          </w:rPr>
          <w:t>Definitive Proxy Statement</w:t>
        </w:r>
      </w:hyperlink>
      <w:r>
        <w:rPr>
          <w:rFonts w:ascii="Times New Roman;Times;Serif" w:hAnsi="Times New Roman;Times;Serif"/>
          <w:b w:val="false"/>
          <w:i w:val="false"/>
          <w:caps w:val="false"/>
          <w:smallCaps w:val="false"/>
          <w:sz w:val="20"/>
        </w:rPr>
        <w:t xml:space="preserve"> filed with the SEC on April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3. Our Current Report on </w:t>
      </w:r>
      <w:hyperlink r:id="rId20">
        <w:r>
          <w:rPr>
            <w:rStyle w:val="InternetLink"/>
            <w:rFonts w:ascii="Times New Roman;Times;Serif" w:hAnsi="Times New Roman;Times;Serif"/>
            <w:b w:val="false"/>
            <w:i w:val="false"/>
            <w:caps w:val="false"/>
            <w:smallCaps w:val="false"/>
            <w:sz w:val="20"/>
          </w:rPr>
          <w:t>Form 8-K/A</w:t>
        </w:r>
      </w:hyperlink>
      <w:r>
        <w:rPr>
          <w:rFonts w:ascii="Times New Roman;Times;Serif" w:hAnsi="Times New Roman;Times;Serif"/>
          <w:b w:val="false"/>
          <w:i w:val="false"/>
          <w:caps w:val="false"/>
          <w:smallCaps w:val="false"/>
          <w:sz w:val="20"/>
        </w:rPr>
        <w:t xml:space="preserve"> filed with the SEC on November 17, 2025 and our Current Reports on Form 8-K filed with the SEC on </w:t>
      </w:r>
      <w:hyperlink r:id="rId21">
        <w:r>
          <w:rPr>
            <w:rStyle w:val="InternetLink"/>
            <w:rFonts w:ascii="Times New Roman;Times;Serif" w:hAnsi="Times New Roman;Times;Serif"/>
            <w:b w:val="false"/>
            <w:i w:val="false"/>
            <w:caps w:val="false"/>
            <w:smallCaps w:val="false"/>
            <w:sz w:val="20"/>
          </w:rPr>
          <w:t>March 18, 2026</w:t>
        </w:r>
      </w:hyperlink>
      <w:r>
        <w:rPr>
          <w:rFonts w:ascii="Times New Roman;Times;Serif" w:hAnsi="Times New Roman;Times;Serif"/>
          <w:b w:val="false"/>
          <w:i w:val="false"/>
          <w:caps w:val="false"/>
          <w:smallCaps w:val="false"/>
          <w:sz w:val="20"/>
        </w:rPr>
        <w:t xml:space="preserve"> and </w:t>
      </w:r>
      <w:hyperlink r:id="rId22">
        <w:r>
          <w:rPr>
            <w:rStyle w:val="InternetLink"/>
            <w:rFonts w:ascii="Times New Roman;Times;Serif" w:hAnsi="Times New Roman;Times;Serif"/>
            <w:b w:val="false"/>
            <w:i w:val="false"/>
            <w:caps w:val="false"/>
            <w:smallCaps w:val="false"/>
            <w:sz w:val="20"/>
          </w:rPr>
          <w:t>April 21, 2026</w:t>
        </w:r>
      </w:hyperlink>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4. The description of our common stock and warrants contained in our Registration Statement on </w:t>
      </w:r>
      <w:hyperlink r:id="rId23">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March 10, 2021 and the Description of Securities filed as </w:t>
      </w:r>
      <w:hyperlink r:id="rId24">
        <w:r>
          <w:rPr>
            <w:rStyle w:val="InternetLink"/>
            <w:rFonts w:ascii="Times New Roman;Times;Serif" w:hAnsi="Times New Roman;Times;Serif"/>
            <w:b w:val="false"/>
            <w:i w:val="false"/>
            <w:caps w:val="false"/>
            <w:smallCaps w:val="false"/>
            <w:strike w:val="false"/>
            <w:dstrike w:val="false"/>
            <w:sz w:val="20"/>
            <w:u w:val="none"/>
            <w:effect w:val="none"/>
          </w:rPr>
          <w:t>Exhibit 4.5</w:t>
        </w:r>
      </w:hyperlink>
      <w:r>
        <w:rPr>
          <w:rFonts w:ascii="Times New Roman;Times;Serif" w:hAnsi="Times New Roman;Times;Serif"/>
          <w:b w:val="false"/>
          <w:i w:val="false"/>
          <w:caps w:val="false"/>
          <w:smallCaps w:val="false"/>
          <w:sz w:val="20"/>
        </w:rPr>
        <w:t xml:space="preserve"> to our Annual Report on </w:t>
      </w:r>
      <w:hyperlink r:id="rId25">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2022, including any amendments or reports filed for the purpose of updating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request, orally or in writing, a copy of these documents, which will be provided to you at no cost (other than exhibits, unless such exhibits are specifically incorporate by reference), by contacting General Counsel, c/o SoundHound AI, Inc., at 5400 Betsy Ross Drive, Santa Clara, CA 95054. Our telephone number is (408) 441-3200. Information about us is also available at our website at </w:t>
      </w:r>
      <w:r>
        <w:rPr>
          <w:rFonts w:ascii="Times New Roman;Times;Serif" w:hAnsi="Times New Roman;Times;Serif"/>
          <w:b w:val="false"/>
          <w:i/>
          <w:caps w:val="false"/>
          <w:smallCaps w:val="false"/>
          <w:sz w:val="20"/>
        </w:rPr>
        <w:t>www.soundhound.com</w:t>
      </w:r>
      <w:r>
        <w:rPr>
          <w:rFonts w:ascii="Times New Roman;Times;Serif" w:hAnsi="Times New Roman;Times;Serif"/>
          <w:b w:val="false"/>
          <w:i w:val="false"/>
          <w:caps w:val="false"/>
          <w:smallCaps w:val="false"/>
          <w:sz w:val="20"/>
        </w:rPr>
        <w:t>. However, the information in our website is not a part of this prospectus and is not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25" w:name="ea030452401ex-fee.htm"/>
      <w:bookmarkStart w:id="26" w:name="ksea030452401exfee"/>
      <w:bookmarkEnd w:id="25"/>
      <w:bookmarkEnd w:id="26"/>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SOUNDHOUND AI,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360" w:type="dxa"/>
        <w:jc w:val="left"/>
        <w:tblInd w:w="0" w:type="dxa"/>
        <w:tblLayout w:type="fixed"/>
        <w:tblCellMar>
          <w:top w:w="0" w:type="dxa"/>
          <w:left w:w="0" w:type="dxa"/>
          <w:bottom w:w="0" w:type="dxa"/>
          <w:right w:w="0" w:type="dxa"/>
        </w:tblCellMar>
      </w:tblPr>
      <w:tblGrid>
        <w:gridCol w:w="530"/>
        <w:gridCol w:w="60"/>
        <w:gridCol w:w="800"/>
        <w:gridCol w:w="60"/>
        <w:gridCol w:w="845"/>
        <w:gridCol w:w="60"/>
        <w:gridCol w:w="575"/>
        <w:gridCol w:w="60"/>
        <w:gridCol w:w="1100"/>
        <w:gridCol w:w="60"/>
        <w:gridCol w:w="1100"/>
        <w:gridCol w:w="60"/>
        <w:gridCol w:w="240"/>
        <w:gridCol w:w="755"/>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36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36,894,839</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6.88</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253,836,492.30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35,054.82</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0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253,836,492.30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35,054.82</w:t>
            </w:r>
          </w:p>
        </w:tc>
      </w:tr>
      <w:tr>
        <w:trPr/>
        <w:tc>
          <w:tcPr>
            <w:tcW w:w="630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30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0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35,054.82</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pPr>
            <w:r>
              <w:rPr/>
              <w:t>In accordance with Rules 456(b) and 457(r) under the Securities Act of 1933, as amended (the “Securities Act”), SoundHound AI, Inc. (the “Registrant”) initially deferred payment of all of the registration fees for the registration statement on Form S-3ASR (File No. 333-295779), filed on May 11, 2026 (the “Registration Statement”). This “Calculation of Filing Fee Table” shall be deemed to update the “Calculation of Registration Fee” table in the Registration Statement. The prospectus to which this Exhibit is attached is a final prospectus supplement for the related offering. The maximum offering price per share was estimated solely for the purpose of calculating the registration fee pursuant to Rule 457(c) under the Securities Act, based upon the average of the high and low prices of the Registrant's Common Stock on the Nasdaq Stock Market on September 1,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40856/000184085626000006/soun-20251231.htm" TargetMode="External"/><Relationship Id="rId4" Type="http://schemas.openxmlformats.org/officeDocument/2006/relationships/hyperlink" Target="https://www.sec.gov/ix?doc=/Archives/edgar/data/1840856/000184085626000015/soun-20260331.htm" TargetMode="External"/><Relationship Id="rId5" Type="http://schemas.openxmlformats.org/officeDocument/2006/relationships/hyperlink" Target="https://www.sec.gov/ix?doc=/Archives/edgar/data/1840856/000184085626000022/soun-20260630.htm" TargetMode="External"/><Relationship Id="rId6" Type="http://schemas.openxmlformats.org/officeDocument/2006/relationships/hyperlink" Target="https://www.sec.gov/ix?doc=/Archives/edgar/data/1840856/000184085625000028/soun-20250903.htm" TargetMode="External"/><Relationship Id="rId7" Type="http://schemas.openxmlformats.org/officeDocument/2006/relationships/hyperlink" Target="https://www.sec.gov/ix?doc=/Archives/edgar/data/1840856/000121390026030707/ea0282324-8k_sound.htm" TargetMode="External"/><Relationship Id="rId8" Type="http://schemas.openxmlformats.org/officeDocument/2006/relationships/hyperlink" Target="https://www.sec.gov/ix?doc=/Archives/edgar/data/1840856/000121390026045987/ea0287117-8k425_sound.htm" TargetMode="External"/><Relationship Id="rId9" Type="http://schemas.openxmlformats.org/officeDocument/2006/relationships/hyperlink" Target="https://www.sec.gov/ix?doc=/Archives/edgar/data/1840856/000121390026061610/ea0292095-8k_sound.htm" TargetMode="External"/><Relationship Id="rId10" Type="http://schemas.openxmlformats.org/officeDocument/2006/relationships/hyperlink" Target="https://www.sec.gov/ix?doc=/Archives/edgar/data/1840856/000121390026075086/ea0296856-8k425_sound.htm" TargetMode="External"/><Relationship Id="rId11" Type="http://schemas.openxmlformats.org/officeDocument/2006/relationships/hyperlink" Target="https://www.sec.gov/ix?doc=/Archives/edgar/data/1840856/000121390026077663/ea0297736-8k_sound.htm" TargetMode="External"/><Relationship Id="rId12" Type="http://schemas.openxmlformats.org/officeDocument/2006/relationships/hyperlink" Target="https://www.sec.gov/ix?doc=/Archives/edgar/data/1840856/000121390026081088/ea0299116-8k425_sound.htm" TargetMode="External"/><Relationship Id="rId13" Type="http://schemas.openxmlformats.org/officeDocument/2006/relationships/hyperlink" Target="https://www.sec.gov/ix?doc=/Archives/edgar/data/1840856/000121390026096796/ea0304366-8k425_sound.htm" TargetMode="External"/><Relationship Id="rId14" Type="http://schemas.openxmlformats.org/officeDocument/2006/relationships/hyperlink" Target="https://www.sec.gov/Archives/edgar/data/1840856/000121390026076371/ea0292090-03.htm" TargetMode="External"/><Relationship Id="rId15" Type="http://schemas.openxmlformats.org/officeDocument/2006/relationships/hyperlink" Target="http://www.sec.gov/Archives/edgar/data/1840856/000121390021014493/ea137333-8a12b_archimedes.htm" TargetMode="External"/><Relationship Id="rId16" Type="http://schemas.openxmlformats.org/officeDocument/2006/relationships/hyperlink" Target="https://www.sec.gov/Archives/edgar/data/1840856/000184085623000019/soun-20221231x10kxexx45.htm" TargetMode="External"/><Relationship Id="rId17" Type="http://schemas.openxmlformats.org/officeDocument/2006/relationships/hyperlink" Target="https://www.sec.gov/ix?doc=/Archives/edgar/data/1840856/000184085623000019/soun-20221231.htm" TargetMode="External"/><Relationship Id="rId18" Type="http://schemas.openxmlformats.org/officeDocument/2006/relationships/hyperlink" Target="https://www.sec.gov/ix?doc=/Archives/edgar/data/1840856/000184085626000006/soun-20251231.htm" TargetMode="External"/><Relationship Id="rId19" Type="http://schemas.openxmlformats.org/officeDocument/2006/relationships/hyperlink" Target="https://www.sec.gov/ix?doc=/Archives/edgar/data/1840856/000121390026041978/ea0285618-01.htm" TargetMode="External"/><Relationship Id="rId20" Type="http://schemas.openxmlformats.org/officeDocument/2006/relationships/hyperlink" Target="https://www.sec.gov/ix?doc=/Archives/edgar/data/1840856/000184085625000028/soun-20250903.htm" TargetMode="External"/><Relationship Id="rId21" Type="http://schemas.openxmlformats.org/officeDocument/2006/relationships/hyperlink" Target="https://www.sec.gov/ix?doc=/Archives/edgar/data/1840856/000121390026030707/ea0282324-8k_sound.htm" TargetMode="External"/><Relationship Id="rId22" Type="http://schemas.openxmlformats.org/officeDocument/2006/relationships/hyperlink" Target="https://www.sec.gov/ix?doc=/Archives/edgar/data/1840856/000121390026045987/ea0287117-8k425_sound.htm" TargetMode="External"/><Relationship Id="rId23" Type="http://schemas.openxmlformats.org/officeDocument/2006/relationships/hyperlink" Target="http://www.sec.gov/Archives/edgar/data/1840856/000121390021014493/ea137333-8a12b_archimedes.htm" TargetMode="External"/><Relationship Id="rId24" Type="http://schemas.openxmlformats.org/officeDocument/2006/relationships/hyperlink" Target="https://www.sec.gov/Archives/edgar/data/1840856/000184085623000019/soun-20221231x10kxexx45.htm" TargetMode="External"/><Relationship Id="rId25" Type="http://schemas.openxmlformats.org/officeDocument/2006/relationships/hyperlink" Target="https://www.sec.gov/ix?doc=/Archives/edgar/data/1840856/000184085623000019/soun-20221231.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27434</Words>
  <Characters>147509</Characters>
  <CharactersWithSpaces>175449</CharactersWithSpaces>
  <Paragraphs>2359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