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November 9, 2022.</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333-264972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SOUNDHOUND AI,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99060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 Keyvan Mohajer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(408) 441-3200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of all communications, including communications sent to agent for service, should be sent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Douglas Ellenoff,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Matthew Bernstein,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Ellenoff Grossman &amp; Schole LLP</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1345 Avenue of the Americas, 11</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10105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370-1300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370-7889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As soon as practicable after the effective date of this registration statement.</w:t>
      </w:r>
    </w:p>
    <w:p>
      <w:pPr>
        <w:spacing w:after="0" w:line="158"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3"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If delivery of the Prospectus is expected to be made pursuant to Rule 434, check the following box. </w:t>
      </w:r>
      <w:r>
        <w:rPr>
          <w:rFonts w:ascii="MS PGothic" w:cs="MS PGothic" w:eastAsia="MS PGothic" w:hAnsi="MS PGothic"/>
          <w:sz w:val="18"/>
          <w:szCs w:val="18"/>
          <w:color w:val="auto"/>
        </w:rPr>
        <w:t>☐</w:t>
      </w:r>
    </w:p>
    <w:p>
      <w:pPr>
        <w:spacing w:after="0" w:line="186"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07"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SoundHound AI, Inc. is filing this Amendment No. 3 (this “Amendment”) to its Registration Statement on Form S-1 (File No. 333-264972) (the “Registration Statement”) as an exhibits-only filing. Accordingly, this Amendment consists only of the facing page, this explanatory note, Item 16(a) of Part II of the Registration Statement, the signature page to the Registration Statement and the filed exhibits. The remainder of the Registration Statement is unchanged and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3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23"/>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7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520" w:type="dxa"/>
            <w:vAlign w:val="bottom"/>
            <w:tcBorders>
              <w:top w:val="single" w:sz="8" w:color="auto"/>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Merger Agreement dated as of November 15, 2021 by and among Archimedes Tech</w:t>
              </w:r>
            </w:hyperlink>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 2021</w:t>
            </w: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SPAC Partners Co., ATSPC Merger Sub, Inc. and SoundHound, Inc.</w:t>
              </w:r>
            </w:hyperlink>
          </w:p>
        </w:tc>
        <w:tc>
          <w:tcPr>
            <w:tcW w:w="1720" w:type="dxa"/>
            <w:vAlign w:val="bottom"/>
            <w:tcBorders>
              <w:bottom w:val="single" w:sz="8" w:color="CCEEFF"/>
            </w:tcBorders>
            <w:gridSpan w:val="8"/>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Second Amended and Restated Certificate of Incorporation of SoundHound AI, Inc.</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Amended and Restated Bylaws of SoundHound AI, Inc.</w:t>
              </w:r>
            </w:hyperlink>
          </w:p>
        </w:tc>
        <w:tc>
          <w:tcPr>
            <w:tcW w:w="260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Amended and Restated Warrant Agreement.</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7"/>
                <w:szCs w:val="17"/>
                <w:color w:val="auto"/>
              </w:rPr>
            </w:pPr>
          </w:p>
        </w:tc>
        <w:tc>
          <w:tcPr>
            <w:tcW w:w="664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Specimen Class A Common Stock Certificate</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16, 2022</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tcPr>
          <w:p>
            <w:pPr>
              <w:spacing w:after="0"/>
              <w:rPr>
                <w:sz w:val="15"/>
                <w:szCs w:val="15"/>
                <w:color w:val="auto"/>
              </w:rPr>
            </w:pPr>
          </w:p>
        </w:tc>
        <w:tc>
          <w:tcPr>
            <w:tcW w:w="3900" w:type="dxa"/>
            <w:vAlign w:val="bottom"/>
            <w:tcBorders>
              <w:top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Specimen Warrant Certificate</w:t>
              </w:r>
            </w:hyperlink>
          </w:p>
        </w:tc>
        <w:tc>
          <w:tcPr>
            <w:tcW w:w="274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16,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664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Amended and Restated Warrant Agreement</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Opinion of Ellenoff Grossman &amp; Schole LLP</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84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Form of PIPE Subscription Agreement.</w:t>
              </w:r>
            </w:hyperlink>
          </w:p>
        </w:tc>
        <w:tc>
          <w:tcPr>
            <w:tcW w:w="380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 2021</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Lock-Up Agreement.</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 2021</w:t>
            </w: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664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Registration Rights Agreement, dated April 26, 2022, by and</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16, 2022</w:t>
            </w:r>
          </w:p>
        </w:tc>
      </w:tr>
      <w:tr>
        <w:trPr>
          <w:trHeight w:val="216"/>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780" w:type="dxa"/>
            <w:vAlign w:val="bottom"/>
            <w:tcBorders>
              <w:top w:val="single" w:sz="8" w:color="0000EE"/>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between SoundHound AI, Inc. and certain stockholders of SoundHound AI, Inc.</w:t>
              </w:r>
            </w:hyperlink>
          </w:p>
        </w:tc>
        <w:tc>
          <w:tcPr>
            <w:tcW w:w="72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SoundHound AI, Inc. 2022 Incentive Award Plan.</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Proxy</w:t>
            </w:r>
          </w:p>
        </w:tc>
        <w:tc>
          <w:tcPr>
            <w:tcW w:w="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Annex D</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237"/>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Statement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5"/>
                <w:szCs w:val="15"/>
                <w:color w:val="auto"/>
              </w:rPr>
            </w:pPr>
          </w:p>
        </w:tc>
        <w:tc>
          <w:tcPr>
            <w:tcW w:w="664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SoundHound AI, Inc. 2022 Employee Stock Purchase Plan.</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Proxy</w:t>
            </w:r>
          </w:p>
        </w:tc>
        <w:tc>
          <w:tcPr>
            <w:tcW w:w="88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Annex E</w:t>
            </w: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237"/>
        </w:trPr>
        <w:tc>
          <w:tcPr>
            <w:tcW w:w="9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Statement</w:t>
            </w:r>
          </w:p>
        </w:tc>
        <w:tc>
          <w:tcPr>
            <w:tcW w:w="7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Restricted Stock Unit Agreement.</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7"/>
                <w:szCs w:val="17"/>
                <w:color w:val="auto"/>
              </w:rPr>
            </w:pPr>
          </w:p>
        </w:tc>
        <w:tc>
          <w:tcPr>
            <w:tcW w:w="664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Stock Option Award Agreement.</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top w:val="single" w:sz="8" w:color="CCEEFF"/>
            </w:tcBorders>
          </w:tcPr>
          <w:p>
            <w:pPr>
              <w:spacing w:after="0"/>
              <w:rPr>
                <w:sz w:val="15"/>
                <w:szCs w:val="15"/>
                <w:color w:val="auto"/>
              </w:rPr>
            </w:pPr>
          </w:p>
        </w:tc>
        <w:tc>
          <w:tcPr>
            <w:tcW w:w="2980" w:type="dxa"/>
            <w:vAlign w:val="bottom"/>
            <w:tcBorders>
              <w:top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of Indemnity Agreement.</w:t>
              </w:r>
            </w:hyperlink>
          </w:p>
        </w:tc>
        <w:tc>
          <w:tcPr>
            <w:tcW w:w="3660" w:type="dxa"/>
            <w:vAlign w:val="bottom"/>
            <w:tcBorders>
              <w:top w:val="single" w:sz="8" w:color="CCEEFF"/>
            </w:tcBorders>
            <w:gridSpan w:val="21"/>
          </w:tcPr>
          <w:p>
            <w:pPr>
              <w:spacing w:after="0"/>
              <w:rPr>
                <w:sz w:val="15"/>
                <w:szCs w:val="15"/>
                <w:color w:val="auto"/>
              </w:rPr>
            </w:pPr>
          </w:p>
        </w:tc>
        <w:tc>
          <w:tcPr>
            <w:tcW w:w="10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10.10</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5"/>
                <w:szCs w:val="15"/>
                <w:color w:val="auto"/>
              </w:rPr>
            </w:pPr>
          </w:p>
        </w:tc>
        <w:tc>
          <w:tcPr>
            <w:tcW w:w="664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Employment Agreement with Keyvan Mohajer, Chief Executive Officer, dated June 2,</w:t>
              </w:r>
            </w:hyperlink>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8, 2022</w:t>
            </w:r>
          </w:p>
        </w:tc>
      </w:tr>
      <w:tr>
        <w:trPr>
          <w:trHeight w:val="222"/>
        </w:trPr>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r:id="rId34">
              <w:r>
                <w:rPr>
                  <w:rFonts w:ascii="Times New Roman" w:cs="Times New Roman" w:eastAsia="Times New Roman" w:hAnsi="Times New Roman"/>
                  <w:sz w:val="18"/>
                  <w:szCs w:val="18"/>
                  <w:color w:val="0000EE"/>
                  <w:w w:val="94"/>
                </w:rPr>
                <w:t>2022</w:t>
              </w:r>
            </w:hyperlink>
          </w:p>
        </w:tc>
        <w:tc>
          <w:tcPr>
            <w:tcW w:w="540" w:type="dxa"/>
            <w:vAlign w:val="bottom"/>
            <w:tcBorders>
              <w:top w:val="single" w:sz="8" w:color="0000EE"/>
              <w:bottom w:val="single" w:sz="8" w:color="CCEEFF"/>
            </w:tcBorders>
            <w:shd w:val="clear" w:color="auto" w:fill="CCEEFF"/>
          </w:tcPr>
          <w:p>
            <w:pPr>
              <w:spacing w:after="0"/>
              <w:rPr>
                <w:sz w:val="18"/>
                <w:szCs w:val="18"/>
                <w:color w:val="auto"/>
              </w:rPr>
            </w:pPr>
          </w:p>
        </w:tc>
        <w:tc>
          <w:tcPr>
            <w:tcW w:w="88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640" w:type="dxa"/>
            <w:vAlign w:val="bottom"/>
            <w:tcBorders>
              <w:top w:val="single" w:sz="8" w:color="0000EE"/>
              <w:bottom w:val="single" w:sz="8" w:color="CCEEFF"/>
            </w:tcBorders>
            <w:shd w:val="clear" w:color="auto" w:fill="CCEEFF"/>
          </w:tcPr>
          <w:p>
            <w:pPr>
              <w:spacing w:after="0"/>
              <w:rPr>
                <w:sz w:val="18"/>
                <w:szCs w:val="18"/>
                <w:color w:val="auto"/>
              </w:rPr>
            </w:pPr>
          </w:p>
        </w:tc>
        <w:tc>
          <w:tcPr>
            <w:tcW w:w="86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top w:val="single" w:sz="8" w:color="CCEEFF"/>
            </w:tcBorders>
          </w:tcPr>
          <w:p>
            <w:pPr>
              <w:spacing w:after="0"/>
              <w:rPr>
                <w:sz w:val="15"/>
                <w:szCs w:val="15"/>
                <w:color w:val="auto"/>
              </w:rPr>
            </w:pPr>
          </w:p>
        </w:tc>
        <w:tc>
          <w:tcPr>
            <w:tcW w:w="6640" w:type="dxa"/>
            <w:vAlign w:val="bottom"/>
            <w:tcBorders>
              <w:top w:val="single" w:sz="8" w:color="CCEEFF"/>
            </w:tcBorders>
            <w:gridSpan w:val="32"/>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Employment Agreement with Nitesh Sharan, Chief Financial Officer, dated June 2, 2022</w:t>
              </w:r>
            </w:hyperlink>
          </w:p>
        </w:tc>
        <w:tc>
          <w:tcPr>
            <w:tcW w:w="1000" w:type="dxa"/>
            <w:vAlign w:val="bottom"/>
            <w:tcBorders>
              <w:top w:val="single" w:sz="8" w:color="CCEEFF"/>
            </w:tcBorders>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8,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Employment Agreement with Timothy Stonehocker, Chief Technology Officer, dated</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8, 2022</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4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June 2, 2022</w:t>
              </w:r>
            </w:hyperlink>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Non-Employee Director Compensation Policy</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June 8,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Common Stock Purchase Agreement, dated as of August 16, 2022, by and between</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August 16, 2022</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4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SoundHound AI, Inc. and CF Principal Investments LLC</w:t>
              </w:r>
            </w:hyperlink>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Registration  Rights  Agreement,  dated  as  of  August  16,  2022,  by  and  between</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August 16, 2022</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SoundHound AI, Inc. and CF Principal Investments LLC</w:t>
              </w:r>
            </w:hyperlink>
          </w:p>
        </w:tc>
        <w:tc>
          <w:tcPr>
            <w:tcW w:w="14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Subsidiaries of the Company.</w:t>
              </w:r>
            </w:hyperlink>
          </w:p>
        </w:tc>
        <w:tc>
          <w:tcPr>
            <w:tcW w:w="4520" w:type="dxa"/>
            <w:vAlign w:val="bottom"/>
            <w:tcBorders>
              <w:bottom w:val="single" w:sz="8" w:color="CCEEFF"/>
            </w:tcBorders>
            <w:gridSpan w:val="28"/>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Consent of UHY LLP dated October 27, 2022.</w:t>
              </w:r>
            </w:hyperlink>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37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Consent of Armanino LLP dated October 27, 2022.</w:t>
              </w:r>
            </w:hyperlink>
          </w:p>
        </w:tc>
        <w:tc>
          <w:tcPr>
            <w:tcW w:w="2940" w:type="dxa"/>
            <w:vAlign w:val="bottom"/>
            <w:tcBorders>
              <w:bottom w:val="single" w:sz="8" w:color="CCEEFF"/>
            </w:tcBorders>
            <w:gridSpan w:val="13"/>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6640" w:type="dxa"/>
            <w:vAlign w:val="bottom"/>
            <w:gridSpan w:val="32"/>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Press Release, dated April 27, 2022.</w:t>
              </w:r>
            </w:hyperlink>
          </w:p>
        </w:tc>
        <w:tc>
          <w:tcPr>
            <w:tcW w:w="10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shd w:val="clear" w:color="auto" w:fill="CCEEFF"/>
          </w:tcPr>
          <w:p>
            <w:pPr>
              <w:spacing w:after="0"/>
              <w:rPr>
                <w:sz w:val="17"/>
                <w:szCs w:val="17"/>
                <w:color w:val="auto"/>
              </w:rPr>
            </w:pPr>
          </w:p>
        </w:tc>
        <w:tc>
          <w:tcPr>
            <w:tcW w:w="598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Unaudited Pro Forma Condensed Combined Financial Statements of the Company.</w:t>
              </w:r>
            </w:hyperlink>
          </w:p>
        </w:tc>
        <w:tc>
          <w:tcPr>
            <w:tcW w:w="66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May 2, 2022</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6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64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6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64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6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64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6640" w:type="dxa"/>
            <w:vAlign w:val="bottom"/>
            <w:gridSpan w:val="32"/>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7"/>
                <w:szCs w:val="17"/>
                <w:color w:val="auto"/>
              </w:rPr>
            </w:pPr>
          </w:p>
        </w:tc>
        <w:tc>
          <w:tcPr>
            <w:tcW w:w="664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Calculation of Filing Fees Table</w:t>
              </w:r>
            </w:hyperlink>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3"/>
        </w:trPr>
        <w:tc>
          <w:tcPr>
            <w:tcW w:w="92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360" w:type="dxa"/>
            <w:vAlign w:val="bottom"/>
            <w:tcBorders>
              <w:top w:val="single" w:sz="8" w:color="0000EE"/>
              <w:bottom w:val="single" w:sz="8" w:color="auto"/>
            </w:tcBorders>
          </w:tcPr>
          <w:p>
            <w:pPr>
              <w:spacing w:after="0"/>
              <w:rPr>
                <w:sz w:val="19"/>
                <w:szCs w:val="19"/>
                <w:color w:val="auto"/>
              </w:rPr>
            </w:pPr>
          </w:p>
        </w:tc>
        <w:tc>
          <w:tcPr>
            <w:tcW w:w="540" w:type="dxa"/>
            <w:vAlign w:val="bottom"/>
            <w:tcBorders>
              <w:top w:val="single" w:sz="8" w:color="0000EE"/>
              <w:bottom w:val="single" w:sz="8" w:color="auto"/>
            </w:tcBorders>
          </w:tcPr>
          <w:p>
            <w:pPr>
              <w:spacing w:after="0"/>
              <w:rPr>
                <w:sz w:val="19"/>
                <w:szCs w:val="19"/>
                <w:color w:val="auto"/>
              </w:rPr>
            </w:pPr>
          </w:p>
        </w:tc>
        <w:tc>
          <w:tcPr>
            <w:tcW w:w="880" w:type="dxa"/>
            <w:vAlign w:val="bottom"/>
            <w:tcBorders>
              <w:top w:val="single" w:sz="8" w:color="0000EE"/>
              <w:bottom w:val="single" w:sz="8" w:color="auto"/>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r>
    </w:tbl>
    <w:p>
      <w:pPr>
        <w:spacing w:after="0" w:line="211"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7" w:lineRule="exact"/>
        <w:rPr>
          <w:sz w:val="20"/>
          <w:szCs w:val="20"/>
          <w:color w:val="auto"/>
        </w:rPr>
      </w:pP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supplementally to the SEC a copy of any omitted schedule or exhibit upon the request of the SEC in accordance with Item 601(b)(2) of Regulation S-K.</w:t>
      </w:r>
    </w:p>
    <w:p>
      <w:pPr>
        <w:spacing w:after="0" w:line="1" w:lineRule="exact"/>
        <w:rPr>
          <w:sz w:val="20"/>
          <w:szCs w:val="20"/>
          <w:color w:val="auto"/>
        </w:rPr>
      </w:pPr>
    </w:p>
    <w:p>
      <w:pPr>
        <w:ind w:right="6560" w:firstLine="8"/>
        <w:spacing w:after="0" w:line="260"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Previously filed.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Santa Clara, State of California, on the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November, 2022.</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Dr. Keyvan Mohajer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8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7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2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580" w:type="dxa"/>
            <w:vAlign w:val="bottom"/>
          </w:tcPr>
          <w:p>
            <w:pPr>
              <w:spacing w:after="0"/>
              <w:rPr>
                <w:sz w:val="21"/>
                <w:szCs w:val="21"/>
                <w:color w:val="auto"/>
              </w:rPr>
            </w:pPr>
          </w:p>
        </w:tc>
      </w:tr>
      <w:tr>
        <w:trPr>
          <w:trHeight w:val="47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r>
      <w:tr>
        <w:trPr>
          <w:trHeight w:val="24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120" w:type="dxa"/>
            <w:vAlign w:val="bottom"/>
          </w:tcPr>
          <w:p>
            <w:pPr>
              <w:spacing w:after="0"/>
              <w:rPr>
                <w:sz w:val="21"/>
                <w:szCs w:val="21"/>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580" w:type="dxa"/>
            <w:vAlign w:val="bottom"/>
          </w:tcPr>
          <w:p>
            <w:pPr>
              <w:spacing w:after="0"/>
              <w:rPr>
                <w:sz w:val="21"/>
                <w:szCs w:val="21"/>
                <w:color w:val="auto"/>
              </w:rPr>
            </w:pPr>
          </w:p>
        </w:tc>
      </w:tr>
      <w:tr>
        <w:trPr>
          <w:trHeight w:val="47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8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8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8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2022</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179" w:lineRule="exact"/>
        <w:rPr>
          <w:sz w:val="20"/>
          <w:szCs w:val="20"/>
          <w:color w:val="auto"/>
        </w:rPr>
      </w:pPr>
    </w:p>
    <w:p>
      <w:pPr>
        <w:ind w:right="8960" w:firstLine="8"/>
        <w:spacing w:after="0" w:line="276"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 Dr. Keyvan Mohajer Name: Dr. Keyvan Mohajer</w:t>
      </w:r>
    </w:p>
    <w:p>
      <w:pPr>
        <w:spacing w:after="0" w:line="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-285115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2151380" cy="763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2151380" cy="763270"/>
                    </a:xfrm>
                    <a:prstGeom prst="rect">
                      <a:avLst/>
                    </a:prstGeom>
                    <a:noFill/>
                  </pic:spPr>
                </pic:pic>
              </a:graphicData>
            </a:graphic>
          </wp:anchor>
        </w:drawing>
      </w:r>
    </w:p>
    <w:p>
      <w:pPr>
        <w:spacing w:after="0" w:line="2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1345 AVENUE OF THE AMERICAS,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jc w:val="right"/>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FACSIMILE: (212) 370-7889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www.egsllp.com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5499 Betsy Ross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SoundHound AI,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a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the Securities Act of 1933, as amended. The Registration Statement relates to (1) the resale by the selling stockholders listed in the prospectus included as a part of the Registration Statement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of (a) up to 56,348,404 shares (the “</w:t>
      </w:r>
      <w:r>
        <w:rPr>
          <w:rFonts w:ascii="Times New Roman" w:cs="Times New Roman" w:eastAsia="Times New Roman" w:hAnsi="Times New Roman"/>
          <w:sz w:val="18"/>
          <w:szCs w:val="18"/>
          <w:b w:val="1"/>
          <w:bCs w:val="1"/>
          <w:color w:val="auto"/>
        </w:rPr>
        <w:t>Resale A 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(b) up to 40,396,600 Class A Shares (the “</w:t>
      </w:r>
      <w:r>
        <w:rPr>
          <w:rFonts w:ascii="Times New Roman" w:cs="Times New Roman" w:eastAsia="Times New Roman" w:hAnsi="Times New Roman"/>
          <w:sz w:val="18"/>
          <w:szCs w:val="18"/>
          <w:b w:val="1"/>
          <w:bCs w:val="1"/>
          <w:color w:val="auto"/>
        </w:rPr>
        <w:t>Resale B Shares</w:t>
      </w:r>
      <w:r>
        <w:rPr>
          <w:rFonts w:ascii="Times New Roman" w:cs="Times New Roman" w:eastAsia="Times New Roman" w:hAnsi="Times New Roman"/>
          <w:sz w:val="18"/>
          <w:szCs w:val="18"/>
          <w:color w:val="auto"/>
        </w:rPr>
        <w:t>”) issuable upon conversion of shares of Class B common stock, par value $0.0001 per share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and (c) up to 174,750 warrants, each exercisable for one share of Class A Shares at a price of $11.50, subject to adjustment (the “</w:t>
      </w:r>
      <w:r>
        <w:rPr>
          <w:rFonts w:ascii="Times New Roman" w:cs="Times New Roman" w:eastAsia="Times New Roman" w:hAnsi="Times New Roman"/>
          <w:sz w:val="18"/>
          <w:szCs w:val="18"/>
          <w:b w:val="1"/>
          <w:bCs w:val="1"/>
          <w:color w:val="auto"/>
        </w:rPr>
        <w:t>Placement Warrants</w:t>
      </w:r>
      <w:r>
        <w:rPr>
          <w:rFonts w:ascii="Times New Roman" w:cs="Times New Roman" w:eastAsia="Times New Roman" w:hAnsi="Times New Roman"/>
          <w:sz w:val="18"/>
          <w:szCs w:val="18"/>
          <w:color w:val="auto"/>
        </w:rPr>
        <w:t>”) and (2) the issuance by the Company of up to 3,457,996 Class A Shares upon the exercise of outstanding warrants to purchase the Company’s Class A Shares at an exercise price of $11.50 (the “</w:t>
      </w:r>
      <w:r>
        <w:rPr>
          <w:rFonts w:ascii="Times New Roman" w:cs="Times New Roman" w:eastAsia="Times New Roman" w:hAnsi="Times New Roman"/>
          <w:sz w:val="18"/>
          <w:szCs w:val="18"/>
          <w:b w:val="1"/>
          <w:bCs w:val="1"/>
          <w:color w:val="auto"/>
        </w:rPr>
        <w:t>IPO Warrants</w:t>
      </w:r>
      <w:r>
        <w:rPr>
          <w:rFonts w:ascii="Times New Roman" w:cs="Times New Roman" w:eastAsia="Times New Roman" w:hAnsi="Times New Roman"/>
          <w:sz w:val="18"/>
          <w:szCs w:val="18"/>
          <w:color w:val="auto"/>
        </w:rPr>
        <w:t>”), each as described in further detail in the prospectus. This opinion letter is furnished to you at your request to enable you to fulfill the requirements, in connection with the Registration Statement, of Item 601(b)(5) of Regulation S-K promulgated by the Commission.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examined such documents and considered such legal matters as we have deemed necessary and relevant as the basis for the opinion set forth below including, without limitation: (i) the Registration Statement, as amended to date; (ii) the Certificate of Incorporation and Bylaws of the Company, each as amended to date; (iii) the Placement Warrants and the IPO Warrants; and (iv) records of meetings and consents of the Board of Directors of the Company provided to us by the Company.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of the Company.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(1) the Resale A Shares were duly and validly issued, fully paid and non-assessable, (2) that upon conversion of the Class B Shares, the Resale B Shares will be duly and validly issued, fully paid and non-assessable, (3) that the Placement Warrants are legally binding obligations of the Company enforceable in accordance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 may be brought, and (4) upon due exercise of the IPO Warrants in accordance with the terms thereof, and when certificates for the same have been duly executed and countersigned and delivered in accordance with and pursuant to the terms of the IPO Warrants, the Class A Shares issuable upon exercise will be duly and validly issued, fully paid and non-assessable.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solely to the General Corporation Law of the State of Delaware, including the applicable provisions of the Delaware Constitution and the reported judicial decisions interpreting such law, as currently in effect, and we express no opinion as to the effect of any other law of the State of Delaware or the laws of any other jurisdiction.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reference to our firm under the caption “Legal Matters” in the prospectus constituting a part of the Registration Statement. In giving such consent, we do not thereby admit that we are included in the category of persons whose consent is required under Section 7 of the Securities Act or the rules and regulations of the Commission promulgated thereunder. We assume no obligation to update or supplement any of the opinion set forth herein to reflect any changes of law or fact that may occur following the date hereof.</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Ellenoff Grossman &amp; Schole LLP</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image" Target="media/image16.png"/><Relationship Id="rId50" Type="http://schemas.openxmlformats.org/officeDocument/2006/relationships/image" Target="media/image17.jpeg"/><Relationship Id="rId20" Type="http://schemas.openxmlformats.org/officeDocument/2006/relationships/hyperlink" Target="http://www.sec.gov/Archives/edgar/data/1840856/000121390021059752/ea150505ex2-1_archimedes.htm" TargetMode="External"/><Relationship Id="rId21" Type="http://schemas.openxmlformats.org/officeDocument/2006/relationships/hyperlink" Target="http://www.sec.gov/Archives/edgar/data/1840856/000121390022023274/ea159193ex3-1_soundhound.htm" TargetMode="External"/><Relationship Id="rId22" Type="http://schemas.openxmlformats.org/officeDocument/2006/relationships/hyperlink" Target="http://www.sec.gov/Archives/edgar/data/1840856/000121390022023274/ea159193ex3-2_soundhound.htm" TargetMode="External"/><Relationship Id="rId23" Type="http://schemas.openxmlformats.org/officeDocument/2006/relationships/hyperlink" Target="http://www.sec.gov/Archives/edgar/data/1840856/000121390022023274/ea159193ex4-1_soundhound.htm" TargetMode="External"/><Relationship Id="rId24" Type="http://schemas.openxmlformats.org/officeDocument/2006/relationships/hyperlink" Target="http://www.sec.gov/Archives/edgar/data/1840856/000121390022026797/fs12022ex4-2_soundhound.htm" TargetMode="External"/><Relationship Id="rId25" Type="http://schemas.openxmlformats.org/officeDocument/2006/relationships/hyperlink" Target="http://www.sec.gov/Archives/edgar/data/1840856/000121390022026797/fs12022ex4-3_soundhound.htm" TargetMode="External"/><Relationship Id="rId26" Type="http://schemas.openxmlformats.org/officeDocument/2006/relationships/hyperlink" Target="http://www.sec.gov/Archives/edgar/data/1840856/000121390021059752/ea150505ex10-3_archimedes.htm" TargetMode="External"/><Relationship Id="rId27" Type="http://schemas.openxmlformats.org/officeDocument/2006/relationships/hyperlink" Target="http://www.sec.gov/Archives/edgar/data/1840856/000121390021059752/ea150505ex10-4_archimedes.htm" TargetMode="External"/><Relationship Id="rId28" Type="http://schemas.openxmlformats.org/officeDocument/2006/relationships/hyperlink" Target="http://www.sec.gov/Archives/edgar/data/1840856/000121390022026797/fs12022ex10-3_soundhound.htm" TargetMode="External"/><Relationship Id="rId29" Type="http://schemas.openxmlformats.org/officeDocument/2006/relationships/hyperlink" Target="http://www.sec.gov/Archives/edgar/data/1840856/000121390022018967/f424b30422_archimedes.htm#T601" TargetMode="External"/><Relationship Id="rId30" Type="http://schemas.openxmlformats.org/officeDocument/2006/relationships/hyperlink" Target="http://www.sec.gov/Archives/edgar/data/1840856/000121390022018967/f424b30422_archimedes.htm#T602" TargetMode="External"/><Relationship Id="rId31" Type="http://schemas.openxmlformats.org/officeDocument/2006/relationships/hyperlink" Target="http://www.sec.gov/Archives/edgar/data/1840856/000121390022023274/ea159193ex10-8_soundhound.htm" TargetMode="External"/><Relationship Id="rId32" Type="http://schemas.openxmlformats.org/officeDocument/2006/relationships/hyperlink" Target="http://www.sec.gov/Archives/edgar/data/1840856/000121390022023274/ea159193ex10-9_soundhound.htm" TargetMode="External"/><Relationship Id="rId33" Type="http://schemas.openxmlformats.org/officeDocument/2006/relationships/hyperlink" Target="http://www.sec.gov/Archives/edgar/data/1840856/000121390022023274/ea159193ex10-10_soundhound.htm" TargetMode="External"/><Relationship Id="rId34" Type="http://schemas.openxmlformats.org/officeDocument/2006/relationships/hyperlink" Target="http://www.sec.gov/Archives/edgar/data/1840856/000121390022031794/ea161309ex10-1_soundhound.htm" TargetMode="External"/><Relationship Id="rId35" Type="http://schemas.openxmlformats.org/officeDocument/2006/relationships/hyperlink" Target="http://www.sec.gov/Archives/edgar/data/1840856/000121390022031794/ea161309ex10-2_soundhound.htm" TargetMode="External"/><Relationship Id="rId36" Type="http://schemas.openxmlformats.org/officeDocument/2006/relationships/hyperlink" Target="http://www.sec.gov/Archives/edgar/data/1840856/000121390022031794/ea161309ex10-3_soundhound.htm" TargetMode="External"/><Relationship Id="rId37" Type="http://schemas.openxmlformats.org/officeDocument/2006/relationships/hyperlink" Target="http://www.sec.gov/Archives/edgar/data/1840856/000121390022031794/ea161309ex10-4_soundhound.htm" TargetMode="External"/><Relationship Id="rId38" Type="http://schemas.openxmlformats.org/officeDocument/2006/relationships/hyperlink" Target="http://www.sec.gov/Archives/edgar/data/1840856/000121390022049015/ea164559ex10-1_sound.htm" TargetMode="External"/><Relationship Id="rId39" Type="http://schemas.openxmlformats.org/officeDocument/2006/relationships/hyperlink" Target="http://www.sec.gov/Archives/edgar/data/1840856/000121390022049015/ea164559ex10-2_sound.htm" TargetMode="External"/><Relationship Id="rId40" Type="http://schemas.openxmlformats.org/officeDocument/2006/relationships/hyperlink" Target="http://www.sec.gov/Archives/edgar/data/1840856/000121390022023274/ea159193ex21-1_soundhound.htm" TargetMode="External"/><Relationship Id="rId41" Type="http://schemas.openxmlformats.org/officeDocument/2006/relationships/hyperlink" Target="http://www.sec.gov/Archives/edgar/data/1840856/000121390022066812/fs12022a2ex23-1_soundhound.htm" TargetMode="External"/><Relationship Id="rId42" Type="http://schemas.openxmlformats.org/officeDocument/2006/relationships/hyperlink" Target="http://www.sec.gov/Archives/edgar/data/1840856/000121390022066812/fs12022a2ex23-2_soundhound.htm" TargetMode="External"/><Relationship Id="rId43" Type="http://schemas.openxmlformats.org/officeDocument/2006/relationships/hyperlink" Target="http://www.sec.gov/Archives/edgar/data/1840856/000121390022023274/ea159193ex99-1_soundhound.htm" TargetMode="External"/><Relationship Id="rId44" Type="http://schemas.openxmlformats.org/officeDocument/2006/relationships/hyperlink" Target="http://www.sec.gov/Archives/edgar/data/1840856/000121390022023274/ea159193ex99-2_soundhound.htm" TargetMode="External"/><Relationship Id="rId45" Type="http://schemas.openxmlformats.org/officeDocument/2006/relationships/hyperlink" Target="http://www.sec.gov/Archives/edgar/data/1840856/000121390022026797/fs12022ex-fee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2022-11-09T14:30:34Z</dcterms:created>
  <dcterms:modified xsi:type="dcterms:W3CDTF">2022-11-09T14:30:34Z</dcterms:modified>
</cp:coreProperties>
</file>