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1-40193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23"/>
        </w:trPr>
        <w:tc>
          <w:tcPr>
            <w:tcW w:w="444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8"/>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441-3200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136"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Merger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21, 2026, SoundHound AI,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Merger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Lightspeed Merger Sub Inc., a Delaware corporation and an indirect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LivePerson, Inc., a Delaware corporation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pursuant to which, on the terms and subject to the conditions set forth in the Merger Agreement, Merger Sub will merge with and into LivePerson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LivePerson surviving the Merger as an indirect wholly owned subsidiary of the Company. All defined terms used in this summary of the Merger Agreement that are not otherwise defined herein have the meanings ascribed to such terms in the Merger Agreement.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date and time the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common stock, par value $0.001 per share, of LivePerson (“</w:t>
      </w:r>
      <w:r>
        <w:rPr>
          <w:rFonts w:ascii="Times New Roman" w:cs="Times New Roman" w:eastAsia="Times New Roman" w:hAnsi="Times New Roman"/>
          <w:sz w:val="18"/>
          <w:szCs w:val="18"/>
          <w:u w:val="single" w:color="auto"/>
          <w:color w:val="auto"/>
        </w:rPr>
        <w:t>LivePerson Common Stock</w:t>
      </w:r>
      <w:r>
        <w:rPr>
          <w:rFonts w:ascii="Times New Roman" w:cs="Times New Roman" w:eastAsia="Times New Roman" w:hAnsi="Times New Roman"/>
          <w:sz w:val="18"/>
          <w:szCs w:val="18"/>
          <w:color w:val="auto"/>
        </w:rPr>
        <w:t>”) issued and outstanding immediately prior to the Effective Time (other than certain excluded shares) will be automatically converted into the right to receive a number of shares of Class A common stock of the Company, par value $0.0001 per share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equal to (a) the Closing Merger Consideration (as defined below), divided by (b) the total number of shares of LivePerson Common Stock that are issued and outstanding, or that are issuable upon the conversion, exercise or settlement in full of any rights to acquire LivePerson Common Stock, as of immediately prior to the Effective Time (such number of shares, the “</w:t>
      </w:r>
      <w:r>
        <w:rPr>
          <w:rFonts w:ascii="Times New Roman" w:cs="Times New Roman" w:eastAsia="Times New Roman" w:hAnsi="Times New Roman"/>
          <w:sz w:val="18"/>
          <w:szCs w:val="18"/>
          <w:u w:val="single" w:color="auto"/>
          <w:color w:val="auto"/>
        </w:rPr>
        <w:t>Fully Diluted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and the result of the calculation set forth in the foregoing clauses (a) and (b),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It is expected that the Merger will not qualify as a tax-free reorganization for U.S. federal income tax purposes.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consideration payable by the Company to holders of LivePerson Common Stock in connection with the Merger pursuant to the terms of the Merger Agreement will be a number of shares of Company Common Stock equal to the quotient of (a) the Aggregate Consideration Amount (as defined below), divided by (b) the Company Closing Stock Price (the “</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refers to an amount equal to (a) $42,784,532.64, minus (b) the LivePerson Shortfall Cash (as defined below), plus</w:t>
      </w:r>
    </w:p>
    <w:p>
      <w:pPr>
        <w:spacing w:after="0" w:line="27" w:lineRule="exact"/>
        <w:rPr>
          <w:sz w:val="20"/>
          <w:szCs w:val="20"/>
          <w:color w:val="auto"/>
        </w:rPr>
      </w:pPr>
    </w:p>
    <w:p>
      <w:pPr>
        <w:jc w:val="both"/>
        <w:ind w:firstLine="8"/>
        <w:spacing w:after="0" w:line="25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dollar amount of the exercise prices of all In-the-Money Options (as defined below) (other than options assumed by the Company and converted into an option to acquire shares of the Company Common Stock, in accordance with the terms of the Merger Agreement). “</w:t>
      </w:r>
      <w:r>
        <w:rPr>
          <w:rFonts w:ascii="Times New Roman" w:cs="Times New Roman" w:eastAsia="Times New Roman" w:hAnsi="Times New Roman"/>
          <w:sz w:val="18"/>
          <w:szCs w:val="18"/>
          <w:u w:val="single" w:color="auto"/>
          <w:color w:val="auto"/>
        </w:rPr>
        <w:t>LivePerson Shortfall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refers to an amount equal to (x) $74,000,000 (or, solely for purposes of the Merger Agreement, $71,000,000 if the Closing occurs in July), minus (y) the aggregate principal amount of LivePerson’s 0% convertible notes due 2026 (the “</w:t>
      </w:r>
      <w:r>
        <w:rPr>
          <w:rFonts w:ascii="Times New Roman" w:cs="Times New Roman" w:eastAsia="Times New Roman" w:hAnsi="Times New Roman"/>
          <w:sz w:val="18"/>
          <w:szCs w:val="18"/>
          <w:u w:val="single" w:color="auto"/>
          <w:color w:val="auto"/>
        </w:rPr>
        <w:t>2026 Convertible Notes</w:t>
      </w:r>
      <w:r>
        <w:rPr>
          <w:rFonts w:ascii="Times New Roman" w:cs="Times New Roman" w:eastAsia="Times New Roman" w:hAnsi="Times New Roman"/>
          <w:sz w:val="18"/>
          <w:szCs w:val="18"/>
          <w:color w:val="auto"/>
        </w:rPr>
        <w:t>”) repurchased by LivePerson between April 1, 2026 and the Closing Date (the figure resulting from clause (x) minus clause (y), “</w:t>
      </w:r>
      <w:r>
        <w:rPr>
          <w:rFonts w:ascii="Times New Roman" w:cs="Times New Roman" w:eastAsia="Times New Roman" w:hAnsi="Times New Roman"/>
          <w:sz w:val="18"/>
          <w:szCs w:val="18"/>
          <w:u w:val="single" w:color="auto"/>
          <w:color w:val="auto"/>
        </w:rPr>
        <w:t>LivePerson Minimum Cash</w:t>
      </w:r>
      <w:r>
        <w:rPr>
          <w:rFonts w:ascii="Times New Roman" w:cs="Times New Roman" w:eastAsia="Times New Roman" w:hAnsi="Times New Roman"/>
          <w:sz w:val="18"/>
          <w:szCs w:val="18"/>
          <w:color w:val="auto"/>
        </w:rPr>
        <w:t>”), minus (z) the cash and cash equivalents on LivePerson’s balance sheet as of 12:01 a.m. Pacific Time on the Closing Date (net of certain LivePerson transaction expenses) (the foregoing clause (z), the “</w:t>
      </w:r>
      <w:r>
        <w:rPr>
          <w:rFonts w:ascii="Times New Roman" w:cs="Times New Roman" w:eastAsia="Times New Roman" w:hAnsi="Times New Roman"/>
          <w:sz w:val="18"/>
          <w:szCs w:val="18"/>
          <w:u w:val="single" w:color="auto"/>
          <w:color w:val="auto"/>
        </w:rPr>
        <w:t>LivePerson Cash Balance</w:t>
      </w:r>
      <w:r>
        <w:rPr>
          <w:rFonts w:ascii="Times New Roman" w:cs="Times New Roman" w:eastAsia="Times New Roman" w:hAnsi="Times New Roman"/>
          <w:sz w:val="18"/>
          <w:szCs w:val="18"/>
          <w:color w:val="auto"/>
        </w:rPr>
        <w:t>”); provided that, if a negative number results from such calculation, “LivePerson Shortfall Cash” will be $0.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Stock Price</w:t>
      </w:r>
      <w:r>
        <w:rPr>
          <w:rFonts w:ascii="Times New Roman" w:cs="Times New Roman" w:eastAsia="Times New Roman" w:hAnsi="Times New Roman"/>
          <w:sz w:val="18"/>
          <w:szCs w:val="18"/>
          <w:color w:val="auto"/>
        </w:rPr>
        <w:t>” refers to the price per share of Company Common Stock derived from the average of the daily volume weighted average prices of a share of Company Common Stock on the Nasdaq on each of the ten (10) consecutive trading days ending on (and including) the trading day that is three</w:t>
      </w:r>
    </w:p>
    <w:p>
      <w:pPr>
        <w:spacing w:after="0" w:line="3"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trading days prior to the Closing Date, rounded down to the nearest penny, as reported by Bloomberg; provided that, in the event such price per share (I) exceeds $12 per share, “Company Closing Stock Price” will be $12 per share or (II) falls below $7 per share, “Company Closing Stock Price” will be $7 per share.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at the Effective Time, (i) each option to purchase shares of LivePerson Common Stock (a “</w:t>
      </w:r>
      <w:r>
        <w:rPr>
          <w:rFonts w:ascii="Times New Roman" w:cs="Times New Roman" w:eastAsia="Times New Roman" w:hAnsi="Times New Roman"/>
          <w:sz w:val="18"/>
          <w:szCs w:val="18"/>
          <w:u w:val="single" w:color="auto"/>
          <w:color w:val="auto"/>
        </w:rPr>
        <w:t>LivePerson Option</w:t>
      </w:r>
      <w:r>
        <w:rPr>
          <w:rFonts w:ascii="Times New Roman" w:cs="Times New Roman" w:eastAsia="Times New Roman" w:hAnsi="Times New Roman"/>
          <w:sz w:val="18"/>
          <w:szCs w:val="18"/>
          <w:color w:val="auto"/>
        </w:rPr>
        <w:t>”) with a per-share exercise price less than the product of the Per Share Merger Consideration multiplied by the Company Closing Stock Price (each, an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and held by any individual who is not an “employee” of the Company within the meaning of Form S-8 as of immediately after the Effective Time will be entitled to receive the Per Share Merger Consideration applicable to the number of shares covered by such LivePerson Option, net of the applicable exercise price and less applicable tax withholdings; (ii) each LivePerson Option that is not an In-the-Money Option will be cancelled for no consideration; (iii) restricted stock units with respect to shares of LivePerson Common Stock (the “</w:t>
      </w:r>
      <w:r>
        <w:rPr>
          <w:rFonts w:ascii="Times New Roman" w:cs="Times New Roman" w:eastAsia="Times New Roman" w:hAnsi="Times New Roman"/>
          <w:sz w:val="18"/>
          <w:szCs w:val="18"/>
          <w:u w:val="single" w:color="auto"/>
          <w:color w:val="auto"/>
        </w:rPr>
        <w:t>LivePerson RSUs</w:t>
      </w:r>
      <w:r>
        <w:rPr>
          <w:rFonts w:ascii="Times New Roman" w:cs="Times New Roman" w:eastAsia="Times New Roman" w:hAnsi="Times New Roman"/>
          <w:sz w:val="18"/>
          <w:szCs w:val="18"/>
          <w:color w:val="auto"/>
        </w:rPr>
        <w:t>”) held by non-employee directors of LivePerson and each LivePerson RSU that has vested but not yet settled will be entitled to receive the Per Share Merger Consideration in respect of each LivePerson RSU, less applicable tax withholdings; (iv) all other In-the-Money Options and LivePerson RSUs will be assumed by the Company and converted into corresponding awards denominated in shares of Company Common Stock in accordance with the terms set forth in the Merger Agreement and (v) all warrants to purchase shares of LivePerson Common Stock will be cancelled for no consideration. The Merger Agreement also provides that in the event the treatment, as set forth in (i)–(iv) above, of any LivePerson Options or LivePerson RSUs held by persons outside of the United States would be administratively burdensome to the Company, the Company may either cash out such equity awards or convert them into cash-based awards that continue to vest on the same schedule.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completion of the Merger is subject to customary closing conditions, including, among others (a) the adoption of the Merger Agreement by the stockholders of LivePerson; (b) the absence of any law, order or other legal impediment prohibiting the consummation of the Merger; (c) the receipt of approvals under certain applicable foreign direct investment laws; (d) the approval for listing the shares of Company Common Stock issuable to the stockholders of LivePerson pursuant to the Merger Agreement on the Nasdaq; (e) the effectiveness of the Company’s registration statement on Form S-4; (f) the accuracy of the parties’ respective representations and warranties in the Merger Agreement, subject to specified materiality qualifications; (g) the performance or compliance by the Company and LivePerson with the covenants in the Merger Agreement in all material respects; (h) the absence of a material adverse effect on LivePerson (as defined in the Merger Agreement); and (i) the consummation of the Notes Restructuring Transactions (as defined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made by each of the Company, Merger Sub and LivePerson, including, among others, covenants by LivePerson regarding the conduct of its business during the pendency of the transactions contemplated by the Merger Agreement, public disclosures and other matters. LivePerson is required, among other things, not to solicit alternative business combination transactions and, subject to certain exceptions, not to engage in discussions or negotiations regarding an alternative business combination transaction.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Both the Company and LivePerson may terminate the Merger Agreement under specified circumstances, including (a) if the Merger is not completed by October 21, 2026 (which date may be extended to December 5, 2026 if certain regulatory approvals have not been obtained); (b) if LivePerson fails to obtain stockholder approval; (c) if the board of directors of LivePerson makes an adverse recommendation change with respect to the Merger or commits a material breach of its non-solicitation obligations; (d) if the board of directors of LivePerson terminates to accept a superior acquisition proposal; or (e) if the Notes Restructuring Transactions are terminated for any reason. The Merger Agreement further provides that LivePerson is required to pay the Company a termination fee of $5,000,000, plus the Company’s transaction expenses, if the Merger Agreement is terminated under certain specified circumstances, including if the board of directors of LivePerson changes or withdraws its recommendation of the Merger, terminates the Merger Agreement to enter into an agreement with respect to a superior acquisition proposal or if the Notes Restructuring Transactions terminate for any reason or otherwise fail to consummate by the Outside Date (as defined in the Merger Agreement), except where such termination or failure to consummate primarily resulted from the Company’s material breach of the Notes Restructuring Agreement; provided that where a termination fee is payable in connection with the failure to consummate, or termination of, the Note Restructuring Transactions, the obligation to reimburse the Company’s transaction expenses will be capped at $3,750,000.</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and the consummation of the transactions contemplated thereby, including the Merger have been unanimously approved by LivePerson’s board of directors, and LivePerson’s board of directors has resolved to recommend to the stockholders of LivePerson to adopt the Merger Agreement, subject to its terms and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is attached hereto as Exhibit 2.1 and is incorporated herein by reference. The foregoing description does not purport to be complete and is subject to and qualified in its entirety by reference to the Merger Agreement. The Merger Agreement has been attached to provide investors with information regarding its terms. It is not intended to provide any other factual information about the Company, Merger Sub or LivePerson. In particular, the assertions embodied in the representations and warranties contained in the Merger Agreement are qualified by information in a confidential disclosure letter provided by LivePerson to the Company in connection with the signing of the Merger Agreement and in filings of the parties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confidential disclosure letter contains information that modifies, qualifies and creates exceptions to the representations and warranties and certain covenants set forth in the Merger Agreement. Moreover, the representations and warranties in the Merger Agreement were used for the purposes of allocating risk between the Company and LivePerson rather than establishing matters of fact. Accordingly, the representations and warranties in the Merger Agreement should not be relied on as characterization of the actual state of facts about the Company, Merger Sub or LivePerson.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Notes Restructuring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21, 2026, concurrently with the execution and delivery of the Merger Agreement, the Company entered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with LivePerson and each of the holders of LivePerson’s First Lien Convertible Secured Notes due 2029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Lien Secured Notes</w:t>
      </w:r>
      <w:r>
        <w:rPr>
          <w:rFonts w:ascii="Times New Roman" w:cs="Times New Roman" w:eastAsia="Times New Roman" w:hAnsi="Times New Roman"/>
          <w:sz w:val="18"/>
          <w:szCs w:val="18"/>
          <w:color w:val="auto"/>
        </w:rPr>
        <w:t>”) and LivePerson’s Second Lien Senior Subordinated Secured Notes due 2029 (the “</w:t>
      </w:r>
      <w:r>
        <w:rPr>
          <w:rFonts w:ascii="Times New Roman" w:cs="Times New Roman" w:eastAsia="Times New Roman" w:hAnsi="Times New Roman"/>
          <w:sz w:val="18"/>
          <w:szCs w:val="18"/>
          <w:u w:val="single" w:color="auto"/>
          <w:color w:val="auto"/>
        </w:rPr>
        <w:t>Second Lien Secured Notes</w:t>
      </w:r>
      <w:r>
        <w:rPr>
          <w:rFonts w:ascii="Times New Roman" w:cs="Times New Roman" w:eastAsia="Times New Roman" w:hAnsi="Times New Roman"/>
          <w:sz w:val="18"/>
          <w:szCs w:val="18"/>
          <w:color w:val="auto"/>
        </w:rPr>
        <w:t>” and, together with the First Lien Secured Notes, the “</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pursuant to which and on the terms and subject to the conditions thereof, among other things, the holders of the Secured Notes have agreed to release and deem satisfied the Secured Notes for the consideration contemplated thereby (the transactions contemplated by the Notes Restructuring Agreement, “</w:t>
      </w: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holder of First Lien Secured Notes has agreed to accept, in full and complete satisfaction of all obligations of LivePerson to such holder, (a) a number of shares of Company Common Stock equal to the quotient of (i) $178,007,733.68 (the “</w:t>
      </w:r>
      <w:r>
        <w:rPr>
          <w:rFonts w:ascii="Times New Roman" w:cs="Times New Roman" w:eastAsia="Times New Roman" w:hAnsi="Times New Roman"/>
          <w:sz w:val="18"/>
          <w:szCs w:val="18"/>
          <w:u w:val="single" w:color="auto"/>
          <w:color w:val="auto"/>
        </w:rPr>
        <w:t>First Lien Holder Aggregate Consideration Amount</w:t>
      </w:r>
      <w:r>
        <w:rPr>
          <w:rFonts w:ascii="Times New Roman" w:cs="Times New Roman" w:eastAsia="Times New Roman" w:hAnsi="Times New Roman"/>
          <w:sz w:val="18"/>
          <w:szCs w:val="18"/>
          <w:color w:val="auto"/>
        </w:rPr>
        <w:t>”), divided by</w:t>
      </w:r>
    </w:p>
    <w:p>
      <w:pPr>
        <w:spacing w:after="0" w:line="1" w:lineRule="exact"/>
        <w:rPr>
          <w:sz w:val="20"/>
          <w:szCs w:val="20"/>
          <w:color w:val="auto"/>
        </w:rPr>
      </w:pPr>
    </w:p>
    <w:p>
      <w:pPr>
        <w:ind w:right="20" w:firstLine="8"/>
        <w:spacing w:after="0" w:line="260" w:lineRule="auto"/>
        <w:tabs>
          <w:tab w:leader="none" w:pos="2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Closing Stock Price and (b) an amount in cash paid by LivePerson concurrently with Closing in the amount of (i) accrued and unpaid interest on the First Lien Secured Notes held by such holder, plus (ii) 65% of any LivePerson Excess Cash.</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holder of Second Lien Secured Notes has agreed to accept, in full and complete satisfaction of all obligations of LivePerson to such holder, such holder’s pro rata portion of (a) a number of shares of Company Common Stock equal to the quotient of (i) $83,207,733.68 (the “</w:t>
      </w:r>
      <w:r>
        <w:rPr>
          <w:rFonts w:ascii="Times New Roman" w:cs="Times New Roman" w:eastAsia="Times New Roman" w:hAnsi="Times New Roman"/>
          <w:sz w:val="18"/>
          <w:szCs w:val="18"/>
          <w:u w:val="single" w:color="auto"/>
          <w:color w:val="auto"/>
        </w:rPr>
        <w:t>Second Lien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divided by (ii) the Company Closing Stock Price and (b) an amount in cash equal to (i) the principal amount of any 2026 Convertible Notes repurchased and retired by LivePerson between April 1, 2026 and the Closing, minus (ii) the amount of cash paid to repurchase such 2026 Convertible Notes, plus (iii) 35% of LivePerson Excess Cash.</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LivePerson Excess Cash</w:t>
      </w:r>
      <w:r>
        <w:rPr>
          <w:rFonts w:ascii="Times New Roman" w:cs="Times New Roman" w:eastAsia="Times New Roman" w:hAnsi="Times New Roman"/>
          <w:sz w:val="18"/>
          <w:szCs w:val="18"/>
          <w:color w:val="auto"/>
        </w:rPr>
        <w:t>” refers to the difference of (a) the LivePerson Cash Balance, minus (b) the LivePerson Minimum Cash; provided that, if a negative number results from such calculation, “LivePerson Excess Cash” shall be $0.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of Company Common Stock to be issued in connection with the Notes Restructuring Transactions are expected to be issued in reliance on the exemption from registration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The Notes Restructuring Agreement provides the Company the option to elect, at any time before the close of business two business days prior to the Closing Date, to substitute an amount of cash in lieu of all or a portion of the stock consideration paid to the holders of Secured Notes, provided that (a) each holder of Secured Notes receives the same proportion of its consideration in cash and shares of Company Common Stock; (b) regardless of the Company Closing Stock Price, the proportion of consideration satisfied in cash shall be calculated assuming the stock consideration is worth the First Lien Holder Aggregate Consideration Amount and the Second Lien Holder Aggregate Consideration Amount, respectively and (c) in the event the Company Closing Stock Price is greater than $12 per share, the Company shall not be entitled to substitute cash for more than 50% of the stock consideration.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Notes Restructuring Agreement, completion of the Notes Restructuring Transactions is subject to customary closing conditions, including (a) the absence of any order or other legal impediment prohibiting the consummation of the Notes Restructuring Transactions; (b) the closing conditions under the Merger Agreement being satisfied or waived (other than the consummation of the Notes Restructuring Transactions); (c) the requisite securities law filings having been made; (d) the approval for listing the shares of Company Common Stock issuable to the holder of the Secured Notes pursuant to the Notes Restructuring Agreement on the Nasdaq; (e) the accuracy of the parties’ respective representations and warranties in the Notes Restructuring Agreement, subject to specified materiality qualifications; (f) the performance or compliance by the Company, LivePerson and the holders of Secured Notes with the covenants in the Notes Restructuring Agreement in all material respects; (g) the delivery of all required payments under the Notes Restructuring Agreement; (h) the entry into a registration rights agreement in respect of the shares of Company Common Stock issuable to the holders of the Secured Notes; and (i) the substantially contemporaneous consummation of the Notes Restructuring Transactions by the holders of the First Lien Secured Notes and the holders of the Second Lien Secured Notes.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Restructuring Agreement contains customary representations, warranties and covenants made by each of the parties, including, among others, that the shares of Company Common Stock issued in connection with the Notes Restructuring Transactions will be eligible for resale pursuant to an effective registration statement filed by the Company with the SEC. The holders of Secured Notes are required, among other things, not to solicit alternative business combination or note restructuring transactions and not to engage in discussions or negotiations regarding an alternative business combination or note restructuring transaction.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(as defined in the Merger Agreement). The holders of the First Lien Secured Notes are entitled to terminate the Notes Restructuring Agreement upon (a) any failure by LivePerson to pay amounts due under the indenture or other agreements governing the First Lien Secured Notes or (b) a breach of certain provisions of the indenture governing the First Lien Secured Notes, in each case, subject to cure rights of LivePerson and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Restructuring Agreement is attached hereto as Exhibit 10.1 and is incorporated herein by reference. The foregoing description does not purport to be complete and is subject to and qualified in its entirety by reference to the Notes Restructuring Agreement.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under the header “The Notes Restructuring Agreement” of this Current Report on Form 8-K is incorporated by reference into this Item 3.02.</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21, 2026, the Company and LivePerson issued a joint press release announcing execution of the Merger Agreement and the Notes Restructuring Agreement.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report furnished pursuant to Item 7.01, including Exhibit 99.1 attached hereto, shall not be deemed “filed” for the purposes of Section 18 of the Securities Exchange Act of 1934, as amended (the “Exchange Act”), or otherwise subject to the liabilities of that section. It may only be incorporated by reference in another filing under the Exchange Act or the Securities Act, if such subsequent filing specifically references such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statements the Company, LivePerson, the proposed transactions described herein and other matters that are forward-looking statements within the meaning of Section 27A of the Securities Act of 1933, as amended, and Section 21E of the Securities Exchange Act of 1934, as amended (the “Exchange Act”).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the Company’s or LivePerson’s expected future financial position, results of operations, business strategy, production capacity, competitive positions, growth opportunities, employment opportunities and mobility, plans and objectives of management and (ii) the Company’s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the Company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failure to timely or at all obtain LivePerson stockholder approval for the Merger; (c) the inability to obtain required regulatory approvals for the Merger; (d) the timing of obtaining such approvals and the risk that such approvals may result in the imposition of conditions that could adversely affect the combined company or the expected benefits of the proposed transactions; (e) the risk that a condition to closing of the proposed transactions may not be satisfied on a timely basis or at all; (f) the possible occurrence of an event, change or other circumstance that would give rise to the termination of the Merger Agreement; (g) the risk of stockholder litigation in connection with the Merger, including resulting expense or delay in closing of the proposed transactions; (h) the failure of the proposed transactions to close for any other reason; (i) the diversion of the attention of the Company and LivePerson management from ongoing business operations; (j) unexpected costs, liabilities, charges or expenses resulting from the proposed transactions; (k) the risk that the integration of the Company and LivePerson will be more difficult, time-consuming or expensive than anticipated; (l) the risk of customer loss or other business disruption in connection with the proposed transactions, or of the loss of key employees; (m) the fact that unforeseen liabilities of the Company or LivePerson may exist; (n) changes in applicable laws or regulations and extensive and evolving government regulations that impact the Company’s or LivePerson’s operations and business; (o) investigations, claims, disputes, enforcement actions, litigation and/or other regulatory or legal proceedings, including with respect to AI technology; (p) risks that the Company may not be able to manage strains associated with its growth; (q) dependence on key personnel; (r) stock price volatility; (s) the Company’s and LivePerson’s ability to protect their intellectual property and litigation risks; (t) the risk that LivePerson’s usage patterns, customer renewals, customer outcomes and similar metrics differ from expectations; (u) the risk of cybersecurity incidents or breaches impacting LivePerson’s business; (v) the risks related to the use and regulation of artificial intelligence and machine learning; (w) general economic, financial, legal, political and business conditions; and (x) other risks inherent in the Company’s and LivePerson’s businesses.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such factors are difficult to predict, are beyond the Company’s and LivePerson’s control, and are subject to additional risks and uncertainties, including those detailed in the Company’s annual report on Form 10-K for the year ended December 31, 2025 and those detailed in LivePerson’s annual report on Form 10-K for the year ended December 31, 2025. These risks, as well as other risks related to the proposed transaction, will be included in the Form S-4 and proxy statement/prospectus (each as defined below) that the Company and LivePerson intend to file with the SEC in connection with the proposed transaction. Forward-looking statements are based on the estimates and opinions of management at the time the statements are made. Neither the Company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the Company intends to file with the SEC a registration statement on Form S-4 (the “Form S-4”) that will include a proxy statement of LivePerson and that will also constitute a prospectus of the Company with respect to the shares of the Company common stock to be issued in the proposed transaction (the “proxy statement/prospectus”). The definitive proxy statement/prospectus (if and when available) will be filed with the SEC by, and mailed to shareholders of, LivePerson. Each of the Company and LivePerson may also file other relevant documents with the SEC regarding the proposed transaction.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the Company or LivePerson may file with the SEC in connection with the proposed transaction. INVESTORS AND SECURITY HOLDERS OF SOUNDHOUND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the Company and LivePerson, free of charge on the SEC’s website at www.sec.gov. Copies of the documents filed with, or furnished to, the SEC by the Company will be available free of charge on the Company’s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the Company’s or LivePerson’s website is not incorporated by reference into this communication.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LivePerson and their respective directors and executive officers may be deemed to be participants in the solicitation of proxies with respect to the proposed transaction under the rules of the SEC. Information about the directors and executive officers of the Company, including a description of their direct or indirect interests, by security holdings or otherwise, is set forth in the Company’s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“Ownership of Securities” included in LivePerson's definitive proxy statement in connection with its Special Meeting of Stockholders, which was filed with the SEC on September 17, 2025 and is available at https://www.sec.gov/ix?doc=/Archives/edgar/data/1102993/000110299325000159/lpsn-20250917.htm; in the Form 3 and Form 4 statements of beneficial ownership and statements of changes in beneficial ownership filed with the SEC by LivePerson's directors and executive officers; and in other documents filed by LivePerson with the SEC.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Merger Agreement, dated as of April 21, 2026, by and among SoundHound AI, Inc., Lightspeed Merger Sub Inc. and LivePerson, Inc.</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Notes Restructuring Agreement, dated as of April 21, 2026, by and among SoundHound AI, Inc., LivePerson, Inc. and each holder of</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LivePerson’s Second Lien Senior Subordinated Secured Notes due 2029.</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Joint Press Release of SoundHound AI, Inc. and LivePerson, Inc., dated April 21,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179"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and (a)(6) of Regulation S-K. The Company hereby undertakes to furnish supplemental copies of any of the omitted schedules and exhibits upon request by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April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MERGER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LIGHTSPEED MERGER SUB INC.,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DATED AS OF 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1680210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2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THE MERGER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and Effective Time of the Merger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CONVERSION OF SECURITIES IN THE MERGER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2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for Securities; Surrender of Certificates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with Respect to Unexchanged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Fractional Shares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2.6</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2.8</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2.9</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2.10</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Treatment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THE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Authority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3.7</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3.8</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Benefit Plans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3.10</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and Other Employment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3.11</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3.13</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3.14</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3.15</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3.17</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3.18</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3.19</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Anti-Corruption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3.20</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 Trade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3.21</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3.22</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Supplied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3.23</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Takeover Statutes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3.24</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3.25</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3.27</w:t>
            </w:r>
          </w:p>
        </w:tc>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PARENT AND MERGER SUB</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4.3</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Conflict</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4.4</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4.5</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Supplied</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4.7</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Takeover Statutes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4.8</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 of Merger Sub</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4.9</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Valid Issuance</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4.10</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CONDUCT OF THE COMPANY</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5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ADDITIONAL COVENANTS OF THE PARTIES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Preparation of Proxy Statement/Prospectus and Registration Statement; Company Stockholder Meeting</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6.3</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Non-Solicitation</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6.4</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6.5</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Certain Notices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6.6</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Litigation</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6.7</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Public Announcements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6.8</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Matters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6.9</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6.10</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 Matters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Listing Matters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6.12</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Takeover Statutes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6.13</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Benefits Preservation Plan</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6.14</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Cooperation as to Integration</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6.15</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 of 2026 Notes; Note Restructuring Transactions</w:t>
            </w:r>
          </w:p>
        </w:tc>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6.16</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Resignations</w:t>
            </w: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CONDITIONS TO CONSUMMATION OF THE MERGER</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7.1</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Conditions to Obligations of Parent and Merger Sub</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7.3</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14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TERMINATION, AMENDMENT AND WAIVER</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8.2</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Termination</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8.3</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Termination Fee</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14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GENERAL PROVISIONS</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9.1</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9.2</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 and Expenses</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9.3</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9.4</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Definitions</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9.5</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Terms Defined Elsewhere</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9.6</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9.7</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9.8</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9.9</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9.10</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9.11</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9.12</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9.13</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9.14</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9.15</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Modification or Amendment</w:t>
            </w:r>
          </w:p>
        </w:tc>
        <w:tc>
          <w:tcPr>
            <w:tcW w:w="3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9.16</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Extension; Waiver</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MERGER AGREEMENT, dated as of April 21,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SoundHound AI,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Lightspeed Merger Sub Inc., a Delaware corporation and an indirect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and LivePerson,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shall have the meanings assigned to such terms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or as otherwise defined elsewhere in this Agreement unless the context clearly indicates otherwise.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A. The parties intend that, on the terms and subject to the conditions set forth in this Agreement, Merger Sub be merged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the Company continuing as the surviving corporation in the Merger (the “</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as an indirect wholly owned Subsidiary of Parent in accordance with the applicable provisions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pursuant to which each share of common stock, par value $0.001 per share, of the Company (“</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issued and outstanding immediately prior to the Effective Time (other than Company Cancelled Shares) shall be converted automatically into the right to receive the Per Share Merger Consideration;</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upon the terms and subject to the conditions set forth herein, (i) determined that the transactions contemplated by this Agreement, including the Merger, are advisable, fair to and in the best interests of the Company and its stockholders, (ii) approved, adopted and declared advisable this Agreement and the transactions contemplated hereby, including the Merger and (iii) determined to recommend that the Company’s stockholders adopt this Agreement (collectively,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upon the terms and subject to the conditions set forth herein, (i) determined that the transactions contemplated by this Agreement, including the Merger and the Parent Share Issuance, are advisable, fair to and in the best interests of Parent and its stockholders and (ii) approved, adopted and declared advisable this Agreement and the transactions contemplated hereby, including the Merger and the Parent Share Issuance;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The Board of Directors of Merger Sub has, upon the terms and subject to the conditions set forth herein, (i) determined that the transactions contemplated by this Agreement, including the Merger, are advisable, fair to, and in the best interests of Merger Sub and its sole stockholder and (ii) approved, adopted and declared advisable this Agreement and the transactions contemplated hereby, including the Merger; and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Concurrently with the execution of this Agreement, each holder of Secured Notes and Parent are entering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and the transactions contemplated by the Notes Restructuring Agreement, the “</w:t>
      </w:r>
      <w:r>
        <w:rPr>
          <w:rFonts w:ascii="Times New Roman" w:cs="Times New Roman" w:eastAsia="Times New Roman" w:hAnsi="Times New Roman"/>
          <w:sz w:val="18"/>
          <w:szCs w:val="18"/>
          <w:u w:val="single" w:color="auto"/>
          <w:color w:val="auto"/>
        </w:rPr>
        <w:t>Notes 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pursuant to which, among other actions and matters, such holders have agreed to release and deem satisfied in full the Secured Notes for the consideration contemplated thereby.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satisfaction or waiver of the conditions set forth in this Agreement and in accordance with the applicable provisions of the DGCL:</w:t>
      </w:r>
    </w:p>
    <w:p>
      <w:pPr>
        <w:spacing w:after="0" w:line="162" w:lineRule="exact"/>
        <w:rPr>
          <w:sz w:val="20"/>
          <w:szCs w:val="20"/>
          <w:color w:val="auto"/>
        </w:rPr>
      </w:pPr>
    </w:p>
    <w:p>
      <w:pPr>
        <w:jc w:val="both"/>
        <w:ind w:firstLine="1952"/>
        <w:spacing w:after="0" w:line="255" w:lineRule="auto"/>
        <w:tabs>
          <w:tab w:leader="none" w:pos="22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Merger Sub shall merge with and into the Company, the separate corporate existence of Merger Sub shall cease and the Company shall continue as the Surviving Corporation. Immediately following the Effective Time, the Surviving Corporation shall be a direct wholly owned Subsidiary of Lightspeed Merger Sub Holdco, Inc., a Delaware corporation (“</w:t>
      </w:r>
      <w:r>
        <w:rPr>
          <w:rFonts w:ascii="Times New Roman" w:cs="Times New Roman" w:eastAsia="Times New Roman" w:hAnsi="Times New Roman"/>
          <w:sz w:val="18"/>
          <w:szCs w:val="18"/>
          <w:u w:val="single" w:color="auto"/>
          <w:color w:val="auto"/>
        </w:rPr>
        <w:t>Intermediate Sub</w:t>
      </w:r>
      <w:r>
        <w:rPr>
          <w:rFonts w:ascii="Times New Roman" w:cs="Times New Roman" w:eastAsia="Times New Roman" w:hAnsi="Times New Roman"/>
          <w:sz w:val="18"/>
          <w:szCs w:val="18"/>
          <w:color w:val="auto"/>
        </w:rPr>
        <w:t>”), which is a direct wholly owned Subsidiary of SoundHound, Inc., a Delaware corporation, which is a direct wholly owned Subsidiary of Parent. The Merger shall have the effects set forth in the applicable provisions of the DGCL. Without limiting the generality of the foregoing, from and after the Effective Time, all of the property, rights, privileges, immunities, powers and franchises of the Company and Merger Sub shall vest in the Surviving Corporation, and all of the debts, liabilities and duties of the Company and Merger Sub shall become the debts, liabilities and duties of the Surviving Corporation.</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by the Company, Parent, Merger Sub or any other Person, the certificate of incorporation and the bylaws of the Surviving Corporation shall be amended to be identical to the certificate of incorporation and bylaws of Merger Sub (except that the name of the Surviving Corporation shall not be changed), as in effect immediately prior to the Effective Time.</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Merger Sub serving in such positions immediately prior to the Effective Time shall become, as of the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Company serving in such positions immediately prior to the Effective Time shall become, effective as of the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and Effective Time of 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1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Parent, Merger Sub and the Company shall cause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The Merger shall become effective at the time the Certificate of Merger has been duly filed with the Secretary of State of the State of Delaware, or at such other date and time as is agreed upon by the parties and specified in the Certificate of Merger in accordance with the DGCL (such time as the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1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of any capital stock of the Company, Parent, or Merger Sub:</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8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Effective Time (other than Company Cancelled Shares) shall be automatically converted into the right to receive the Per Share Merger Consideration.</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Company Common Stock (other than any Company Cancelled Shares) shall cease to be outstanding and shall be automatically cancelled and shall cease to exist and, as of the Effective Time, each holder of record of shares of Company Common Stock shall cease to have any rights with respect thereto, except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183"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Company Common Stock held by (x) the Company as treasury shares, (y) any Company Subsidiary or (z) Parent or any Subsidiary of Parent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in each case, immediately prior to the Effective Time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shall be automatically cancelled and shall cease to exist, and no consideration shall be delivered in exchange therefor.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firstLine="2600"/>
        <w:spacing w:after="0" w:line="282" w:lineRule="auto"/>
        <w:tabs>
          <w:tab w:leader="none" w:pos="289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issued and outstanding immediately prior to the Effective Time shall be automatically converted into one fully paid and nonassessable share of common stock of the Surviving Corporation.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shall be construed to permit Parent or the Company to take any action with respect to its securities that is prohibited by the terms of this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 for Securities; Surrender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2" w:lineRule="auto"/>
        <w:tabs>
          <w:tab w:leader="none" w:pos="22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Effective Time, Parent shall deposit, or cause to be deposited, with the Exchange Agent (x) an amount of uncertificated, book-entry shares representing the number of shares of Parent Common Stock sufficient to effect the issuances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(y) an amount of cash sufficient to deliver the payments contemplated by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to which holders of Company Common Stock shall be entitled at the Effective Time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The Exchange Agent shall not be entitled to vote or exercise any rights of ownership with respect to the Parent Common Stock held by it from time to time hereunder. Following the Effective Time, Parent shall pay, or shall cause to be paid to the Exchange Agent, from time to time, as needed, cash sufficient to pay the aggregate dividends and other distributions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the event such deposited shares or funds are insufficient to effect the issuances or make the payments contemplated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as applicable, Parent shall promptly deposit, or cause to be deposited, 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shall be the sole and exclusive property of Parent. No part of such earnings shall accrue to the benefit of holders of Company Common Stock (other than by virtue of receipt of the issuances or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pursuant to the terms thereof) and no losses shall alter Parent’s obligation to cause the Exchange Agent to issue the shares or pay the cash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2200" w:hanging="248"/>
        <w:spacing w:after="0"/>
        <w:tabs>
          <w:tab w:leader="none" w:pos="2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Surrender; Treatment of Company Certificated Shares and Company Book-Entry Shares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2600"/>
        <w:spacing w:after="0" w:line="251" w:lineRule="auto"/>
        <w:tabs>
          <w:tab w:leader="none" w:pos="28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Certificated Shares</w:t>
      </w:r>
      <w:r>
        <w:rPr>
          <w:rFonts w:ascii="Times New Roman" w:cs="Times New Roman" w:eastAsia="Times New Roman" w:hAnsi="Times New Roman"/>
          <w:sz w:val="18"/>
          <w:szCs w:val="18"/>
          <w:color w:val="auto"/>
        </w:rPr>
        <w:t>. As soon as practicable after the Effective Time (and in no event later than three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Days after the Effective Time), Parent shall cause the Exchange Agent to mail to each Person that was a holder of record of shares of Company Common Stock represented by a certificate (“</w:t>
      </w:r>
      <w:r>
        <w:rPr>
          <w:rFonts w:ascii="Times New Roman" w:cs="Times New Roman" w:eastAsia="Times New Roman" w:hAnsi="Times New Roman"/>
          <w:sz w:val="18"/>
          <w:szCs w:val="18"/>
          <w:u w:val="single" w:color="auto"/>
          <w:color w:val="auto"/>
        </w:rPr>
        <w:t>Company Certificated Shares</w:t>
      </w:r>
      <w:r>
        <w:rPr>
          <w:rFonts w:ascii="Times New Roman" w:cs="Times New Roman" w:eastAsia="Times New Roman" w:hAnsi="Times New Roman"/>
          <w:sz w:val="18"/>
          <w:szCs w:val="18"/>
          <w:color w:val="auto"/>
        </w:rPr>
        <w:t xml:space="preserve">”) immediately prior to the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in exchange for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Upon surrender of any Company Certificated Shares (or affidavit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cause the Exchange Agent to issue and pay, if applicable, and deliver as promptly as practicable after such surrender, (I) credit in the stock ledger and other appropriate books and records of Parent for the number of shares of Parent Common Stock into which the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(II)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2600"/>
        <w:spacing w:after="0" w:line="251" w:lineRule="auto"/>
        <w:tabs>
          <w:tab w:leader="none" w:pos="28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Book-Entry Shares</w:t>
      </w:r>
      <w:r>
        <w:rPr>
          <w:rFonts w:ascii="Times New Roman" w:cs="Times New Roman" w:eastAsia="Times New Roman" w:hAnsi="Times New Roman"/>
          <w:sz w:val="18"/>
          <w:szCs w:val="18"/>
          <w:color w:val="auto"/>
        </w:rPr>
        <w:t>. Notwithstanding anything to the contrary contained in this Agreement, no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Company Common Stock held in book-entry form (“</w:t>
      </w:r>
      <w:r>
        <w:rPr>
          <w:rFonts w:ascii="Times New Roman" w:cs="Times New Roman" w:eastAsia="Times New Roman" w:hAnsi="Times New Roman"/>
          <w:sz w:val="18"/>
          <w:szCs w:val="18"/>
          <w:u w:val="single" w:color="auto"/>
          <w:color w:val="auto"/>
        </w:rPr>
        <w:t>Company Book-Entry Shares</w:t>
      </w:r>
      <w:r>
        <w:rPr>
          <w:rFonts w:ascii="Times New Roman" w:cs="Times New Roman" w:eastAsia="Times New Roman" w:hAnsi="Times New Roman"/>
          <w:sz w:val="18"/>
          <w:szCs w:val="18"/>
          <w:color w:val="auto"/>
        </w:rPr>
        <w:t xml:space="preserve">”) shall be required to deliver a certificate evidencing such Company Book-Entry Shares or, in the case of holders of Company Book-Entry Shares held through The Depository Trust Company, an executed letter of transmittal to the Exchange Agent to receive the Per Share Merger Consideration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or any dividends or other distributions (if any) or any cash payment (if any) that such holder is entitled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In lieu thereof, each holder of record of one or more Company Book-Entry Shares held through The Depository Trust Company whose Company Common Stock were converted into the right to receive the Per Share Merger Consideration shall automatically, upon the Effective Time, be entitled to receive, and Parent shall cause the Exchange Agent to issue and pay, if applicable, and deliver as promptly as practicable after the Effective Time,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(B)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As soon as practicable after the Effective Time (and in no event later than three (3) Business Days after the Effective Time), Parent shall cause the Exchange Agent to mail to each Person that was, immediately prior to the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2.1(a)(i)</w:t>
      </w:r>
      <w:r>
        <w:rPr>
          <w:rFonts w:ascii="Times New Roman" w:cs="Times New Roman" w:eastAsia="Times New Roman" w:hAnsi="Times New Roman"/>
          <w:sz w:val="18"/>
          <w:szCs w:val="18"/>
          <w:color w:val="auto"/>
        </w:rPr>
        <w:t xml:space="preserve"> and (B)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Payment of the Per Share Merger Consideration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each Company Book-Entry Share shall be deemed at any time after the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20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Shares</w:t>
      </w:r>
      <w:r>
        <w:rPr>
          <w:rFonts w:ascii="Times New Roman" w:cs="Times New Roman" w:eastAsia="Times New Roman" w:hAnsi="Times New Roman"/>
          <w:sz w:val="18"/>
          <w:szCs w:val="18"/>
          <w:color w:val="auto"/>
        </w:rPr>
        <w:t xml:space="preserve">. The shares of Parent Common Stock issued upon conversion of shares of Company Common Stock pursuant to and in accordance with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dividends or other distributions (if any) or any cash payment (if any)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shall be deemed to have been delivered or paid in full satisfaction of all rights pertaining to the shares of Company Common Stock. From and after the Effective Time, (i) all holders of Company Common Stock shall cease to have any rights as stockholders of the Company other than the right to receive the Per Share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and (ii) the stock transfer books of the Company shall be closed and there shall be no further registration of transfers of shares of Company Common Stock thereafter on the records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ind w:right="20" w:firstLine="1952"/>
        <w:spacing w:after="0" w:line="261" w:lineRule="auto"/>
        <w:tabs>
          <w:tab w:leader="none" w:pos="21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Post-Effective Time Surrender</w:t>
      </w:r>
      <w:r>
        <w:rPr>
          <w:rFonts w:ascii="Times New Roman" w:cs="Times New Roman" w:eastAsia="Times New Roman" w:hAnsi="Times New Roman"/>
          <w:sz w:val="18"/>
          <w:szCs w:val="18"/>
          <w:color w:val="auto"/>
        </w:rPr>
        <w:t xml:space="preserve">. If, after the Effective Time, any Company Certificated Shares are presented to Parent or the Surviving Corporation for any reason, such Company Certificated Shares shall be cancelled and exchanged for the Per Share Merger Consideration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subject to abandoned property, escheat or other similar Laws.</w:t>
      </w:r>
    </w:p>
    <w:p>
      <w:pPr>
        <w:spacing w:after="0" w:line="17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Abandoned Property; No Liability</w:t>
      </w:r>
      <w:r>
        <w:rPr>
          <w:rFonts w:ascii="Times New Roman" w:cs="Times New Roman" w:eastAsia="Times New Roman" w:hAnsi="Times New Roman"/>
          <w:sz w:val="18"/>
          <w:szCs w:val="18"/>
          <w:color w:val="auto"/>
        </w:rPr>
        <w:t xml:space="preserve">. Any portion of the shares or funds (including any interest received with respect thereto) made available to the Exchange Agent that remains unclaimed by the holders of Company Common Stock on the first anniversary of the Effective Time shall be returned to Parent upon demand, and any such holder of Company Common Stock who has not complied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prior to such time shall thereafter look only to Parent (subject to abandoned property, escheat or other similar Laws) for delivery of the Per Share Merger Consideration that such holder is entitled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any dividends or other distributions (if any) or any cash payment (if any) that such holder has the right to receive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delivered to a public official pursuant to any applicable abandoned property, escheat or similar Law.</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require the owner of such lost, stolen or destroyed Company Certificated Shares to deliver a bond in a reasonable sum as it may reasonably direct as indemnity against any claim that may be made against Parent, the Surviving Corporation or the Exchange Agent with respect to the Company Certificated Shares alleged to have been lost, stolen or destroyed.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declared or made with respect to shares of Parent Common Stock with a record date after the Effective Time shall be paid to the holder of any shares of Company Common Stock converted into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until such holder shall comply with the provisions of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Subject to escheat, Tax or other applicable Law, following the surrender of any such shares of Company Common Stock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(after giving effect to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Parent Common Stock shall be issued upon the conversion of shares of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that would otherwise have been entitled to receive a fraction of a share of Parent Common Stock (after taking into account all shares of Company Common Stock delivered by such holder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shall receive, in 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was not separately bargained-for consideration, but merely represents a mechanical rounding off for purposes of avoiding the expense and inconvenience to Parent that would otherwise be caused by the issuance of fractional shares of Parent Common Stock.</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From and after the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00" w:hanging="248"/>
        <w:spacing w:after="0"/>
        <w:tabs>
          <w:tab w:leader="none" w:pos="2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1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thereof, each In-the-Money Company Option that is outstanding and unexercised immediately prior to the Effective Time and held by an individual who, as of immediately after the Effective Time, will constitute an “employee” of Parent within the meaning of Form S-8 (a “</w:t>
      </w:r>
      <w:r>
        <w:rPr>
          <w:rFonts w:ascii="Times New Roman" w:cs="Times New Roman" w:eastAsia="Times New Roman" w:hAnsi="Times New Roman"/>
          <w:sz w:val="18"/>
          <w:szCs w:val="18"/>
          <w:u w:val="single" w:color="auto"/>
          <w:color w:val="auto"/>
        </w:rPr>
        <w:t>Continuing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xml:space="preserve">”), whether or not then vested or exercisable, shall be assumed by Parent and converted into an option to acquire shares of Parent Common Stock in accordance with this </w:t>
      </w:r>
      <w:r>
        <w:rPr>
          <w:rFonts w:ascii="Times New Roman" w:cs="Times New Roman" w:eastAsia="Times New Roman" w:hAnsi="Times New Roman"/>
          <w:sz w:val="18"/>
          <w:szCs w:val="18"/>
          <w:u w:val="single" w:color="auto"/>
          <w:color w:val="auto"/>
        </w:rPr>
        <w:t>Section 2.6(a)(i)</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Assumed Option</w:t>
      </w:r>
      <w:r>
        <w:rPr>
          <w:rFonts w:ascii="Times New Roman" w:cs="Times New Roman" w:eastAsia="Times New Roman" w:hAnsi="Times New Roman"/>
          <w:sz w:val="18"/>
          <w:szCs w:val="18"/>
          <w:color w:val="auto"/>
        </w:rPr>
        <w:t>”). Each such Assumed Option shall continue to have, and shall be subject to, the same terms and conditions as applied to the corresponding In-the-Money Company Option immediately prior to the Effective Time (including vesting and exercisability terms) except that, as of the Effective Time, each such Assumed Option shall constitute an option to acquire that number of whole shares of Parent Common Stock (rounded down to the nearest whole share) equal to the product of (i) the number of shares of Company Common Stock subject to the corresponding In-the-Money Company Option immediately prior to the Effective Time multiplied by (ii) the Per Share Merger Consideration, at an exercise price per share (rounded up to the nearest whole cent) equal to the quotient obtained by dividing (A) the exercise price per share of the corresponding In-the-Money Company Option by (B) the Per Share Merger Consideration.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20" w:firstLine="2600"/>
        <w:spacing w:after="0" w:line="258" w:lineRule="auto"/>
        <w:tabs>
          <w:tab w:leader="none" w:pos="28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thereof, each In-the-Money Company Option that is outstanding and unexercised immediately prior to the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spacing w:after="0" w:line="183" w:lineRule="exact"/>
        <w:rPr>
          <w:rFonts w:ascii="Times New Roman" w:cs="Times New Roman" w:eastAsia="Times New Roman" w:hAnsi="Times New Roman"/>
          <w:sz w:val="18"/>
          <w:szCs w:val="18"/>
          <w:color w:val="auto"/>
        </w:rPr>
      </w:pPr>
    </w:p>
    <w:p>
      <w:pPr>
        <w:jc w:val="both"/>
        <w:ind w:left="-20" w:firstLine="2600"/>
        <w:spacing w:after="0" w:line="266" w:lineRule="auto"/>
        <w:tabs>
          <w:tab w:leader="none" w:pos="288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thereof, each Out-of-the-Money Company Option that is outstanding and unexercised immediately prior to the Effective Time shall be cancelled without any payment in respect thereof.</w:t>
      </w:r>
    </w:p>
    <w:p>
      <w:pPr>
        <w:spacing w:after="0" w:line="175" w:lineRule="exact"/>
        <w:rPr>
          <w:rFonts w:ascii="Times New Roman" w:cs="Times New Roman" w:eastAsia="Times New Roman" w:hAnsi="Times New Roman"/>
          <w:sz w:val="18"/>
          <w:szCs w:val="18"/>
          <w:color w:val="auto"/>
        </w:rPr>
      </w:pPr>
    </w:p>
    <w:p>
      <w:pPr>
        <w:ind w:left="2180" w:hanging="248"/>
        <w:spacing w:after="0"/>
        <w:tabs>
          <w:tab w:leader="none" w:pos="2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2600"/>
        <w:spacing w:after="0" w:line="256" w:lineRule="auto"/>
        <w:tabs>
          <w:tab w:leader="none" w:pos="278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holders thereof, (A) each Company RSU Award that is outstanding immediately prior to the Effective Time and held by a non-employee member of the Company Board, and (B) each Company RSU Award that is outstanding immediately prior to the Effective Time and vested but not yet settled shall, in each case, be cancelled and converted into the right to receive the Per Share Merger Consideration in respect of each share of Company Common Stock subject to such Company RSU Award as of immediately prior to the Effective Time, less applicable Tax withholdings (provided, that such withholdings shall be satisfied by way of net settlement).</w:t>
      </w:r>
    </w:p>
    <w:p>
      <w:pPr>
        <w:spacing w:after="0" w:line="187" w:lineRule="exact"/>
        <w:rPr>
          <w:rFonts w:ascii="Times New Roman" w:cs="Times New Roman" w:eastAsia="Times New Roman" w:hAnsi="Times New Roman"/>
          <w:sz w:val="18"/>
          <w:szCs w:val="18"/>
          <w:color w:val="auto"/>
        </w:rPr>
      </w:pPr>
    </w:p>
    <w:p>
      <w:pPr>
        <w:jc w:val="both"/>
        <w:ind w:left="-20" w:firstLine="2600"/>
        <w:spacing w:after="0" w:line="254" w:lineRule="auto"/>
        <w:tabs>
          <w:tab w:leader="none" w:pos="28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by virtue of the Merger and without any action on the part of the Company, Parent, Merger Sub or holders thereof, each Company RSU Award that is outstanding immediately prior to the Effective Time (other than a Company RSU Award covered in </w:t>
      </w:r>
      <w:r>
        <w:rPr>
          <w:rFonts w:ascii="Times New Roman" w:cs="Times New Roman" w:eastAsia="Times New Roman" w:hAnsi="Times New Roman"/>
          <w:sz w:val="18"/>
          <w:szCs w:val="18"/>
          <w:u w:val="single" w:color="auto"/>
          <w:color w:val="auto"/>
        </w:rPr>
        <w:t>Section 2.6(b)(i)</w:t>
      </w:r>
      <w:r>
        <w:rPr>
          <w:rFonts w:ascii="Times New Roman" w:cs="Times New Roman" w:eastAsia="Times New Roman" w:hAnsi="Times New Roman"/>
          <w:sz w:val="18"/>
          <w:szCs w:val="18"/>
          <w:color w:val="auto"/>
        </w:rPr>
        <w:t>) shall be assumed by Parent and converted into a restricted stock unit award covering shares of Parent Common Stock (each, an “</w:t>
      </w:r>
      <w:r>
        <w:rPr>
          <w:rFonts w:ascii="Times New Roman" w:cs="Times New Roman" w:eastAsia="Times New Roman" w:hAnsi="Times New Roman"/>
          <w:sz w:val="18"/>
          <w:szCs w:val="18"/>
          <w:u w:val="single" w:color="auto"/>
          <w:color w:val="auto"/>
        </w:rPr>
        <w:t>Assumed RSU Award</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2.6(b)(ii)</w:t>
      </w:r>
      <w:r>
        <w:rPr>
          <w:rFonts w:ascii="Times New Roman" w:cs="Times New Roman" w:eastAsia="Times New Roman" w:hAnsi="Times New Roman"/>
          <w:sz w:val="18"/>
          <w:szCs w:val="18"/>
          <w:color w:val="auto"/>
        </w:rPr>
        <w:t>. Each such Assumed RSU Award shall continue to have, and shall be subject to, the same terms and conditions as applied to the corresponding Company RSU Award immediately prior to the Effective Time (including service-vesting and settlement terms, but excluding any performance-based vesting conditions) except that, as of the Effective Time, each such Assumed RSU Award shall cover that number of whole shares of Parent Common Stock (rounded down to the nearest whole share) equal to the product of (i) the number of shares of Company Common Stock subject to the corresponding Company RSU Award immediately prior to the Effective Time multiplied by (ii) the Per Share Merger Consideration.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2" w:name="page23"/>
    <w:bookmarkEnd w:id="22"/>
    <w:p>
      <w:pPr>
        <w:jc w:val="both"/>
        <w:ind w:firstLine="1952"/>
        <w:spacing w:after="0" w:line="258" w:lineRule="auto"/>
        <w:tabs>
          <w:tab w:leader="none" w:pos="22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Non-US Awards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if Parent determines that, for holders of Company Equity Awards employed outside of the United States, the treatment of Company Equity Awards prescribed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As soon as practicable following the date of this Agreement, the Company shall take all actions with respect to the Company ESPP that are necessary to provide that: (i) with respect to any offering periods in effect as of the date of this Agreement (the “</w:t>
      </w:r>
      <w:r>
        <w:rPr>
          <w:rFonts w:ascii="Times New Roman" w:cs="Times New Roman" w:eastAsia="Times New Roman" w:hAnsi="Times New Roman"/>
          <w:sz w:val="18"/>
          <w:szCs w:val="18"/>
          <w:u w:val="single" w:color="auto"/>
          <w:color w:val="auto"/>
        </w:rPr>
        <w:t>Current ESPP Offering Periods</w:t>
      </w:r>
      <w:r>
        <w:rPr>
          <w:rFonts w:ascii="Times New Roman" w:cs="Times New Roman" w:eastAsia="Times New Roman" w:hAnsi="Times New Roman"/>
          <w:sz w:val="18"/>
          <w:szCs w:val="18"/>
          <w:color w:val="auto"/>
        </w:rPr>
        <w:t>”), no employee who is not a participant in a Current ESPP Offering Period as of the date of this Agreement may become a participant in the Current ESPP Offering Period, and no participant may increase the percentage amount of his or her payroll deduction election from that in effect on the date of this Agreement for such Current ESPP Offering Periods; (ii) subject to the consummation of the Merger,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that is no later than three (3) Business Days prior to the Closing Date.</w:t>
      </w:r>
    </w:p>
    <w:p>
      <w:pPr>
        <w:spacing w:after="0" w:line="188"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2600"/>
        <w:spacing w:after="0" w:line="282" w:lineRule="auto"/>
        <w:tabs>
          <w:tab w:leader="none" w:pos="28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pass such resolutions and take such other actions as are necessary so as to cause the treatment of the Company Equity Awards and the Company ESPP as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2600"/>
        <w:spacing w:after="0" w:line="261" w:lineRule="auto"/>
        <w:tabs>
          <w:tab w:leader="none" w:pos="28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At the Effective Time, by virtue of the Merger and without any action on the part of the Company, Parent or Merger Sub, or the holders thereof, each Company Warrant outstanding and unexercised immediately prior to the Effective Time shall be cancelled without any payment in respect thereof.</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No earlier than twenty (20) Business Days nor later than fifteen (15) Business Days prior to the Closing Date, the Company shall deliver to the Acquiror a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 prior to the Closing Date. Subject to such good faith consultation by the Company and any updates to the Estimated Closing Statement resulting therefrom, the Company Cash Balance set forth in the Estimated Closing Statement as of such fifth (5th) Business Day prior to the Closing Date shall be deemed the final Company Cash Balance for purposes of calculating the Aggregate Consideration Amount.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Parent, the Merger Sub, the Company,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the Merger Sub, the Company,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the Merger Sub, the Company,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 (a) shall be remitted by Parent, the Merger Sub, the Company, the Surviving Corporation, the Exchange Agent, the Section 102 Trustee or any TASE member, as the case may be, to the applicable Governmental Entity as required by applicable Law and (b) shall be treated for all purposes of this Agreement as having been paid to the Person in respect of which such deduction and withholding was made.</w:t>
      </w:r>
    </w:p>
    <w:p>
      <w:pPr>
        <w:spacing w:after="0" w:line="19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Each of Parent, SoundHound, Inc., Intermediate Sub, Merger Sub and the Company intends that the exchange of shares of Company Common Stock for the Per Share Merger Consideration pursuant to the Merger be treated as a transaction described in Section 1001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None of Parent, SoundHound, Inc., Intermediate Sub, Merger Sub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concurrent with the execution of this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hereof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follows: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21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 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or caused to be made available to Parent true and complete copies of (i) any amendments to the Fourth Amended and Restated Certificate of Incorporation of the Company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not filed prior to the date hereof with the SEC,</w:t>
      </w:r>
    </w:p>
    <w:p>
      <w:pPr>
        <w:ind w:right="20" w:firstLine="8"/>
        <w:spacing w:after="0" w:line="260" w:lineRule="auto"/>
        <w:tabs>
          <w:tab w:leader="none" w:pos="2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to the Fourth Amended and Restated By-Laws of the Company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not filed prior to the date hereof with the SEC and (iii) the certificates of incorporation and bylaws, or equivalent organizational or governing documents, of each Company Subsidiary.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1952"/>
        <w:spacing w:after="0" w:line="261" w:lineRule="auto"/>
        <w:tabs>
          <w:tab w:leader="none" w:pos="21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1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20,000,000 shares of Company Common Stock, of which, as of the close of business on April 17, 2026 (the “</w:t>
      </w:r>
      <w:r>
        <w:rPr>
          <w:rFonts w:ascii="Times New Roman" w:cs="Times New Roman" w:eastAsia="Times New Roman" w:hAnsi="Times New Roman"/>
          <w:sz w:val="18"/>
          <w:szCs w:val="18"/>
          <w:u w:val="single" w:color="auto"/>
          <w:color w:val="auto"/>
        </w:rPr>
        <w:t>Company Capitalization Date</w:t>
      </w:r>
      <w:r>
        <w:rPr>
          <w:rFonts w:ascii="Times New Roman" w:cs="Times New Roman" w:eastAsia="Times New Roman" w:hAnsi="Times New Roman"/>
          <w:sz w:val="18"/>
          <w:szCs w:val="18"/>
          <w:color w:val="auto"/>
        </w:rPr>
        <w:t>”), there were 12,135,767 shares of Company Common Stock issued and outstanding and (ii) 5,000,000 shares of Preferred Stock, par value $0.001 per share, of the Company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spacing w:after="0" w:line="191"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 (vi) 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Effective Time on the terms and conditions specified in the instruments pursuant to which they are issuable, shall be duly authorized, validly issued, fully paid, non-assessable and free of preemptive rights.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 (6) the vesting schedule under the terms of the applicable award agreement (including any vesting acceleration provisions); and</w:t>
      </w:r>
    </w:p>
    <w:p>
      <w:pPr>
        <w:spacing w:after="0" w:line="11" w:lineRule="exact"/>
        <w:rPr>
          <w:rFonts w:ascii="Times New Roman" w:cs="Times New Roman" w:eastAsia="Times New Roman" w:hAnsi="Times New Roman"/>
          <w:sz w:val="18"/>
          <w:szCs w:val="18"/>
          <w:color w:val="auto"/>
        </w:rPr>
      </w:pPr>
    </w:p>
    <w:p>
      <w:pPr>
        <w:ind w:firstLine="8"/>
        <w:spacing w:after="0" w:line="260" w:lineRule="auto"/>
        <w:tabs>
          <w:tab w:leader="none" w:pos="2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Company Option, whether such Company Option is intended to constitute an “incentive stock option” within the meaning of Section 422 of the Code or is intended to be Tax-qualified under foreign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952"/>
        <w:spacing w:after="0" w:line="255" w:lineRule="auto"/>
        <w:tabs>
          <w:tab w:leader="none" w:pos="21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Equity Interests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 w:cs="Times New Roman" w:eastAsia="Times New Roman" w:hAnsi="Times New Roman"/>
          <w:sz w:val="18"/>
          <w:szCs w:val="18"/>
          <w:u w:val="single" w:color="auto"/>
          <w:color w:val="auto"/>
        </w:rPr>
        <w:t>Company Rights</w:t>
      </w:r>
      <w:r>
        <w:rPr>
          <w:rFonts w:ascii="Times New Roman" w:cs="Times New Roman" w:eastAsia="Times New Roman" w:hAnsi="Times New Roman"/>
          <w:sz w:val="18"/>
          <w:szCs w:val="18"/>
          <w:color w:val="auto"/>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power and authority to execute and deliver this Agreement, to perform its obligations hereunder and to consummate the transactions contemplated hereby, including the Merger. The execution and delivery of this Agreement by the Company and the consummation by the Company of the transactions contemplated hereby, including the Merger,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Vote</w:t>
      </w:r>
      <w:r>
        <w:rPr>
          <w:rFonts w:ascii="Times New Roman" w:cs="Times New Roman" w:eastAsia="Times New Roman" w:hAnsi="Times New Roman"/>
          <w:sz w:val="18"/>
          <w:szCs w:val="18"/>
          <w:color w:val="auto"/>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 w:cs="Times New Roman" w:eastAsia="Times New Roman" w:hAnsi="Times New Roman"/>
          <w:sz w:val="18"/>
          <w:szCs w:val="18"/>
          <w:u w:val="single" w:color="auto"/>
          <w:color w:val="auto"/>
        </w:rPr>
        <w:t>Enforceability Limitations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952"/>
        <w:spacing w:after="0" w:line="254" w:lineRule="auto"/>
        <w:tabs>
          <w:tab w:leader="none" w:pos="22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 (the “</w:t>
      </w:r>
      <w:r>
        <w:rPr>
          <w:rFonts w:ascii="Times New Roman" w:cs="Times New Roman" w:eastAsia="Times New Roman" w:hAnsi="Times New Roman"/>
          <w:sz w:val="18"/>
          <w:szCs w:val="18"/>
          <w:u w:val="single" w:color="auto"/>
          <w:color w:val="auto"/>
        </w:rPr>
        <w:t>Tax Benefits Preservation Plan Waiver</w:t>
      </w:r>
      <w:r>
        <w:rPr>
          <w:rFonts w:ascii="Times New Roman" w:cs="Times New Roman" w:eastAsia="Times New Roman" w:hAnsi="Times New Roman"/>
          <w:sz w:val="18"/>
          <w:szCs w:val="18"/>
          <w:color w:val="auto"/>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(a). Subject to receipt of the Required Company Vote, none of the execution, delivery or performance of this Agreement by the Company, the consummation by the Company of the Merger or any other transaction contemplated by this Agreement will (with or without notice or lapse of time, or both): (a) 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 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Parent Parties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none of the execution, delivery or performance of this Agreement by the Company, the consummation by the Company of the Merger or any other transaction contemplated by this Agreement will require (with or without notice or lapse of time, or both) any consent, approval, authorization or permit of, or filing or registration with or notification to, any Governmental Entity, other than (a) the filing of the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 Adverse Effect. The performance of the obligations under this Agreement, and the consummation of the Merger or any other transaction contemplated by this Agreement, in each case, will not require the publication of a prospectus or a similar offering document in Israel.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1" w:lineRule="auto"/>
        <w:tabs>
          <w:tab w:leader="none" w:pos="21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or with the ISA under the Israeli Securities Laws since January 1, 2024 (the “</w:t>
      </w:r>
      <w:r>
        <w:rPr>
          <w:rFonts w:ascii="Times New Roman" w:cs="Times New Roman" w:eastAsia="Times New Roman" w:hAnsi="Times New Roman"/>
          <w:sz w:val="18"/>
          <w:szCs w:val="18"/>
          <w:u w:val="single" w:color="auto"/>
          <w:color w:val="auto"/>
        </w:rPr>
        <w:t>Company ISA Documents</w:t>
      </w:r>
      <w:r>
        <w:rPr>
          <w:rFonts w:ascii="Times New Roman" w:cs="Times New Roman" w:eastAsia="Times New Roman" w:hAnsi="Times New Roman"/>
          <w:sz w:val="18"/>
          <w:szCs w:val="18"/>
          <w:color w:val="auto"/>
        </w:rPr>
        <w:t>”). No Company Subsidiary is required to make any filings with the SEC.</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hereof,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in each case, any notes or schedules thereto)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952"/>
        <w:spacing w:after="0" w:line="252" w:lineRule="auto"/>
        <w:tabs>
          <w:tab w:leader="none" w:pos="21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 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spacing w:after="0" w:line="19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 (iii) for liabilities and obligations arising out of or in connection with this Agreement, the Merger or the other transactions contemplated hereby and (iv) for liabilities and obligations that have not been and would not reasonably be expected to be, individually or in the aggregate, material to the Company and the Company Subsidiaries, taken as a whole.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2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hereof, except for the discussion and negotiation of this Agreement, the Company and the Company Subsidiaries have conducted their respective businesses in all material respects in the ordinary course of business consistent with past practice.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right="20" w:firstLine="1952"/>
        <w:spacing w:after="0" w:line="282" w:lineRule="auto"/>
        <w:tabs>
          <w:tab w:leader="none" w:pos="22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hereof, there has not been any Company Material Adverse Effect or any change, event or development, that had or would reasonably be expected to have, individually or in the aggregate, a Company Material Adverse Effect.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2026 through the date hereof, there has not been any action taken by the Company or any Company Subsidiary that, if taken during the period between the date of hereof through the Effective Time, would constitute a breach of </w:t>
      </w:r>
      <w:r>
        <w:rPr>
          <w:rFonts w:ascii="Times New Roman" w:cs="Times New Roman" w:eastAsia="Times New Roman" w:hAnsi="Times New Roman"/>
          <w:sz w:val="18"/>
          <w:szCs w:val="18"/>
          <w:u w:val="single" w:color="auto"/>
          <w:color w:val="auto"/>
        </w:rPr>
        <w:t>Sections 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5.1(q)</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2" w:lineRule="auto"/>
        <w:tabs>
          <w:tab w:leader="none" w:pos="21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sets forth a complete and accurate list of each material Company Benefit Plan as of the date hereof, excluding (i) any Company Benefit Plan that is an employment offer letter or individual independent contractor or consultant agreement that (x)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 (30) days’ notice or less without further payment, liability or obligation (other than as required by applicable Laws) and (ii) any individual award agreement evidencing Company Equity Awards that is on a form that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 w:cs="Times New Roman" w:eastAsia="Times New Roman" w:hAnsi="Times New Roman"/>
          <w:sz w:val="18"/>
          <w:szCs w:val="18"/>
          <w:u w:val="single" w:color="auto"/>
          <w:color w:val="auto"/>
        </w:rPr>
        <w:t>Non-U.S. Company Benefit Plan</w:t>
      </w:r>
      <w:r>
        <w:rPr>
          <w:rFonts w:ascii="Times New Roman" w:cs="Times New Roman" w:eastAsia="Times New Roman" w:hAnsi="Times New Roman"/>
          <w:sz w:val="18"/>
          <w:szCs w:val="18"/>
          <w:color w:val="auto"/>
        </w:rPr>
        <w:t>”). With respect to each material Company Benefit Plan, to the extent applicable, the Company and the Company Subsidiaries have either delivered or made available to Parent prior to the execution of this Agreement true, correct and complete copies of: (i) all plan documents and all amendments thereto, and all related trust or other funding documents, and in the case of unwritten Company Benefit Plans, written descriptions thereof, (ii) the most recent determination letters, rulings, opinion letters, information letters or advisory opinions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spacing w:after="0" w:line="19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952"/>
        <w:spacing w:after="0" w:line="255" w:lineRule="auto"/>
        <w:tabs>
          <w:tab w:leader="none" w:pos="2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 (iii) a “multiple employer welfare arrangement” within the meaning of Section 3(40) of ERISA; or (iv) a “defined benefit plan” (as defined in Section 3(35) of ERISA whether or not subject thereto) or any other pension plan that is subject to Section 302 or Title IV of ERISA or Section 412 of 430 of the Code. None of the Company or any of the Company Subsidiaries has any current or contingent liability or obligation as a consequence of being considered a single employer with any other Person under Section 414 of the Code during the past six (6) years.</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 or (iv) result in the payment of any “excess parachute payments” within the meaning of Section 280G of the Code.</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952"/>
        <w:spacing w:after="0" w:line="258" w:lineRule="auto"/>
        <w:tabs>
          <w:tab w:leader="none" w:pos="21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 (ii) that is intended to qualify 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Labor and Other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1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Company Disclosure Schedule sets forth, as of the date hereof, a true, correct, and complete list of all employees of the Company and the Company Subsidiaries, including for each such employee their (i) name or identification number, (ii) job title, (iii) 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 (xi) 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 Disclosure Schedule sets forth, as of the date hereof,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952"/>
        <w:spacing w:after="0" w:line="266" w:lineRule="auto"/>
        <w:tabs>
          <w:tab w:leader="none" w:pos="22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 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 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 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spacing w:after="0" w:line="19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952"/>
        <w:spacing w:after="0" w:line="256" w:lineRule="auto"/>
        <w:tabs>
          <w:tab w:leader="none" w:pos="22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be material to the Company and the Company Subsidiaries, taken as a whole, as of the date hereof,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2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employee with a position at the Vice President level or higher, intends to terminate his or her employment or retire prior to the one-year anniversary of the Closing.</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spacing w:after="0" w:line="194"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employees of the Company or any Company Subsidiary who reside or work in Israel (“</w:t>
      </w:r>
      <w:r>
        <w:rPr>
          <w:rFonts w:ascii="Times New Roman" w:cs="Times New Roman" w:eastAsia="Times New Roman" w:hAnsi="Times New Roman"/>
          <w:sz w:val="18"/>
          <w:szCs w:val="18"/>
          <w:u w:val="single" w:color="auto"/>
          <w:color w:val="auto"/>
        </w:rPr>
        <w:t>Israeli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(i) neither the Company nor any Company Subsidiary has or is subject to, and no Israeli Employee of the Company or any Company Subsidiary benefits from, any extension order (</w:t>
      </w:r>
      <w:r>
        <w:rPr>
          <w:rFonts w:ascii="Times New Roman" w:cs="Times New Roman" w:eastAsia="Times New Roman" w:hAnsi="Times New Roman"/>
          <w:sz w:val="18"/>
          <w:szCs w:val="18"/>
          <w:i w:val="1"/>
          <w:iCs w:val="1"/>
          <w:color w:val="auto"/>
        </w:rPr>
        <w:t>tzavei harchava</w:t>
      </w:r>
      <w:r>
        <w:rPr>
          <w:rFonts w:ascii="Times New Roman" w:cs="Times New Roman" w:eastAsia="Times New Roman" w:hAnsi="Times New Roman"/>
          <w:sz w:val="18"/>
          <w:szCs w:val="18"/>
          <w:color w:val="auto"/>
        </w:rPr>
        <w:t>) (other than extension orders applicable to all employers in Israel and no employee of the Company or any of its Subsidiaries benefits from any such extension orders); and (ii) all current and former Israeli Employees that are or were employed by the Company or any Company Subsidiary are, and were, lawfully subject to the arrangement under Section 14 of the Israeli Severance Pay Law – 1963 (the “</w:t>
      </w:r>
      <w:r>
        <w:rPr>
          <w:rFonts w:ascii="Times New Roman" w:cs="Times New Roman" w:eastAsia="Times New Roman" w:hAnsi="Times New Roman"/>
          <w:sz w:val="18"/>
          <w:szCs w:val="18"/>
          <w:u w:val="single" w:color="auto"/>
          <w:color w:val="auto"/>
        </w:rPr>
        <w:t>Section 14 Arrangement</w:t>
      </w:r>
      <w:r>
        <w:rPr>
          <w:rFonts w:ascii="Times New Roman" w:cs="Times New Roman" w:eastAsia="Times New Roman" w:hAnsi="Times New Roman"/>
          <w:sz w:val="18"/>
          <w:szCs w:val="18"/>
          <w:color w:val="auto"/>
        </w:rPr>
        <w:t>”)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 that the Company and the Company’s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2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sets forth, as of the date hereof, a true and complete list of each Contract to which the Company or any Company Subsidiary is a party or by which their respective properties or assets are bound, and which falls within any of the following categories:</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right of first refusal or right of first offer or imposes any other similar restriction or obligation that, in each case, limits in any material respect the ability of the Company or any Company Subsidiary (or Parent and its affiliates after the Effective Time) to own, operate, sell, transfer, pledge or otherwise dispose of any material businesses or material assets;</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1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materially limits the freedom of the Company or any Company Subsidiary (or Parent and its affiliates after the Effective Time) to engage in any line of business, compete with any Person or purchase, sell, supply or distribute any product or service, in each case, in any geographic area;</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2600"/>
        <w:spacing w:after="0" w:line="266" w:lineRule="auto"/>
        <w:tabs>
          <w:tab w:leader="none" w:pos="28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gives any Person the express right to acquire legal ownership of any assets owned by the Company or any Company Subsidiary (excluding ordinary course commitments to purchase Company Products) after the date hereof with consideration of more than $250,000;</w:t>
      </w:r>
    </w:p>
    <w:p>
      <w:pPr>
        <w:spacing w:after="0" w:line="175" w:lineRule="exact"/>
        <w:rPr>
          <w:rFonts w:ascii="Times New Roman" w:cs="Times New Roman" w:eastAsia="Times New Roman" w:hAnsi="Times New Roman"/>
          <w:sz w:val="18"/>
          <w:szCs w:val="18"/>
          <w:color w:val="auto"/>
        </w:rPr>
      </w:pPr>
    </w:p>
    <w:p>
      <w:pPr>
        <w:ind w:firstLine="2600"/>
        <w:spacing w:after="0" w:line="282" w:lineRule="auto"/>
        <w:tabs>
          <w:tab w:leader="none" w:pos="2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for borrowed money or any financial guaranty (including any guaranty by the Company or any Company Subsidiary of any obligations of any third party), in each case pertaining to indebtedness in excess of $250,000;</w:t>
      </w:r>
    </w:p>
    <w:p>
      <w:pPr>
        <w:spacing w:after="0" w:line="161" w:lineRule="exact"/>
        <w:rPr>
          <w:rFonts w:ascii="Times New Roman" w:cs="Times New Roman" w:eastAsia="Times New Roman" w:hAnsi="Times New Roman"/>
          <w:sz w:val="18"/>
          <w:szCs w:val="18"/>
          <w:color w:val="auto"/>
        </w:rPr>
      </w:pPr>
    </w:p>
    <w:p>
      <w:pPr>
        <w:ind w:left="3000" w:hanging="400"/>
        <w:spacing w:after="0"/>
        <w:tabs>
          <w:tab w:leader="none" w:pos="3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8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customers of the Company and the Company Subsidiaries (as measured by total revenue for the fiscal year ending December 31, 2025);</w:t>
      </w:r>
    </w:p>
    <w:p>
      <w:pPr>
        <w:spacing w:after="0" w:line="161" w:lineRule="exact"/>
        <w:rPr>
          <w:rFonts w:ascii="Times New Roman" w:cs="Times New Roman" w:eastAsia="Times New Roman" w:hAnsi="Times New Roman"/>
          <w:sz w:val="18"/>
          <w:szCs w:val="18"/>
          <w:color w:val="auto"/>
        </w:rPr>
      </w:pPr>
    </w:p>
    <w:p>
      <w:pPr>
        <w:ind w:right="20" w:firstLine="2600"/>
        <w:spacing w:after="0" w:line="282" w:lineRule="auto"/>
        <w:tabs>
          <w:tab w:leader="none" w:pos="28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vendors of the Company and the Company Subsidiaries (as measured by expenditures for the fiscal year ending December 31, 2025);</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9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sublease with respect to the Company Leased Real Property that is material to the conduct of the Company’s and the Company Subsidiaries’ business as currently conducted;</w:t>
      </w:r>
    </w:p>
    <w:p>
      <w:pPr>
        <w:spacing w:after="0" w:line="161" w:lineRule="exact"/>
        <w:rPr>
          <w:rFonts w:ascii="Times New Roman" w:cs="Times New Roman" w:eastAsia="Times New Roman" w:hAnsi="Times New Roman"/>
          <w:sz w:val="18"/>
          <w:szCs w:val="18"/>
          <w:color w:val="auto"/>
        </w:rPr>
      </w:pPr>
    </w:p>
    <w:p>
      <w:pPr>
        <w:jc w:val="both"/>
        <w:ind w:firstLine="2600"/>
        <w:spacing w:after="0" w:line="254" w:lineRule="auto"/>
        <w:tabs>
          <w:tab w:leader="none" w:pos="2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spacing w:after="0" w:line="188" w:lineRule="exact"/>
        <w:rPr>
          <w:rFonts w:ascii="Times New Roman" w:cs="Times New Roman" w:eastAsia="Times New Roman" w:hAnsi="Times New Roman"/>
          <w:sz w:val="18"/>
          <w:szCs w:val="18"/>
          <w:color w:val="auto"/>
        </w:rPr>
      </w:pPr>
    </w:p>
    <w:p>
      <w:pPr>
        <w:jc w:val="both"/>
        <w:ind w:firstLine="2600"/>
        <w:spacing w:after="0" w:line="256" w:lineRule="auto"/>
        <w:tabs>
          <w:tab w:leader="none" w:pos="29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firstLine="2600"/>
        <w:spacing w:after="0" w:line="282" w:lineRule="auto"/>
        <w:tabs>
          <w:tab w:leader="none" w:pos="29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or similar Contract restricting in any material respect the operations or conduct of the Company or any Company Subsidiary or any of their respective affiliates (including Parent or any Parent Subsidiary after the Effective Time);</w:t>
      </w:r>
    </w:p>
    <w:p>
      <w:pPr>
        <w:spacing w:after="0" w:line="161" w:lineRule="exact"/>
        <w:rPr>
          <w:rFonts w:ascii="Times New Roman" w:cs="Times New Roman" w:eastAsia="Times New Roman" w:hAnsi="Times New Roman"/>
          <w:sz w:val="18"/>
          <w:szCs w:val="18"/>
          <w:color w:val="auto"/>
        </w:rPr>
      </w:pPr>
    </w:p>
    <w:p>
      <w:pPr>
        <w:ind w:left="2940" w:hanging="340"/>
        <w:spacing w:after="0"/>
        <w:tabs>
          <w:tab w:leader="none" w:pos="2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(including any side letter) governing or amending, modifying, supplementing or otherwise relating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Notes or the Secured Notes;</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3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7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0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87" w:lineRule="exact"/>
        <w:rPr>
          <w:rFonts w:ascii="Times New Roman" w:cs="Times New Roman" w:eastAsia="Times New Roman" w:hAnsi="Times New Roman"/>
          <w:sz w:val="18"/>
          <w:szCs w:val="18"/>
          <w:color w:val="auto"/>
        </w:rPr>
      </w:pPr>
    </w:p>
    <w:p>
      <w:pPr>
        <w:ind w:firstLine="2600"/>
        <w:spacing w:after="0" w:line="282" w:lineRule="auto"/>
        <w:tabs>
          <w:tab w:leader="none" w:pos="30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any exclusivity rights or “most favored nations” provisions or minimum use, supply or display requirements that are binding on the Company or any Company Subsidiary (including Parent or any Parent Subsidiary after the Effective Time);</w:t>
      </w:r>
    </w:p>
    <w:p>
      <w:pPr>
        <w:spacing w:after="0" w:line="161" w:lineRule="exact"/>
        <w:rPr>
          <w:rFonts w:ascii="Times New Roman" w:cs="Times New Roman" w:eastAsia="Times New Roman" w:hAnsi="Times New Roman"/>
          <w:sz w:val="18"/>
          <w:szCs w:val="18"/>
          <w:color w:val="auto"/>
        </w:rPr>
      </w:pPr>
    </w:p>
    <w:p>
      <w:pPr>
        <w:jc w:val="both"/>
        <w:ind w:firstLine="2600"/>
        <w:spacing w:after="0" w:line="256" w:lineRule="auto"/>
        <w:tabs>
          <w:tab w:leader="none" w:pos="30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 or any other transaction contemplated by this Agreement;</w:t>
      </w:r>
    </w:p>
    <w:p>
      <w:pPr>
        <w:spacing w:after="0" w:line="187" w:lineRule="exact"/>
        <w:rPr>
          <w:rFonts w:ascii="Times New Roman" w:cs="Times New Roman" w:eastAsia="Times New Roman" w:hAnsi="Times New Roman"/>
          <w:sz w:val="18"/>
          <w:szCs w:val="18"/>
          <w:color w:val="auto"/>
        </w:rPr>
      </w:pPr>
    </w:p>
    <w:p>
      <w:pPr>
        <w:ind w:firstLine="2600"/>
        <w:spacing w:after="0" w:line="282" w:lineRule="auto"/>
        <w:tabs>
          <w:tab w:leader="none" w:pos="29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Governmental Entity or prime contractor or subcontractor of a Governmental Entity, on the other hand;</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9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expressly obligates the Company or any Company Subsidiary to make any capital investment or capital expenditure outside the ordinary course of business and in excess of $250,000; and</w:t>
      </w:r>
    </w:p>
    <w:p>
      <w:pPr>
        <w:spacing w:after="0" w:line="161" w:lineRule="exact"/>
        <w:rPr>
          <w:rFonts w:ascii="Times New Roman" w:cs="Times New Roman" w:eastAsia="Times New Roman" w:hAnsi="Times New Roman"/>
          <w:sz w:val="18"/>
          <w:szCs w:val="18"/>
          <w:color w:val="auto"/>
        </w:rPr>
      </w:pPr>
    </w:p>
    <w:p>
      <w:pPr>
        <w:ind w:left="3040" w:hanging="440"/>
        <w:spacing w:after="0"/>
        <w:tabs>
          <w:tab w:leader="none" w:pos="3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contract” (as such term is defined in Item 601(b)(10) of Regulation S-K of the SEC),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 a Company Benefit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right="20" w:firstLine="1952"/>
        <w:spacing w:after="0" w:line="266" w:lineRule="auto"/>
        <w:tabs>
          <w:tab w:leader="none" w:pos="21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Contract of the type described in this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True and complete copies of each Company Material Contract in effect as of the date hereof has been made available to Parent (including pursuant to agreed-upon procedures to protect competitively sensitive information) or publicly filed with the SEC.</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 (iii) 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hereof,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 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w:t>
      </w:r>
    </w:p>
    <w:p>
      <w:pPr>
        <w:spacing w:after="0" w:line="6" w:lineRule="exact"/>
        <w:rPr>
          <w:sz w:val="20"/>
          <w:szCs w:val="20"/>
          <w:color w:val="auto"/>
        </w:rPr>
      </w:pPr>
    </w:p>
    <w:p>
      <w:pPr>
        <w:jc w:val="both"/>
        <w:ind w:firstLine="8"/>
        <w:spacing w:after="0" w:line="252" w:lineRule="auto"/>
        <w:tabs>
          <w:tab w:leader="none" w:pos="2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has entered into or agreed to any consent decree or order, or is subject to any judgment, decree or judicial order, relating to compliance with Environmental Laws, Environmental Permits or the investigation, sampling, monitoring, treatment, remediation, removal or cleanup of Hazardous Substances and no investigation, litigation or other proceeding is pending or, to the Knowledge of the Company, threatened with respect thereto; (e) 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20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Schedule sets forth a complete list of all (i) issued patents and pending patent applications, (ii) trademark and service mark registrations and applications, (iii) copyright registrations, (iv) design registrations and applications, and (v) internet domain name registrations, in each case that are owned or purported to be owned by the Company or any of the Company Subsidiaries (collectively, the “</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 (y) has been maintained effective by all requisite filings, renewals and payments, and (z) remains in full force and effect.</w:t>
      </w:r>
    </w:p>
    <w:p>
      <w:pPr>
        <w:spacing w:after="0" w:line="188"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952"/>
        <w:spacing w:after="0" w:line="253" w:lineRule="auto"/>
        <w:tabs>
          <w:tab w:leader="none" w:pos="21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spacing w:after="0" w:line="194"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spacing w:after="0" w:line="179"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former and current officers, directors, employees, personnel, consultants, advisors, agents, and independent contractors of the Company and the Company Subsidiaries, and each of 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952"/>
        <w:spacing w:after="0" w:line="261" w:lineRule="auto"/>
        <w:tabs>
          <w:tab w:leader="none" w:pos="21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spacing w:after="0" w:line="179"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spacing w:after="0" w:line="18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5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7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operate and perform as required by the Company and the Company Subsidiaries for the conduct of their businesses as currently conducted, and have not malfunctioned or failed since January 1, 2023.</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952"/>
        <w:spacing w:after="0" w:line="254" w:lineRule="auto"/>
        <w:tabs>
          <w:tab w:leader="none" w:pos="21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 to have, individually or in the aggregate, a Company Material Adverse Effect, to the Knowledge of the Company, there has been no (i) actual or alleged non-compliance with any such policies or claims or allegations 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1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Partners</w:t>
      </w:r>
      <w:r>
        <w:rPr>
          <w:rFonts w:ascii="Times New Roman" w:cs="Times New Roman" w:eastAsia="Times New Roman" w:hAnsi="Times New Roman"/>
          <w:sz w:val="18"/>
          <w:szCs w:val="18"/>
          <w:color w:val="auto"/>
        </w:rPr>
        <w:t>”), has for the past three (3) years complied with (i) policies and/or notices relating to privacy, security, or the Processing of Personal Information,</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commitments related to privacy, security, or the Processing of Personal Information, and (iii) Privacy and Security Laws (collectively,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952"/>
        <w:spacing w:after="0" w:line="253" w:lineRule="auto"/>
        <w:tabs>
          <w:tab w:leader="none" w:pos="21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spacing w:after="0" w:line="194"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in relation to any Security Incident and/or actual, alleged, or potential violation of a Privacy Requirement, neither the Company nor any Company Subsidiary has (i) notified or been required to notify any Person, or (ii) received any notice, claim, or complaint from any Person, or been the subject of any investigation or enforcement action by any Person.</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Merger does not and will not materially conflict with or result in a material violation or breach of any Privacy Requirements or require the consent of or provision of notice to any Person concerning such Person’s Personal Information.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Except as has not had and would not reasonably be expected to have, individually or in the aggregate, a Company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w:t>
      </w:r>
    </w:p>
    <w:p>
      <w:pPr>
        <w:spacing w:after="0" w:line="207" w:lineRule="exact"/>
        <w:rPr>
          <w:sz w:val="20"/>
          <w:szCs w:val="20"/>
          <w:color w:val="auto"/>
        </w:rPr>
      </w:pPr>
    </w:p>
    <w:p>
      <w:pPr>
        <w:jc w:val="both"/>
        <w:ind w:firstLine="2600"/>
        <w:spacing w:after="0" w:line="266" w:lineRule="auto"/>
        <w:tabs>
          <w:tab w:leader="none" w:pos="28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spacing w:after="0" w:line="175" w:lineRule="exact"/>
        <w:rPr>
          <w:rFonts w:ascii="Times New Roman" w:cs="Times New Roman" w:eastAsia="Times New Roman" w:hAnsi="Times New Roman"/>
          <w:sz w:val="18"/>
          <w:szCs w:val="18"/>
          <w:color w:val="auto"/>
        </w:rPr>
      </w:pPr>
    </w:p>
    <w:p>
      <w:pPr>
        <w:ind w:right="20" w:firstLine="2600"/>
        <w:spacing w:after="0" w:line="282" w:lineRule="auto"/>
        <w:tabs>
          <w:tab w:leader="none" w:pos="28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payable by the Company and the Company Subsidiaries (whether or not shown to be due and payable on any Tax Return) have been fully and timely paid to the appropriate Governmental Entity;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2600"/>
        <w:spacing w:after="0" w:line="258" w:lineRule="auto"/>
        <w:tabs>
          <w:tab w:leader="none" w:pos="29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0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spacing w:after="0" w:line="183"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29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spacing w:after="0" w:line="179" w:lineRule="exact"/>
        <w:rPr>
          <w:rFonts w:ascii="Times New Roman" w:cs="Times New Roman" w:eastAsia="Times New Roman" w:hAnsi="Times New Roman"/>
          <w:sz w:val="18"/>
          <w:szCs w:val="18"/>
          <w:color w:val="auto"/>
        </w:rPr>
      </w:pPr>
    </w:p>
    <w:p>
      <w:pPr>
        <w:ind w:right="20" w:firstLine="2600"/>
        <w:spacing w:after="0" w:line="312" w:lineRule="auto"/>
        <w:tabs>
          <w:tab w:leader="none" w:pos="294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disputes, audits, examinations, investigations or other Proceedings in progress, or to the Knowledge of the Company, pending or threatened, by any Governmental Entity with respect to any Taxes or Tax Returns of the Company or any Company Subsidiary;</w:t>
      </w:r>
    </w:p>
    <w:p>
      <w:pPr>
        <w:spacing w:after="0" w:line="139" w:lineRule="exact"/>
        <w:rPr>
          <w:rFonts w:ascii="Times New Roman" w:cs="Times New Roman" w:eastAsia="Times New Roman" w:hAnsi="Times New Roman"/>
          <w:sz w:val="17"/>
          <w:szCs w:val="17"/>
          <w:color w:val="auto"/>
        </w:rPr>
      </w:pPr>
    </w:p>
    <w:p>
      <w:pPr>
        <w:jc w:val="both"/>
        <w:ind w:firstLine="2600"/>
        <w:spacing w:after="0" w:line="266" w:lineRule="auto"/>
        <w:tabs>
          <w:tab w:leader="none" w:pos="29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spacing w:after="0" w:line="175"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9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is a party to any Tax-allocation, Tax-sharing, Tax-indemnity or similar agreement (not including, for the avoidance of doubt (I) an agreement or arrangement solely between or among the Company and/or any of the Company Subsidiaries or (II) any customary commercial Contract not primarily related to Taxes and entered into in the ordinary course of business) or (B) 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2600"/>
        <w:spacing w:after="0" w:line="258" w:lineRule="auto"/>
        <w:tabs>
          <w:tab w:leader="none" w:pos="28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 state, local or non-U.S. Tax Law), as a transferee or successor, by Contract (other than any customary commercial Contract not primarily related to Taxes and entered into the ordinary course of business), or otherwise by operation of Law;</w:t>
      </w:r>
    </w:p>
    <w:p>
      <w:pPr>
        <w:spacing w:after="0" w:line="183"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property or assets of the Company or the Company Subsidiaries, other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06" w:lineRule="exact"/>
        <w:rPr>
          <w:rFonts w:ascii="Times New Roman" w:cs="Times New Roman" w:eastAsia="Times New Roman" w:hAnsi="Times New Roman"/>
          <w:sz w:val="18"/>
          <w:szCs w:val="18"/>
          <w:color w:val="auto"/>
        </w:rPr>
      </w:pPr>
    </w:p>
    <w:p>
      <w:pPr>
        <w:ind w:firstLine="2600"/>
        <w:spacing w:after="0" w:line="282" w:lineRule="auto"/>
        <w:tabs>
          <w:tab w:leader="none" w:pos="294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participated in any “listed transaction” within the meaning of Treasury Regulations Section 1.6011-4(b)(2) (or under a similar provision of state, local, or non-U.S. Tax Law);</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spacing w:after="0" w:line="183" w:lineRule="exact"/>
        <w:rPr>
          <w:rFonts w:ascii="Times New Roman" w:cs="Times New Roman" w:eastAsia="Times New Roman" w:hAnsi="Times New Roman"/>
          <w:sz w:val="18"/>
          <w:szCs w:val="18"/>
          <w:color w:val="auto"/>
        </w:rPr>
      </w:pPr>
    </w:p>
    <w:p>
      <w:pPr>
        <w:jc w:val="both"/>
        <w:ind w:firstLine="2600"/>
        <w:spacing w:after="0" w:line="255" w:lineRule="auto"/>
        <w:tabs>
          <w:tab w:leader="none" w:pos="298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spacing w:after="0" w:line="188" w:lineRule="exact"/>
        <w:rPr>
          <w:rFonts w:ascii="Times New Roman" w:cs="Times New Roman" w:eastAsia="Times New Roman" w:hAnsi="Times New Roman"/>
          <w:sz w:val="18"/>
          <w:szCs w:val="18"/>
          <w:color w:val="auto"/>
        </w:rPr>
      </w:pPr>
    </w:p>
    <w:p>
      <w:pPr>
        <w:jc w:val="both"/>
        <w:ind w:firstLine="2600"/>
        <w:spacing w:after="0" w:line="261" w:lineRule="auto"/>
        <w:tabs>
          <w:tab w:leader="none" w:pos="293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treated the 2026 Notes, the First Lien Notes and the Second Lien Notes as debt for U.S. federal income tax and financial accounting purposes and, except to the extent otherwise required by a change in applicable Law or GAAP after the date hereof, will continue to treat the 2026 Notes, the First Lien Notes and the Second Lien Notes as debt for U.S. federal income tax and financial accounting purposes at all times through and immediately after the Effective Time; and</w:t>
      </w:r>
    </w:p>
    <w:p>
      <w:pPr>
        <w:spacing w:after="0" w:line="179" w:lineRule="exact"/>
        <w:rPr>
          <w:rFonts w:ascii="Times New Roman" w:cs="Times New Roman" w:eastAsia="Times New Roman" w:hAnsi="Times New Roman"/>
          <w:sz w:val="18"/>
          <w:szCs w:val="18"/>
          <w:color w:val="auto"/>
        </w:rPr>
      </w:pPr>
    </w:p>
    <w:p>
      <w:pPr>
        <w:jc w:val="both"/>
        <w:ind w:firstLine="2600"/>
        <w:spacing w:after="0" w:line="266" w:lineRule="auto"/>
        <w:tabs>
          <w:tab w:leader="none" w:pos="302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hereof.</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952"/>
        <w:spacing w:after="0" w:line="282" w:lineRule="auto"/>
        <w:tabs>
          <w:tab w:leader="none" w:pos="218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owns, or has ever (or, in the case of each Company Subsidiary, for so long as such Person has been a Subsidiary of the Company) owned, any real property.</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 sets forth (i) a true and complete list of all material real property leased, subleased or otherwise occupied by the Company or any of the Company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such Company Leased Real Property, and (iii) a description of the applicable lease, sublease or other agreement therefore and any and all amendments and modifications relating thereto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20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Company Subsidiary, and each Company Representative is and, since January 1, 2021, has been in compliance with the Anti-Corruption Laws.</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952"/>
        <w:spacing w:after="0" w:line="255" w:lineRule="auto"/>
        <w:tabs>
          <w:tab w:leader="none" w:pos="21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Company Representative acting for or on behalf of the Company or any Company Subsidiary has made any voluntary or involuntary disclosure to any Governmental Entity under the Anti-Corruption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established and maintain and enforce policies and procedures reasonably designed to promote and achieve compliance with the Anti-Corruption Laws applicable to the Company and the Company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International Trade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this Agreement, has been in compliance, (i) has been in compliance, in all material respects, with all Trade Compliance Laws, and (ii) has not been subject to debarment or list-based designations under any Trade Compliance Laws.</w:t>
      </w:r>
    </w:p>
    <w:p>
      <w:pPr>
        <w:spacing w:after="0" w:line="183"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 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firstLine="1952"/>
        <w:spacing w:after="0" w:line="282" w:lineRule="auto"/>
        <w:tabs>
          <w:tab w:leader="none" w:pos="21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since April 24, 2019, implemented and maintain policies and procedures to promote compliance with Sanctions and Trade Compliance Laws.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(the “</w:t>
      </w:r>
      <w:r>
        <w:rPr>
          <w:rFonts w:ascii="Times New Roman" w:cs="Times New Roman" w:eastAsia="Times New Roman" w:hAnsi="Times New Roman"/>
          <w:sz w:val="18"/>
          <w:szCs w:val="18"/>
          <w:u w:val="single" w:color="auto"/>
          <w:color w:val="auto"/>
        </w:rPr>
        <w:t>Company Fairness Opinion</w:t>
      </w:r>
      <w:r>
        <w:rPr>
          <w:rFonts w:ascii="Times New Roman" w:cs="Times New Roman" w:eastAsia="Times New Roman" w:hAnsi="Times New Roman"/>
          <w:sz w:val="18"/>
          <w:szCs w:val="18"/>
          <w:color w:val="auto"/>
        </w:rPr>
        <w:t>”) of Houlihan Lokey Capital, Inc. (“</w:t>
      </w:r>
      <w:r>
        <w:rPr>
          <w:rFonts w:ascii="Times New Roman" w:cs="Times New Roman" w:eastAsia="Times New Roman" w:hAnsi="Times New Roman"/>
          <w:sz w:val="18"/>
          <w:szCs w:val="18"/>
          <w:u w:val="single" w:color="auto"/>
          <w:color w:val="auto"/>
        </w:rPr>
        <w:t>Houlihan Lokey</w:t>
      </w:r>
      <w:r>
        <w:rPr>
          <w:rFonts w:ascii="Times New Roman" w:cs="Times New Roman" w:eastAsia="Times New Roman" w:hAnsi="Times New Roman"/>
          <w:sz w:val="18"/>
          <w:szCs w:val="18"/>
          <w:color w:val="auto"/>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 pursuant to this Agreement was fair, from a financial point of view, to such holders (solely in their capacity as holders of Company Common Stock). The Company shall make available to Parent a copy of such opinion as soon as practicable following the execution of this Agreement for informational purposes only.</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 w:cs="Times New Roman" w:eastAsia="Times New Roman" w:hAnsi="Times New Roman"/>
          <w:sz w:val="18"/>
          <w:szCs w:val="18"/>
          <w:u w:val="single" w:color="auto"/>
          <w:color w:val="auto"/>
        </w:rPr>
        <w:t>Company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individually or in the aggregate, a Company Material Adverse Effect, (a) 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Except as otherwise disclosed or identified in the Parent SEC Documents filed or furnished by Parent with the SEC on or after January 1, 2024 and at least two Business Days prior to the date hereof (other than forward-looking disclosures contained in the “Forward Looking Statements” and “Risk Factors” sections of the Parent SEC Documents and any other disclosures included therein to the extent they are primarily predictive, cautionary or forward-looking in nature, but including and historical or factual matters disclosed in such sections), each Parent Party each hereby jointly and severally represent and warrant to the Company as follows: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Parent Party has all necessary power and authority to execute and deliver this Agreement, to perform its obligations hereunder and to consummate the transactions contemplated hereby, including (a) in the case of Parent, the Parent Share Issuance and (b) in the case of Merger Sub, subject to the adoption of this Agreement by Parent as the sole stockholder of Merger Sub, the Merger. The execution and delivery of this Agreement by the Parent Parties and the consummation by the Parent Parties of the transactions contemplated hereby, including the Parent Share Issuance (in the case of Parent) and the Merger (in the case of Merger Sub), have been duly and validly authorized by all necessary corporate action, and no other corporate proceedings on the part of either Parent Party and, except for the affirmative vote of Parent as the sole stockholder of Merger Sub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(a). The execution, delivery and performance by the Parent Parties of this Agreement and the consummation by the Parent Parties of the transactions contemplated hereby, including the Parent Share Issuance (in the case of Parent) and the Merger (in the case of Merger Sub), do not and will not (a) contravene, conflict with, or result in any violation or breach of any provision of the Restated Certificate of Incorporation or the Amended and Restated Bylaws of Parent or the certificate of incorporation and bylaws (or equivalent organizational documents) of Merger Sub or (b) assuming compliance with the matters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contravene, conflict with or result in a violation or breach of any provision of any material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Company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none of the execution, delivery or performance of this Agreement by the Parent Parties, including the Parent Share Issuance (in the case of Parent) and the Merger (in the case of Merger Sub), or any other transaction contemplated by this Agreement will require (with or without notice or lapse of time, or both) any consent, approval, authorization or permit of, or filing or registration with or notification to, any Governmental Entity, other than (a) the filing of the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2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w:cs="Times New Roman" w:eastAsia="Times New Roman" w:hAnsi="Times New Roman"/>
          <w:sz w:val="18"/>
          <w:szCs w:val="18"/>
          <w:u w:val="single" w:color="auto"/>
          <w:color w:val="auto"/>
        </w:rPr>
        <w:t>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No Parent Subsidiary is required to make any filings with the SEC.</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hereof,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8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included in the Parent SEC Documents (including, in each case, any notes or schedules thereto)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952"/>
        <w:spacing w:after="0" w:line="253" w:lineRule="auto"/>
        <w:tabs>
          <w:tab w:leader="none" w:pos="21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spacing w:after="0" w:line="18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0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 or the other transactions contemplated hereby and (iv) for liabilities and obligations that have not had and would not reasonably be expected to have, individually or in the aggregate, a Parent Material Adverse Effect.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 shall be included in the Registration Statement, shall not, on the date(s) the Proxy Statement/Prospectus is first mailed to the stockholders of Parent or at the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Merger Sub</w:t>
      </w:r>
      <w:r>
        <w:rPr>
          <w:rFonts w:ascii="Times New Roman" w:cs="Times New Roman" w:eastAsia="Times New Roman" w:hAnsi="Times New Roman"/>
          <w:sz w:val="18"/>
          <w:szCs w:val="18"/>
          <w:color w:val="auto"/>
        </w:rPr>
        <w:t>. Merger Sub is an indirect, wholly owned Parent Subsidiary and a direct wholly owned Subsidiary of Intermediate Sub, was formed solely for the purpose of engaging in the transactions contemplated hereby and has engaged in no business activity other than as contemplated by this Agreement. Except for the liabilities incurred in connection with the transactions contemplated hereby,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Parent’s obligations to Barclays Capital Inc., no broker, investment banker, financial advisor or other Person is entitled to any brokerage, finders’, advisory or similar fee in connection with the transactions contemplated by this Agreement, including the Merger.</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 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CONDUCT OF THE COMPANY</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The Company agrees that, between the date hereof and the earlier of the Effective Time and the valid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except (w)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(2) as required by applicable Law, (3) as expressly required or contemplated by this Agreement, or (4) otherwise with the prior written consent of Parent (not to be unreasonably withheld, conditioned or delayed), the Company shall not, and shall not permit any Company Subsidiary to, between the date hereof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directly or indirectly, take any of the following actions:</w:t>
      </w:r>
    </w:p>
    <w:p>
      <w:pPr>
        <w:spacing w:after="0" w:line="190" w:lineRule="exact"/>
        <w:rPr>
          <w:sz w:val="20"/>
          <w:szCs w:val="20"/>
          <w:color w:val="auto"/>
        </w:rPr>
      </w:pPr>
    </w:p>
    <w:p>
      <w:pPr>
        <w:jc w:val="both"/>
        <w:ind w:firstLine="1952"/>
        <w:spacing w:after="0" w:line="282" w:lineRule="auto"/>
        <w:tabs>
          <w:tab w:leader="none" w:pos="22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hereof in accordance with their terms (or, if a Triggering Event (as defined in the Tax Benefits Preservation Plan) shall occur, the Company Rights) or upon the exercise of purchase rights under the Company ESPP (subject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hereof (as such Contracts may be modified, extended or amended in the ordinary course of business) or (ii) Permitted Liens;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ind w:firstLine="1952"/>
        <w:spacing w:after="0" w:line="261" w:lineRule="auto"/>
        <w:tabs>
          <w:tab w:leader="none" w:pos="219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hereof or (ii) upon the forfeiture of outstanding Company Equity Awards pursuant to their terms upon the termination of the employment of the holder thereof or otherwise;</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8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(B) payment of interest due and payable pursuant to the terms of the First Lien Notes;</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5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enter into any Contract that would, if entered into prior to the date hereof, be a Company Material Contract, other than, solely with respect to Company Material Contracts under </w:t>
      </w:r>
      <w:r>
        <w:rPr>
          <w:rFonts w:ascii="Times New Roman" w:cs="Times New Roman" w:eastAsia="Times New Roman" w:hAnsi="Times New Roman"/>
          <w:sz w:val="18"/>
          <w:szCs w:val="18"/>
          <w:u w:val="single" w:color="auto"/>
          <w:color w:val="auto"/>
        </w:rPr>
        <w:t>Sections 3.11(a)(ii)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3.11(a)(xx)</w:t>
      </w:r>
      <w:r>
        <w:rPr>
          <w:rFonts w:ascii="Times New Roman" w:cs="Times New Roman" w:eastAsia="Times New Roman" w:hAnsi="Times New Roman"/>
          <w:sz w:val="18"/>
          <w:szCs w:val="18"/>
          <w:color w:val="auto"/>
        </w:rPr>
        <w:t xml:space="preserve"> (in each case, so long as any such Contract would not also constitute a contract of the type described in </w:t>
      </w:r>
      <w:r>
        <w:rPr>
          <w:rFonts w:ascii="Times New Roman" w:cs="Times New Roman" w:eastAsia="Times New Roman" w:hAnsi="Times New Roman"/>
          <w:sz w:val="18"/>
          <w:szCs w:val="18"/>
          <w:u w:val="single" w:color="auto"/>
          <w:color w:val="auto"/>
        </w:rPr>
        <w:t>Section 3.11(a)(iv)</w:t>
      </w:r>
      <w:r>
        <w:rPr>
          <w:rFonts w:ascii="Times New Roman" w:cs="Times New Roman" w:eastAsia="Times New Roman" w:hAnsi="Times New Roman"/>
          <w:sz w:val="18"/>
          <w:szCs w:val="18"/>
          <w:color w:val="auto"/>
        </w:rPr>
        <w:t>), in the ordinary course of business consistent with past practice or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other than in the ordinary course of business consistent with past practice;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952"/>
        <w:spacing w:after="0" w:line="254" w:lineRule="auto"/>
        <w:tabs>
          <w:tab w:leader="none" w:pos="21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the terms of this Agreement or an existing Company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 would be a Company Benefit Plan if in effect on the date hereof) or (vii) accelerate the vesting, funding or time of payment of any compensation or other benefit (including a Company Equity Award) with respect to any current or former individual service provider;</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“mass layoff” or “plant closing,” in each case as defined in an applicable WARN Act, or take any other action that would reasonably be expected to trigger an applicable WARN Act;</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2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or any of its methods of reporting income, deductions or other material items for financial accounting purposes, other than as required by GAAP or applicable Law;</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952"/>
        <w:spacing w:after="0" w:line="255" w:lineRule="auto"/>
        <w:tabs>
          <w:tab w:leader="none" w:pos="219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hereof),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transaction with any Company Related Party;</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the Company’s insurance policies in the ordinary course of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past practice;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952"/>
        <w:spacing w:after="0" w:line="256" w:lineRule="auto"/>
        <w:tabs>
          <w:tab w:leader="none" w:pos="22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other than in the ordinary course of business consistent with past practice;</w:t>
      </w:r>
    </w:p>
    <w:p>
      <w:pPr>
        <w:spacing w:after="0" w:line="187"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special meeting (or any adjournment or postponement thereof) of the Company’s stockholders;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or waive in any material respect any right under any material Company Permit;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or expenditures, or enter into any agreement arrangement providing for, or otherwise commit to providing, any capital expenditure or expenditures, except (i) in accordance with the Company’s capital budget provided to Parent prior to the date hereof or (ii) with respect to capital expenditures or expenditures, in each case, in respect of capitalized software equal to or less than $250,000 in the aggregate;</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(aa) agree, authorize or enter into any Contract to do any of the foregoing or otherwise make any commitment to do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OF THE PARTIES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Preparation of Proxy Statement/Prospectus and Registration Statement; Company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1" w:lineRule="auto"/>
        <w:tabs>
          <w:tab w:leader="none" w:pos="218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hereof, the Company and Parent shall cooperate in preparing the proxy statement/prospectus relating to the matters to be submitted to the holders of Company Common Stock at the Company stockholders meeting to adopt this Agreement (such stockholders meeting,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and such proxy statement/prospectus, and any amendments or supplements thereto,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the registration statement on Form S-4 (and any amendment or supplement thereto) pursuant to which shares of Parent Common Stock issuable in the Merger shall be registered with the SEC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with the Proxy Statement/Prospectus constituting a part thereof), and shall file the Proxy Statement/Prospectus 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 the Parent Share Issuance and the other transactions contemplated hereby. The Proxy Statement/Prospectus shall include (i) the Company Board Recommendation and (ii) the recommendation of the Company Board to the holders of Company 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spacing w:after="0" w:line="200"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make all necessary filings with respect to the Merger,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right of approval shall not apply with respect to documents filed by a party which are incorporated by reference in the Proxy Statement/Prospectus or the Registration Statement.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1952"/>
        <w:spacing w:after="0" w:line="252" w:lineRule="auto"/>
        <w:tabs>
          <w:tab w:leader="none" w:pos="218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the DGCL, the Company Charter, and the Company Bylaws to establish a record date for, duly call, give notice of, convene and hold the Company Stockholders Meeting as promptly as reasonably practicable after the Registration Statement has become effective (and in any event within thirty-five (35) calendar days after such declaration) for the purpose of obtaining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to the extent required by the terms and conditions of this Agreement, the Company has paid or caused to be paid to Parent the Company Termination Fee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its obligation to hold the Company Stockholders Meeting pursuant to this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 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w:t>
      </w:r>
    </w:p>
    <w:p>
      <w:pPr>
        <w:spacing w:after="0" w:line="3"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agreed to in writing by Parent, (x) any such adjournment or postponement shall be for a period of no more than ten (10) days and (y) the Company shall only be permitted to effect one (1) such adjournment or postponement pursuant to clause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no postponement contemplated by clause (B) 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952"/>
        <w:spacing w:after="0" w:line="254" w:lineRule="auto"/>
        <w:tabs>
          <w:tab w:leader="none" w:pos="21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hereof, the Company and Parent shall reasonably cooperate to (i) seek to determine whether the transactions set forth herein will require the filing of a prospectus under the Israeli Securities Laws, including by seeking to obtain a no-action letter from the ISA pursuant to which the transactions set forth herein will not require the filing of a prospectus under the Israeli Securities Law, or such other actions as the parties may reasonably determine are appropriate in connection with determining the applicability of any requirements relating to the filing of a prospectus under the Israeli Securities Laws in connection with the transactions contemplated by this Agreement and</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3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actions as are reasonably required to comply with the applicable requirements of Israeli Securities Laws to effect the transactions contemplated hereby.</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3" w:lineRule="auto"/>
        <w:tabs>
          <w:tab w:leader="none" w:pos="21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to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Company Subsidiary to: (i) 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 w:cs="Times New Roman" w:eastAsia="Times New Roman" w:hAnsi="Times New Roman"/>
          <w:sz w:val="18"/>
          <w:szCs w:val="18"/>
          <w:u w:val="single" w:color="auto"/>
          <w:color w:val="auto"/>
        </w:rPr>
        <w:t>Sections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(or to cause any Company Subsidiary to) afford such access or furnish such information to the extent that doing so would reasonably be expected to: (A) violate attorney-client or other legal privilege, (B)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spacing w:after="0" w:line="18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dated December 18, 2025, by and between Parent and the Company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Clean Team Agreement, dated March 19, 2026, by and between Parent and the Company (the “</w:t>
      </w:r>
      <w:r>
        <w:rPr>
          <w:rFonts w:ascii="Times New Roman" w:cs="Times New Roman" w:eastAsia="Times New Roman" w:hAnsi="Times New Roman"/>
          <w:sz w:val="18"/>
          <w:szCs w:val="18"/>
          <w:u w:val="single" w:color="auto"/>
          <w:color w:val="auto"/>
        </w:rPr>
        <w:t>Clean Team Agreement</w:t>
      </w:r>
      <w:r>
        <w:rPr>
          <w:rFonts w:ascii="Times New Roman" w:cs="Times New Roman" w:eastAsia="Times New Roman" w:hAnsi="Times New Roman"/>
          <w:sz w:val="18"/>
          <w:szCs w:val="18"/>
          <w:color w:val="auto"/>
        </w:rPr>
        <w:t xml:space="preserve">”) shall each apply with respect to information furnished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shall each survive any termination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130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Company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1" w:lineRule="auto"/>
        <w:tabs>
          <w:tab w:leader="none" w:pos="22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from and after the date hereof until the Effective Time or, if earlier,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 (ii) 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(2nd) Business Day prior to the Company Stockholders Meeting); (vi) fail to include the Company Board Recommendation in the Proxy Statement/Prospectus; (vii)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(viii) grant a waiver of or terminate any “standstill” or similar obligation of any third party with respect to the Company or any of its Subsidiaries to allow such third party to submit a Company Acquisition Proposal; (ix) call or convene a meeting of the stockholders of the Company to consider a proposal that would reasonably be expected to materially impair, prevent or delay the consummation of the Merger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 w:cs="Times New Roman" w:eastAsia="Times New Roman" w:hAnsi="Times New Roman"/>
          <w:sz w:val="18"/>
          <w:szCs w:val="18"/>
          <w:u w:val="single" w:color="auto"/>
          <w:color w:val="auto"/>
        </w:rPr>
        <w:t>Change of Company Board Recommendation</w:t>
      </w:r>
      <w:r>
        <w:rPr>
          <w:rFonts w:ascii="Times New Roman" w:cs="Times New Roman" w:eastAsia="Times New Roman" w:hAnsi="Times New Roman"/>
          <w:sz w:val="18"/>
          <w:szCs w:val="18"/>
          <w:color w:val="auto"/>
        </w:rPr>
        <w:t>”). The Company shall, and shall cause the Company Subsidiaries and Company Representatives to, immediately cease and cause to be terminated any activities, discussions or negotiations existing as of the date hereof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952"/>
        <w:spacing w:after="0" w:line="261" w:lineRule="auto"/>
        <w:tabs>
          <w:tab w:leader="none" w:pos="221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if at any time following the date hereof and prior to obtaining the Required Company Vote (i) the Company has received a bona fide unsolicited written Company Acquisition Proposal from a third party,</w:t>
      </w:r>
    </w:p>
    <w:p>
      <w:pPr>
        <w:jc w:val="both"/>
        <w:ind w:firstLine="8"/>
        <w:spacing w:after="0" w:line="251" w:lineRule="auto"/>
        <w:tabs>
          <w:tab w:leader="none" w:pos="2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breached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such Company Acquisition Proposal, and (iii) 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 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spacing w:after="0" w:line="19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0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following the date hereof,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Such notice provided by the Company to Parent pursuant to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this Agreement until the earlier to occur of the termination of this Agreement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the Effective Time, the Company shall (i) keep Parent and Merger Sub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952"/>
        <w:spacing w:after="0" w:line="253" w:lineRule="auto"/>
        <w:tabs>
          <w:tab w:leader="none" w:pos="219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following the date hereof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entitled to effect a Change of Company Board Recommendation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unless,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w:t>
      </w:r>
    </w:p>
    <w:p>
      <w:pPr>
        <w:spacing w:after="0" w:line="206"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to Parent at least five (5) Business Days’ prior written notice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of the Company’s intention to take such action, which notice shall include, (A) with respect to a Company Acquisition Proposal, the material terms and conditions of such 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5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 (A) 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6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would be inconsistent with its fiduciary duties under applicable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with respect to such new written notice, except that the Company Notice Period shall be three (3) Business Days with respect to any such revised Company Superior Proposal, but no such new written notice shall shorten the original Company Notice Period.</w:t>
      </w:r>
    </w:p>
    <w:p>
      <w:pPr>
        <w:spacing w:after="0" w:line="183" w:lineRule="exact"/>
        <w:rPr>
          <w:sz w:val="20"/>
          <w:szCs w:val="20"/>
          <w:color w:val="auto"/>
        </w:rPr>
      </w:pPr>
    </w:p>
    <w:p>
      <w:pPr>
        <w:jc w:val="both"/>
        <w:ind w:right="20" w:firstLine="1952"/>
        <w:spacing w:after="0" w:line="261" w:lineRule="auto"/>
        <w:tabs>
          <w:tab w:leader="none" w:pos="218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 Change of Company Board Recommendation or any other provision of this Agreement to the contrary, unless this Agreement has been validly terminated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shall cause the transactions contemplated by this Agreement, including the Merger, to be submitted to a vote of the stockholders of the Company at the Company Stockholders Meeting in order to obtain the Required Company Vote.</w:t>
      </w:r>
    </w:p>
    <w:p>
      <w:pPr>
        <w:spacing w:after="0" w:line="179"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prohibit the Company Board (or any duly authorized committee thereof) from</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to the stockholders of the Company a position contemplated by Rule 14e-2(a) or Rule 14d-9 promulgated under the Exchange Act;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spacing w:after="0" w:line="185" w:lineRule="exact"/>
        <w:rPr>
          <w:rFonts w:ascii="Times New Roman" w:cs="Times New Roman" w:eastAsia="Times New Roman" w:hAnsi="Times New Roman"/>
          <w:sz w:val="18"/>
          <w:szCs w:val="18"/>
          <w:color w:val="auto"/>
        </w:rPr>
      </w:pPr>
    </w:p>
    <w:p>
      <w:pPr>
        <w:ind w:right="20" w:firstLine="1952"/>
        <w:spacing w:after="0" w:line="282" w:lineRule="auto"/>
        <w:tabs>
          <w:tab w:leader="none" w:pos="221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of the restrictions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any Company Subsidiary or Company Representative, as applicable, shall be deemed to be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the Company.</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it shall promptly inform the Company Representatives of the obligations undertaken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2" w:lineRule="auto"/>
        <w:tabs>
          <w:tab w:leader="none" w:pos="220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 (iv) cause the satisfaction of all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 required under any Regulatory Laws), with respect to this Agreement and the Merger required under any Regulatory Laws and any other applicable Law. The Company and Parent shall cooperate with each other in connection with (x) preparing and filing the Proxy Statement/Prospectus and Registration Statement and any Other Filings,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determining whether any action by or in respect of, or filing with, any Governmental Entity is required, in connection with the consummation of the Merger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and the Company shall promptly and diligently (and, in any event, within five (5) calendar days following the date hereof) use reasonable best efforts to provide to Parent all information available to the Company or in the Company’s possession as requested by Parent and required to determine a final list of jurisdictions for the purposes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Company Disclosure Schedule. The Company shall not consent to any voluntary extension of the Outside Date or otherwise delay the Closing at the behest of any Governmental Entity without the consent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 (B) 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 (including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consider in good faith the views and comments of the Company and its outside counsel with respect to such communications and strategies.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952"/>
        <w:spacing w:after="0" w:line="254" w:lineRule="auto"/>
        <w:tabs>
          <w:tab w:leader="none" w:pos="219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Effective Time from the failure to obtain such consent.</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anything contained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each party shall: (i) give the other parties prompt notice of the making or commencement of any request, inquiry, investigation or Proceeding by or before any Governmental Entity with respect to the Merger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spacing w:after="0" w:line="19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 or any of the other transactions contemplated by this Agreement or (ii) otherwise prevent or materially delay the consummation of the Merger or any of the other transactions contemplated by this Agreement.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any party, directly or indirectly, the right to control or direct the operations of any other party prior to the consummation of the Merger. Prior to the Effective Time, the Company and Parent shall exercise, consistent with the terms and conditions of this Agreement, complete unilateral control and supervision over their respective business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Certain Notices</w:t>
      </w:r>
      <w:r>
        <w:rPr>
          <w:rFonts w:ascii="Times New Roman" w:cs="Times New Roman" w:eastAsia="Times New Roman" w:hAnsi="Times New Roman"/>
          <w:sz w:val="18"/>
          <w:szCs w:val="18"/>
          <w:color w:val="auto"/>
        </w:rPr>
        <w:t xml:space="preserve">. From and after the date hereof until the earlier of the Effective Time or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unless prohibited by applicable Law, each party shall promptly notify the other party of any material Effect that would reasonably be expected to cause any condition to the obligations of any party to effect the Merger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 not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cure any breach of any representation, warranty, covenant or agreement contained in this Agreement or otherwise limit or affect the remedies available hereunder to the party receiving such notice). Any such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w:cs="Times New Roman" w:eastAsia="Times New Roman" w:hAnsi="Times New Roman"/>
          <w:sz w:val="18"/>
          <w:szCs w:val="18"/>
          <w:u w:val="single" w:color="auto"/>
          <w:color w:val="auto"/>
        </w:rPr>
        <w:t>Company Transaction Litigation</w:t>
      </w:r>
      <w:r>
        <w:rPr>
          <w:rFonts w:ascii="Times New Roman" w:cs="Times New Roman" w:eastAsia="Times New Roman" w:hAnsi="Times New Roman"/>
          <w:sz w:val="18"/>
          <w:szCs w:val="18"/>
          <w:color w:val="auto"/>
        </w:rPr>
        <w:t xml:space="preserve">”), including the Merger,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“participate” means that Parent will be kept apprised of proposed strategy and other significant decisions with respect to any such Company Transaction 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 (b) 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130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 (B) 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(taking into account such employee’s years of service as required pursuant to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(including purposes of vesting, eligibility to participate and level of benefits) under the employee benefit plans of Parent and its Subsidiaries providing benefits to any Continuing Employees after the Effective Time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each Continuing Employee shall, subject to applicable law and applicable tax qualification requirements, be credited with his or her years of service with the Company and its Subsidiaries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(i) to the extent that its application would result in a duplication of benefits, (ii) for purposes of any equity-based incentive plan, long-term incentive plan, pension plan, retiree welfare plan, or (iii) to any benefit plan that is a frozen plan or provides grandfathered benefits. In addition, and without limiting the generality of the foregoing, (i)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Effective Time (such plans, collectively,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spacing w:after="0" w:line="190"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 w:cs="Times New Roman" w:eastAsia="Times New Roman" w:hAnsi="Times New Roman"/>
          <w:sz w:val="18"/>
          <w:szCs w:val="18"/>
          <w:u w:val="single" w:color="auto"/>
          <w:color w:val="auto"/>
        </w:rPr>
        <w:t>Company 401(k) Plans</w:t>
      </w:r>
      <w:r>
        <w:rPr>
          <w:rFonts w:ascii="Times New Roman" w:cs="Times New Roman" w:eastAsia="Times New Roman" w:hAnsi="Times New Roman"/>
          <w:sz w:val="18"/>
          <w:szCs w:val="18"/>
          <w:color w:val="auto"/>
        </w:rPr>
        <w:t xml:space="preserve">”), in each case, effective as of the day immediately prior to the Closing Date, and (ii) each Company Benefit Plan that is a “nonqualified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(each such terminated Company 401(k) Plan, a “</w:t>
      </w:r>
      <w:r>
        <w:rPr>
          <w:rFonts w:ascii="Times New Roman" w:cs="Times New Roman" w:eastAsia="Times New Roman" w:hAnsi="Times New Roman"/>
          <w:sz w:val="18"/>
          <w:szCs w:val="18"/>
          <w:u w:val="single" w:color="auto"/>
          <w:color w:val="auto"/>
        </w:rPr>
        <w:t>Terminated Company 401(k) Plan</w:t>
      </w:r>
      <w:r>
        <w:rPr>
          <w:rFonts w:ascii="Times New Roman" w:cs="Times New Roman" w:eastAsia="Times New Roman" w:hAnsi="Times New Roman"/>
          <w:sz w:val="18"/>
          <w:szCs w:val="18"/>
          <w:color w:val="auto"/>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402(c)(4) of the Code) from current and former employees of the Company and the Company Subsidiaries with respect to such individuals’ account balances (excluding loans) under such Terminated Company 401(k) Plan, if elected by any such individuals.</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 (ii) 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solely for the benefit of the parties, and no Continuing Employee (including any beneficiary or dependent thereof) shall be regarded for any purpose as a third party beneficiary of this Agreement, and no provision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create such rights in any such persons.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7" w:lineRule="auto"/>
        <w:tabs>
          <w:tab w:leader="none" w:pos="223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beginning at the Effective Time and ending six years after the Effective Time, the Surviving Corporation shall, and Parent shall cause the Surviving Corporation to, indemnify and hold harmless all past and present directors and officers of the Company or any Company Subsidiary (the “</w:t>
      </w:r>
      <w:r>
        <w:rPr>
          <w:rFonts w:ascii="Times New Roman" w:cs="Times New Roman" w:eastAsia="Times New Roman" w:hAnsi="Times New Roman"/>
          <w:sz w:val="17"/>
          <w:szCs w:val="17"/>
          <w:u w:val="single" w:color="auto"/>
          <w:color w:val="auto"/>
        </w:rPr>
        <w:t>Covered Persons</w:t>
      </w:r>
      <w:r>
        <w:rPr>
          <w:rFonts w:ascii="Times New Roman" w:cs="Times New Roman" w:eastAsia="Times New Roman" w:hAnsi="Times New Roman"/>
          <w:sz w:val="17"/>
          <w:szCs w:val="17"/>
          <w:color w:val="auto"/>
        </w:rPr>
        <w:t xml:space="preserve">”), subject to applicable Law, to the same extent such Covered Persons are indemnified as of the date hereof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hereof), if any, in existence on the date hereof with any directors or officers of the Company or any Company Subsidiary for any Proceedings arising out of acts or omissions in their capacity as directors or officers of the Company or any Company Subsidiary, as applicable, occurring at or prior to the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 w:cs="Times New Roman" w:eastAsia="Times New Roman" w:hAnsi="Times New Roman"/>
          <w:sz w:val="17"/>
          <w:szCs w:val="17"/>
          <w:u w:val="single" w:color="auto"/>
          <w:color w:val="auto"/>
        </w:rPr>
        <w:t>Section 6.9(a)</w:t>
      </w:r>
      <w:r>
        <w:rPr>
          <w:rFonts w:ascii="Times New Roman" w:cs="Times New Roman" w:eastAsia="Times New Roman" w:hAnsi="Times New Roman"/>
          <w:sz w:val="17"/>
          <w:szCs w:val="17"/>
          <w:color w:val="auto"/>
        </w:rPr>
        <w:t xml:space="preserve"> 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hereof), if any, in existence on the date hereof with any directors and officers of the Company or any Company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 w:cs="Times New Roman" w:eastAsia="Times New Roman" w:hAnsi="Times New Roman"/>
          <w:sz w:val="17"/>
          <w:szCs w:val="17"/>
          <w:u w:val="single" w:color="auto"/>
          <w:color w:val="auto"/>
        </w:rPr>
        <w:t>Section 6.9(a)</w:t>
      </w:r>
      <w:r>
        <w:rPr>
          <w:rFonts w:ascii="Times New Roman" w:cs="Times New Roman" w:eastAsia="Times New Roman" w:hAnsi="Times New Roman"/>
          <w:sz w:val="17"/>
          <w:szCs w:val="17"/>
          <w:color w:val="auto"/>
        </w:rPr>
        <w:t xml:space="preserve">. Notwithstanding anything herein to the contrary, if any Proceeding (whether arising before, at or after the Effective Time) is made against such persons with respect to matters subject to indemnification hereunder on or prior to the sixth anniversary of the Effective Time, the provisions of this </w:t>
      </w:r>
      <w:r>
        <w:rPr>
          <w:rFonts w:ascii="Times New Roman" w:cs="Times New Roman" w:eastAsia="Times New Roman" w:hAnsi="Times New Roman"/>
          <w:sz w:val="17"/>
          <w:szCs w:val="17"/>
          <w:u w:val="single" w:color="auto"/>
          <w:color w:val="auto"/>
        </w:rPr>
        <w:t>Section 6.9(a)</w:t>
      </w:r>
      <w:r>
        <w:rPr>
          <w:rFonts w:ascii="Times New Roman" w:cs="Times New Roman" w:eastAsia="Times New Roman" w:hAnsi="Times New Roman"/>
          <w:sz w:val="17"/>
          <w:szCs w:val="17"/>
          <w:color w:val="auto"/>
        </w:rPr>
        <w:t xml:space="preserve"> shall continue in effect until the final disposition of such Proceeding.</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jc w:val="both"/>
        <w:ind w:firstLine="1952"/>
        <w:spacing w:after="0" w:line="253" w:lineRule="auto"/>
        <w:tabs>
          <w:tab w:leader="none" w:pos="22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Effective Time, the organizational documents of the Surviving Corporation shall contain provisions no less favorable with respect to exculpation, indemnification of and advancement of expenses to Covered Persons for periods at or prior to the Effective Time than are currently set forth with respect to any Covered Person, in the Company Charter, the Company Bylaws, the certificate of incorporation and bylaws, or equivalent organizational documents, of any Company Subsidiary in existence on the date hereof. For not less than six years from the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unless such assumption occurs by operation of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952"/>
        <w:spacing w:after="0" w:line="253" w:lineRule="auto"/>
        <w:tabs>
          <w:tab w:leader="none" w:pos="227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Effective Time, Parent shall cause the Surviving Corporation to, and the Surviving Corporation shall, maintain in effect, the Company’s current directors’ and officers’ liability insurance policies covering acts or omissions occurring (or alleged to occur) prior to or at the Effective Time with respect to Covered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Surviving Corporation be required to expend pursuant to this </w:t>
      </w:r>
      <w:r>
        <w:rPr>
          <w:rFonts w:ascii="Times New Roman" w:cs="Times New Roman" w:eastAsia="Times New Roman" w:hAnsi="Times New Roman"/>
          <w:sz w:val="18"/>
          <w:szCs w:val="18"/>
          <w:u w:val="single" w:color="auto"/>
          <w:color w:val="auto"/>
        </w:rPr>
        <w:t>Section 6.9(c)</w:t>
      </w:r>
      <w:r>
        <w:rPr>
          <w:rFonts w:ascii="Times New Roman" w:cs="Times New Roman" w:eastAsia="Times New Roman" w:hAnsi="Times New Roman"/>
          <w:sz w:val="18"/>
          <w:szCs w:val="18"/>
          <w:color w:val="auto"/>
        </w:rPr>
        <w:t xml:space="preserve"> 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Effective Time, and/or the Surviving Corporation may purchase following the Effective Time, a six-year “tail” prepaid officers’ and directors’ liability insurance policy in respect of acts or omissions occurring prior to the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spacing w:after="0" w:line="18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Effective Time, the obligations under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Listing Matters</w:t>
      </w:r>
      <w:r>
        <w:rPr>
          <w:rFonts w:ascii="Times New Roman" w:cs="Times New Roman" w:eastAsia="Times New Roman" w:hAnsi="Times New Roman"/>
          <w:sz w:val="18"/>
          <w:szCs w:val="18"/>
          <w:color w:val="auto"/>
        </w:rPr>
        <w:t xml:space="preserve">. The Company and Parent shall cause the Company’s securities to be de-listed from the Nasdaq and the TASE and de-registered under the Exchange Act as promptly as practicable following the Effective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delisting and termination shall not be effective until immediately after the Effective Time. Parent shall, and the Company shall cooperate with Parent to, use its reasonable best efforts to cause the shares of Parent Common Stock to be issued in connection with the Merger (including shares of Parent Common Stock to be reserved for issuance upon exercise of Assumed Options) to be approved for listing on the Nasdaq, subject to official notice of issuance, prior to the Effective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becomes or is deemed to be applicable to the Company, the Merger or any other transaction contemplated by this Agreement, then the Company and the Company Board shall take all action reasonably available to it to render such Law inapplicable to the foregoing.</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The Company acknowledges and agrees that it shall not (a) 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 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Effective Time. Prior to the Closing, the Company shall provide Parent with evidence, reasonably satisfactory to Parent, demonstrating the Company’s compliance with the covenant set forth in the preceding sentence.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Cooperation as to 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24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(subject to the limitations contained therein), in connection with planning for the integration of the business operations, systems, processes and personnel of Parent and the Company (collectively, “</w:t>
      </w:r>
      <w:r>
        <w:rPr>
          <w:rFonts w:ascii="Times New Roman" w:cs="Times New Roman" w:eastAsia="Times New Roman" w:hAnsi="Times New Roman"/>
          <w:sz w:val="18"/>
          <w:szCs w:val="18"/>
          <w:u w:val="single" w:color="auto"/>
          <w:color w:val="auto"/>
        </w:rPr>
        <w:t>Integration Planning Activities</w:t>
      </w:r>
      <w:r>
        <w:rPr>
          <w:rFonts w:ascii="Times New Roman" w:cs="Times New Roman" w:eastAsia="Times New Roman" w:hAnsi="Times New Roman"/>
          <w:sz w:val="18"/>
          <w:szCs w:val="18"/>
          <w:color w:val="auto"/>
        </w:rPr>
        <w:t xml:space="preserve">”), in each case,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Integration Planning Activities contemplated by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 xml:space="preserve">, and subject to the proviso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xml:space="preserve"> 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952"/>
        <w:spacing w:after="0" w:line="255" w:lineRule="auto"/>
        <w:tabs>
          <w:tab w:leader="none" w:pos="2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Section 6.14(c) unless the Company or such Company Subsidiary shall have received Parent’s prior written consent to engage such third party service provider prior to the commencement of any such services.</w:t>
      </w:r>
    </w:p>
    <w:p>
      <w:pPr>
        <w:spacing w:after="0" w:line="188" w:lineRule="exact"/>
        <w:rPr>
          <w:rFonts w:ascii="Times New Roman" w:cs="Times New Roman" w:eastAsia="Times New Roman" w:hAnsi="Times New Roman"/>
          <w:sz w:val="18"/>
          <w:szCs w:val="18"/>
          <w:color w:val="auto"/>
        </w:rPr>
      </w:pPr>
    </w:p>
    <w:p>
      <w:pPr>
        <w:jc w:val="both"/>
        <w:ind w:right="20" w:firstLine="1952"/>
        <w:spacing w:after="0" w:line="261" w:lineRule="auto"/>
        <w:tabs>
          <w:tab w:leader="none" w:pos="228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Effective Time (other than planning activities in anticipation thereof). Nothing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shall be construed to permit Parent to, directly or indirectly, control or direct the operations of the Company or any Company Subsidiary prior to the Effective Time.</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Repayment of 2026 Notes; Note Restructuring Transactions</w:t>
      </w:r>
      <w:r>
        <w:rPr>
          <w:rFonts w:ascii="Times New Roman" w:cs="Times New Roman" w:eastAsia="Times New Roman" w:hAnsi="Times New Roman"/>
          <w:sz w:val="18"/>
          <w:szCs w:val="18"/>
          <w:color w:val="auto"/>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The Company shall use its reasonable best efforts to cause to be delivered to Parent resignations, in form and substance reasonably acceptable to Parent, executed by each director of the Company in office as of immediately prior to the Effective Time and effective upon the Effective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Merger shall be subject to the satisfaction (or waiver, if permissible under Law) at or prior to the Effective Time of each of the following conditions:</w:t>
      </w:r>
    </w:p>
    <w:p>
      <w:pPr>
        <w:spacing w:after="0" w:line="162" w:lineRule="exact"/>
        <w:rPr>
          <w:sz w:val="20"/>
          <w:szCs w:val="20"/>
          <w:color w:val="auto"/>
        </w:rPr>
      </w:pPr>
    </w:p>
    <w:p>
      <w:pPr>
        <w:ind w:right="20" w:firstLine="1952"/>
        <w:spacing w:after="0" w:line="282" w:lineRule="auto"/>
        <w:tabs>
          <w:tab w:leader="none" w:pos="23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shall have obtained the Required Company Vote at the Company Stockholders Meeting (as such meeting may have been adjourned or postponed in accordance with this Agreement);</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7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(i) Law or Order shall have been issued, entered, promulgated or enacted that restrains, enjoins, or otherwise prohibits or makes illegal the consummation of the Merger or (ii) injunction, Order or award restraining or enjoining, or otherwise prohibiting, the consummation of the Merger shall have been issued by any Governmental Entity having jurisdiction over any party and remain in force (each, a “</w:t>
      </w: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Law</w:t>
      </w:r>
      <w:r>
        <w:rPr>
          <w:rFonts w:ascii="Times New Roman" w:cs="Times New Roman" w:eastAsia="Times New Roman" w:hAnsi="Times New Roman"/>
          <w:sz w:val="18"/>
          <w:szCs w:val="18"/>
          <w:color w:val="auto"/>
        </w:rPr>
        <w:t xml:space="preserve">: Any required consents, authorizations, approvals, orders, filings and declarations required to be obtained prior to the consummation of the Merger pursuant to a Regulatory Law in any jurisdiction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Company Disclosure Schedule shall have been filed, occurred or been obtained (or any applicable waiting period thereunder shall have expired or been terminated), as applicable;</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2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shares of Parent Common Stock to be issued in the Merger shall have been authorized and approved for listing on the Nasdaq, subject to official notice of issuance;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 effective by the SEC under the Securities Act and shall not be the subject of any stop order.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Obligations of Parent and Merger Sub</w:t>
      </w:r>
      <w:r>
        <w:rPr>
          <w:rFonts w:ascii="Times New Roman" w:cs="Times New Roman" w:eastAsia="Times New Roman" w:hAnsi="Times New Roman"/>
          <w:sz w:val="18"/>
          <w:szCs w:val="18"/>
          <w:color w:val="auto"/>
        </w:rPr>
        <w:t>. The respective obligations of each Parent Party to consummate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shall be subject to the satisfaction (or waiver, if permissible under Law) at or prior to the Effective Time of each of the following conditions:</w:t>
      </w:r>
    </w:p>
    <w:p>
      <w:pPr>
        <w:spacing w:after="0" w:line="207" w:lineRule="exact"/>
        <w:rPr>
          <w:sz w:val="20"/>
          <w:szCs w:val="20"/>
          <w:color w:val="auto"/>
        </w:rPr>
      </w:pPr>
    </w:p>
    <w:p>
      <w:pPr>
        <w:jc w:val="both"/>
        <w:ind w:firstLine="1952"/>
        <w:spacing w:after="0" w:line="252" w:lineRule="auto"/>
        <w:tabs>
          <w:tab w:leader="none" w:pos="228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(i) The representations and warranties of the Company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force and effect as if made on and as of such date (or, in the case of such representations and warranties that address matters only as of a particular date or time, as of such date or time),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 the representations and warranties of the Company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Company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(iii) the representations and warranties of the Company contained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right="20" w:firstLine="1952"/>
        <w:spacing w:after="0" w:line="282" w:lineRule="auto"/>
        <w:tabs>
          <w:tab w:leader="none" w:pos="225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or complied in all material respects with all covenants and agreements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this Agreement, no Company Material Adverse Effect shall have occurred;</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9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shall have delivered to Parent a certificate, dated as of the Closing Date and signed by an executive officer of the Company, certifying that the conditions provided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2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 The Notes Restructuring Transactions shall have been consummated in accordance with the Notes Restructuring Agreement.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Additional Conditions to Obligations of the Company</w:t>
      </w:r>
      <w:r>
        <w:rPr>
          <w:rFonts w:ascii="Times New Roman" w:cs="Times New Roman" w:eastAsia="Times New Roman" w:hAnsi="Times New Roman"/>
          <w:sz w:val="18"/>
          <w:szCs w:val="18"/>
          <w:color w:val="auto"/>
        </w:rPr>
        <w:t>. The obligations of the Company to consummate the Merger shall be subject to the satisfaction (or waiver, if permissible under Law) at or prior to the Effective Time of each of the following conditions:</w:t>
      </w:r>
    </w:p>
    <w:p>
      <w:pPr>
        <w:spacing w:after="0" w:line="162" w:lineRule="exact"/>
        <w:rPr>
          <w:sz w:val="20"/>
          <w:szCs w:val="20"/>
          <w:color w:val="auto"/>
        </w:rPr>
      </w:pPr>
    </w:p>
    <w:p>
      <w:pPr>
        <w:jc w:val="both"/>
        <w:ind w:firstLine="1952"/>
        <w:spacing w:after="0" w:line="253" w:lineRule="auto"/>
        <w:tabs>
          <w:tab w:leader="none" w:pos="224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Parent Parties</w:t>
      </w:r>
      <w:r>
        <w:rPr>
          <w:rFonts w:ascii="Times New Roman" w:cs="Times New Roman" w:eastAsia="Times New Roman" w:hAnsi="Times New Roman"/>
          <w:sz w:val="18"/>
          <w:szCs w:val="18"/>
          <w:color w:val="auto"/>
        </w:rPr>
        <w:t xml:space="preserve">: (i) Any representation or warranty of the Parent Parties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for those representations and warranties set forth in the foregoing clause (i)) shall be true and correct in all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firstLine="1952"/>
        <w:spacing w:after="0" w:line="282" w:lineRule="auto"/>
        <w:tabs>
          <w:tab w:leader="none" w:pos="229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Parent Parties</w:t>
      </w:r>
      <w:r>
        <w:rPr>
          <w:rFonts w:ascii="Times New Roman" w:cs="Times New Roman" w:eastAsia="Times New Roman" w:hAnsi="Times New Roman"/>
          <w:sz w:val="18"/>
          <w:szCs w:val="18"/>
          <w:color w:val="auto"/>
        </w:rPr>
        <w:t>: The Parent Parties shall have performed or complied in all material respects with all covenants and agreements to be performed or complied with by them under this Agreement at or prior to the Closing;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Parent shall have delivered to the Company a certificate, dated as of the Closing Date and signed by an executive officer of Parent, certifying that the conditions provided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prior to the Effective Time, and the Merger and the other transactions contemplated hereby may be abandoned:</w:t>
      </w:r>
    </w:p>
    <w:p>
      <w:pPr>
        <w:spacing w:after="0" w:line="162" w:lineRule="exact"/>
        <w:rPr>
          <w:sz w:val="20"/>
          <w:szCs w:val="20"/>
          <w:color w:val="auto"/>
        </w:rPr>
      </w:pPr>
    </w:p>
    <w:p>
      <w:pPr>
        <w:ind w:left="2240" w:hanging="288"/>
        <w:spacing w:after="0"/>
        <w:tabs>
          <w:tab w:leader="none" w:pos="2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Consent</w:t>
      </w:r>
      <w:r>
        <w:rPr>
          <w:rFonts w:ascii="Times New Roman" w:cs="Times New Roman" w:eastAsia="Times New Roman" w:hAnsi="Times New Roman"/>
          <w:sz w:val="18"/>
          <w:szCs w:val="18"/>
          <w:color w:val="auto"/>
        </w:rPr>
        <w:t>: By mutual written consent of Parent and the Company;</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By either the Company or Parent if the Effective Time shall not have occurred on or before October 21, 2026 (the “</w:t>
      </w:r>
      <w:r>
        <w:rPr>
          <w:rFonts w:ascii="Times New Roman" w:cs="Times New Roman" w:eastAsia="Times New Roman" w:hAnsi="Times New Roman"/>
          <w:sz w:val="18"/>
          <w:szCs w:val="18"/>
          <w:u w:val="single" w:color="auto"/>
          <w:color w:val="auto"/>
        </w:rPr>
        <w:t>Initial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Initial Outside Date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(to the extent related to the Regulatory Laws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be satisfied, but all other conditions to the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either have been satisfied (other than conditions that by their nature can only be satisfied on the Closing Date) or waived by Parent, Merger Sub or the Company, as applicable, then the Outside Date shall automatically be extended to December 5, 2026 (the “</w:t>
      </w:r>
      <w:r>
        <w:rPr>
          <w:rFonts w:ascii="Times New Roman" w:cs="Times New Roman" w:eastAsia="Times New Roman" w:hAnsi="Times New Roman"/>
          <w:sz w:val="18"/>
          <w:szCs w:val="18"/>
          <w:u w:val="single" w:color="auto"/>
          <w:color w:val="auto"/>
        </w:rPr>
        <w:t>Extended Outside Date</w:t>
      </w:r>
      <w:r>
        <w:rPr>
          <w:rFonts w:ascii="Times New Roman" w:cs="Times New Roman" w:eastAsia="Times New Roman" w:hAnsi="Times New Roman"/>
          <w:sz w:val="18"/>
          <w:szCs w:val="18"/>
          <w:color w:val="auto"/>
        </w:rPr>
        <w:t>” and together with the Initial Outside Date,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unless Parent and the Company mutually agree in writing to an earlier Extended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material breach of any of its obligation under this Agreement is the primary cause of, or resulted in, the failure of the Effective Time to occur on or before the Initial Outside Date or the Extended Outside Date, as the case may be;</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3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 xml:space="preserve">: By either the Company or Parent, if any Legal Impediment permanently restraining, enjoining or otherwise prohibiting or making illegal the Merger (or otherwise prohibiting the consummation of the Merger) shall have become final and non-appealable such that the condition specified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would not be satisfied at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material breach of any of its obligations under this Agreement is the primary cause of, or resulted in, the issuance of such Legal Impediment;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Company Vote</w:t>
      </w:r>
      <w:r>
        <w:rPr>
          <w:rFonts w:ascii="Times New Roman" w:cs="Times New Roman" w:eastAsia="Times New Roman" w:hAnsi="Times New Roman"/>
          <w:sz w:val="18"/>
          <w:szCs w:val="18"/>
          <w:color w:val="auto"/>
        </w:rPr>
        <w:t>: By either the Company or Parent, if the Required Company Vote shall not have been obtained upon a vote taken thereon at the Company Stockholders Meeting (as such meeting may have been adjourned or postponed in accordance with this Agreement);</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3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Company Board Recommendation</w:t>
      </w:r>
      <w:r>
        <w:rPr>
          <w:rFonts w:ascii="Times New Roman" w:cs="Times New Roman" w:eastAsia="Times New Roman" w:hAnsi="Times New Roman"/>
          <w:sz w:val="18"/>
          <w:szCs w:val="18"/>
          <w:color w:val="auto"/>
        </w:rPr>
        <w:t xml:space="preserve">: By Parent, if (i) the Company Board shall have effected a Change of Company Board Recommendation or (ii) the Company shall have materially breached its obligations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1952"/>
        <w:spacing w:after="0" w:line="261" w:lineRule="auto"/>
        <w:tabs>
          <w:tab w:leader="none" w:pos="222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(ii) substantially concurrently with or prior to (and as a condition to) the termination of this Agreement, the Company pays to Parent the Company Termination Fee;</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5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Breach</w:t>
      </w:r>
      <w:r>
        <w:rPr>
          <w:rFonts w:ascii="Times New Roman" w:cs="Times New Roman" w:eastAsia="Times New Roman" w:hAnsi="Times New Roman"/>
          <w:sz w:val="18"/>
          <w:szCs w:val="18"/>
          <w:color w:val="auto"/>
        </w:rPr>
        <w:t xml:space="preserve">: By Parent, if: (i) there has been a breach by the Company of its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is not reasonably capable of being satisfied while such breach is continuing, (ii) Parent shall have delivered to the Company written notice of such breach and (iii)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by the earlier of (x) the Business Day prior to the applicable Outside Date or (y) thirty (30) days following the date of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if Parent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or</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1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Breach</w:t>
      </w:r>
      <w:r>
        <w:rPr>
          <w:rFonts w:ascii="Times New Roman" w:cs="Times New Roman" w:eastAsia="Times New Roman" w:hAnsi="Times New Roman"/>
          <w:sz w:val="18"/>
          <w:szCs w:val="18"/>
          <w:color w:val="auto"/>
        </w:rPr>
        <w:t xml:space="preserve">: By the Company, if: (i) there has been a breach by any Parent Party of any of their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by the earlier of (x) the Business Day prior to the applicable Outside Date or (y) or at least thirty (30) days following the date of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terminate this Agreement pursuant to this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if the Company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to be satisfied.</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xml:space="preserve">: By Parent, if the Notes Restructuring Agreement is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if such termination of the Notes Restructuring Agreement primarily results from Parent’s material breach of the provisions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valid termination of this Agreement by either the Company or Parent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 No termination of this Agreement shall affect the obligations of the parties contained in the Confidentiality Agreement or the Clean Team Agreement, all of which obligations shall survive the termination of this Agreement in accordance with their terms.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1" w:lineRule="auto"/>
        <w:tabs>
          <w:tab w:leader="none" w:pos="223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or by either the Company or Parent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8.1(d)</w:t>
      </w:r>
      <w:r>
        <w:rPr>
          <w:rFonts w:ascii="Times New Roman" w:cs="Times New Roman" w:eastAsia="Times New Roman" w:hAnsi="Times New Roman"/>
          <w:sz w:val="18"/>
          <w:szCs w:val="18"/>
          <w:color w:val="auto"/>
        </w:rPr>
        <w:t xml:space="preserve"> at a time when Parent would have been entitled to terminate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then the Company shall pay, or cause to be paid, to Parent on the second (2nd) Business Day following such termination a termination fee equal to (i) $5,000,000,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 amount equal to Parent’s documented Expenses incurred prior to (and including) the date of the termination of this Agreement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2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the Company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then the Company shall pay, or cause to be paid, to Parent the Company Termination Fee substantially concurrently with or prior to (and as a condition to) such termination.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3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(x) by the Company or Parent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and, at the time of such termination, all of the conditions to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(other than conditions that by their nature can only be satisfied on the Closing Date) or waived by Parent, Merger Sub or the Company, as applicable, other than the condition set forth in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such condition to be satisfied did not primarily result from Parent’s material breach of the provisions of the Notes Restructuring Agreement, or (y) by Parent pursuant to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then the Company shall pay, or cause to be paid, to Parent the Company Termination Fee, no later than the second (2nd) Business Day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Agreement to the contrary, solely for purposes of the Company’s obligation to pay or cause to be paid to Parent the Company Termination Fee pursuant to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Parent’s documented Expenses shall be deemed to equal the lesser of (A) Parent’s documented Expenses actually incurred and (B) the Parent Expense Cap.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952"/>
        <w:spacing w:after="0" w:line="252" w:lineRule="auto"/>
        <w:tabs>
          <w:tab w:leader="none" w:pos="22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the date of such termination (in the case of a termination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 w:cs="Times New Roman" w:eastAsia="Times New Roman" w:hAnsi="Times New Roman"/>
          <w:sz w:val="18"/>
          <w:szCs w:val="18"/>
          <w:u w:val="single" w:color="auto"/>
          <w:color w:val="auto"/>
        </w:rPr>
        <w:t>Section 8.3(d)(i)</w:t>
      </w:r>
      <w:r>
        <w:rPr>
          <w:rFonts w:ascii="Times New Roman" w:cs="Times New Roman" w:eastAsia="Times New Roman" w:hAnsi="Times New Roman"/>
          <w:sz w:val="18"/>
          <w:szCs w:val="18"/>
          <w:color w:val="auto"/>
        </w:rPr>
        <w:t xml:space="preserve"> 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term “Company Acquisition Proposal” shall have the meaning assigned to such term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except that the references to “15%” and “85%” therein shall be deemed to be references to “50%”.</w:t>
      </w:r>
    </w:p>
    <w:p>
      <w:pPr>
        <w:spacing w:after="0" w:line="189" w:lineRule="exact"/>
        <w:rPr>
          <w:rFonts w:ascii="Times New Roman" w:cs="Times New Roman" w:eastAsia="Times New Roman" w:hAnsi="Times New Roman"/>
          <w:sz w:val="18"/>
          <w:szCs w:val="18"/>
          <w:color w:val="auto"/>
        </w:rPr>
      </w:pPr>
    </w:p>
    <w:p>
      <w:pPr>
        <w:ind w:right="20" w:firstLine="1952"/>
        <w:spacing w:after="0" w:line="282" w:lineRule="auto"/>
        <w:tabs>
          <w:tab w:leader="none" w:pos="223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made by wire transfer of immediately available funds to an account designated in writing by Parent, or in the absence of such designation, an account established for the sole benefit of Parent.</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2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and agrees (i)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Merger Sub in the circumstances in which such Company Termination Fee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952"/>
        <w:spacing w:after="0" w:line="254" w:lineRule="auto"/>
        <w:tabs>
          <w:tab w:leader="none" w:pos="22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pay (or cause to be paid)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in each case when due, the Company shall pay to Parent, together with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(A) interest on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subject to the Company’s receipt of written notice from Parent setting forth, in reasonable detail, the amount of Parent’s Expenses to be so paid.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or covenants in this Agreement or in any instrument delivered pursuant to this Agreement shall survive the Effective Time except that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Effective Time, which shall survive to the extent expressly provided for herein.</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for (a) the expenses in connection with printing and mailing the Proxy Statement/Prospectus and Registration Statement and any Other Filings required in connection with the actions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(b) all SEC filing fees relating to the Merger and the transactions contemplated by this Agreement and (c) the fees in connection with the approvals required under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related to the Merger and the transactions contemplated by this Agreement (of which fees and expenses (A) set forth in clauses (a) and (b)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 are consummated.</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(a).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spacing w:after="0" w:line="187" w:lineRule="exact"/>
        <w:rPr>
          <w:sz w:val="20"/>
          <w:szCs w:val="20"/>
          <w:color w:val="auto"/>
        </w:rPr>
      </w:pPr>
    </w:p>
    <w:p>
      <w:pPr>
        <w:jc w:val="center"/>
        <w:ind w:right="5760"/>
        <w:spacing w:after="0"/>
        <w:rPr>
          <w:sz w:val="20"/>
          <w:szCs w:val="20"/>
          <w:color w:val="auto"/>
        </w:rPr>
      </w:pPr>
      <w:r>
        <w:rPr>
          <w:rFonts w:ascii="Times New Roman" w:cs="Times New Roman" w:eastAsia="Times New Roman" w:hAnsi="Times New Roman"/>
          <w:sz w:val="18"/>
          <w:szCs w:val="18"/>
          <w:color w:val="auto"/>
        </w:rPr>
        <w:t>If to any Parent Party, addressed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Keyvan Mohajer</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Warren Heit</w:t>
      </w:r>
    </w:p>
    <w:p>
      <w:pPr>
        <w:spacing w:after="0" w:line="9" w:lineRule="exact"/>
        <w:rPr>
          <w:sz w:val="20"/>
          <w:szCs w:val="20"/>
          <w:color w:val="auto"/>
        </w:rPr>
      </w:pPr>
    </w:p>
    <w:p>
      <w:pPr>
        <w:jc w:val="both"/>
        <w:ind w:left="1960"/>
        <w:spacing w:after="0"/>
        <w:tabs>
          <w:tab w:leader="none" w:pos="27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505 Montgomery Street, Suite 2000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Luke Bergstrom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Max Schleusener</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Lauren Lefcoe</w:t>
      </w:r>
    </w:p>
    <w:p>
      <w:pPr>
        <w:spacing w:after="0" w:line="9"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luke.bergstrom@lw.com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max.schleusener@lw.com</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lauren.lefcoe@lw.com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LivePerson, Inc.</w:t>
      </w:r>
    </w:p>
    <w:p>
      <w:pPr>
        <w:ind w:left="1960"/>
        <w:spacing w:after="0" w:line="205" w:lineRule="auto"/>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Floor M1</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John Collins</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Monica Greenberg</w:t>
      </w:r>
    </w:p>
    <w:p>
      <w:pPr>
        <w:spacing w:after="0" w:line="9"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Philip Richter</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Mark Hayek</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Adam Cohen</w:t>
      </w:r>
    </w:p>
    <w:p>
      <w:pPr>
        <w:spacing w:after="0" w:line="9" w:lineRule="exact"/>
        <w:rPr>
          <w:sz w:val="20"/>
          <w:szCs w:val="20"/>
          <w:color w:val="auto"/>
        </w:rPr>
      </w:pPr>
    </w:p>
    <w:p>
      <w:pPr>
        <w:ind w:left="1960"/>
        <w:spacing w:after="0"/>
        <w:tabs>
          <w:tab w:leader="none" w:pos="2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Philip.Richter@friedfrank.com</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Mark.Hayek@friedfrank.com</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Adam.Cohen@friedfrank.com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term: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means the Company’s 0% Convertible Senior Notes due 2026.</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 Person that directly or indirectly, through one or more intermediaries, controls, is controlled by, or is under common control with, the first-mentioned Person.</w:t>
      </w:r>
    </w:p>
    <w:p>
      <w:pPr>
        <w:spacing w:after="0" w:line="160"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xml:space="preserve">” means the sum of (a) the difference of (i) $ $42,784,532.64,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Company Shortfall Cash,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(b) the Aggregate Exercise Price.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means the aggregate dollar amount of the exercise prices of all In-the-Money Company Options (other than Assumed Options).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“AI Inputs</w:t>
      </w:r>
      <w:r>
        <w:rPr>
          <w:rFonts w:ascii="Times New Roman" w:cs="Times New Roman" w:eastAsia="Times New Roman" w:hAnsi="Times New Roman"/>
          <w:sz w:val="18"/>
          <w:szCs w:val="18"/>
          <w:color w:val="auto"/>
        </w:rPr>
        <w:t>” shall mean data, work of authorship, text or other content used or relied upon by any aspect of AI Technologies to generate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AI Output.‎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Output</w:t>
      </w:r>
      <w:r>
        <w:rPr>
          <w:rFonts w:ascii="Times New Roman" w:cs="Times New Roman" w:eastAsia="Times New Roman" w:hAnsi="Times New Roman"/>
          <w:sz w:val="18"/>
          <w:szCs w:val="18"/>
          <w:color w:val="auto"/>
        </w:rPr>
        <w:t>” shall mean any data, work of authorship, text or other content that is generated by any AI Technologies.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shall mean any Software or other technology related to deep learning, machine learning, self-improving, generative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spacing w:after="0" w:line="181"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U.S. and non-U.S. Laws relating to the prevention of corruption and bribery, including, without limitation, the U.S. Foreign Corrupt Practices Act of 1977, as amended, and the UK Bribery Act 2010, as amended.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 under the Exchange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Rule 14d-1(g)(3) under the Exchange Act.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 xml:space="preserve">” means the number of shares of Parent Common Stock derived from dividing (a) the Aggregate Consideration Amount,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(b) the Parent Closing Stock Price.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collective bargaining agreement, works council agreement, or other agreement, understanding or Contract (including any addenda, side letter, memorandum of understanding, letter of assent, neutrality agreement or ancillary agreement thereto) with any Union.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Acceptable Confidentiality Agreement</w:t>
      </w:r>
      <w:r>
        <w:rPr>
          <w:rFonts w:ascii="Times New Roman" w:cs="Times New Roman" w:eastAsia="Times New Roman" w:hAnsi="Times New Roman"/>
          <w:sz w:val="18"/>
          <w:szCs w:val="18"/>
          <w:color w:val="auto"/>
        </w:rPr>
        <w:t xml:space="preserve">” means a confidentiality agreement entered into by the Company after the date hereof,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confidentiality agreement need not contain any standstill provision and shall not include any provision conflicting with or otherwise impairing the Company’s ability to comply with its obligations under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offer, proposal or indication of interest from any Person or group of Persons as defined in Section 13(d)(3) of the Exchange Act (other than Parent and the Parent Subsidiaries) at any time relating to any transaction or series of related transactions (other than the Merger)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the Company or any of the Company Subsidiaries.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Cash Balance</w:t>
      </w:r>
      <w:r>
        <w:rPr>
          <w:rFonts w:ascii="Times New Roman" w:cs="Times New Roman" w:eastAsia="Times New Roman" w:hAnsi="Times New Roman"/>
          <w:sz w:val="18"/>
          <w:szCs w:val="18"/>
          <w:color w:val="auto"/>
        </w:rPr>
        <w:t xml:space="preserve">” means the amount of cash and cash equivalents in the final Estimated 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fees and expenses payable by the Company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shall be excluded from “Company Cash Balance” hereunder.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each Company Option and Company RSU Award.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(a) the Company’s Amended and Restated 2019 Stock Incentive Plan and (b) the Company’s Amended and Restated 2018 Inducement Plan.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2019 Employee Stock Purchase Plan,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any Effect occurring or arising after the date of this Agreement that is material to the Company and the Company Subsidiaries (taken as a whole) that (a) was not known or reasonably foreseeable to the Company or the Company Board as of or prior to the date hereof and becomes known to the Company Board following the date of this Agreement and (b) does not involve or relate to a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of the following Effects constitute a Company Intervening Event: (i) changes in the price or trading volume of the Company Common Stock or Parent Common Stock (it being understood that the facts or occurrences giving rise to or contributing to such changes may be taken into account in determining whether there has been a Company Intervening Event) or changes in the credit rating of the Company or Parent,</w:t>
      </w:r>
    </w:p>
    <w:p>
      <w:pPr>
        <w:spacing w:after="0" w:line="5" w:lineRule="exact"/>
        <w:rPr>
          <w:sz w:val="20"/>
          <w:szCs w:val="20"/>
          <w:color w:val="auto"/>
        </w:rPr>
      </w:pPr>
    </w:p>
    <w:p>
      <w:pPr>
        <w:jc w:val="both"/>
        <w:ind w:firstLine="8"/>
        <w:spacing w:after="0" w:line="252" w:lineRule="auto"/>
        <w:tabs>
          <w:tab w:leader="none" w:pos="28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spacing w:after="0" w:line="19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occurrence, condition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or would reasonably be expected to have a material adverse effect on the business, condition (financial or otherwise), assets, liabilities, operations or results of operations of the 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changes in securities, credit or other financial markets, including interests rates or exchange rates in the United States or globally or (ii) 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hereof, (d) actions or omissions expressly required of the Company by the terms of this Agreement or taken or not taken with the prior written consent of Parent (other than its obligations to operate its business in the ordinary course), (e) the execution, announcement, pendency or consummation of this Agreement and the transactions contemplated hereby, including any litigation arising out of or relating to this Agreement or the Merger, the identity of Parent, departures of officers or employees, changes in relationships with suppliers or customers or other business relations, in each case solely to the extent resulting from the execution, announcement, pendency or consummation of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exceptions set forth in this clause (e) shall not apply in connection with any breach or inaccuracy of a representation or warranty set forth in this Agreement expressly addressing the consequences of the execution, announcement, existence, pendency or consummation of this Agreement and the transactions contemplated hereby or to address the consequences of litigation of, compliance with or performance under, this Agreement, compliance with or performance under, this Agreement,</w:t>
      </w:r>
    </w:p>
    <w:p>
      <w:pPr>
        <w:spacing w:after="0" w:line="8" w:lineRule="exact"/>
        <w:rPr>
          <w:sz w:val="20"/>
          <w:szCs w:val="20"/>
          <w:color w:val="auto"/>
        </w:rPr>
      </w:pPr>
    </w:p>
    <w:p>
      <w:pPr>
        <w:jc w:val="both"/>
        <w:ind w:firstLine="8"/>
        <w:spacing w:after="0" w:line="253" w:lineRule="auto"/>
        <w:tabs>
          <w:tab w:leader="none" w:pos="2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the trading price or trading volume of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Company Material Adverse Effect has occurred.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Closing Date occurs in the calendar month of July, the amount for purposes of this clause (a) shall be $71,000,000,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amount of cash, if any, paid by the Company to repurchase and retire the 2026 Notes between April 1, 2026, and the Closing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2026 Notes Discount Capture (as defined in the Notes Restructuring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shares of Company Common Stock granted under a Company Equity Plan or granted to a Company employee or other service provider outside of the Company Equity Plans.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is owned or purported to be owned by the Company or any of the Company Subsidiaries.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 w:cs="Times New Roman" w:eastAsia="Times New Roman" w:hAnsi="Times New Roman"/>
          <w:sz w:val="18"/>
          <w:szCs w:val="18"/>
          <w:u w:val="single" w:color="auto"/>
          <w:color w:val="auto"/>
        </w:rPr>
        <w:t>Company AI Products</w:t>
      </w:r>
      <w:r>
        <w:rPr>
          <w:rFonts w:ascii="Times New Roman" w:cs="Times New Roman" w:eastAsia="Times New Roman" w:hAnsi="Times New Roman"/>
          <w:sz w:val="18"/>
          <w:szCs w:val="18"/>
          <w:color w:val="auto"/>
        </w:rPr>
        <w:t>”), made commercially available, marketed, distributed, developed, supported, sold, imported for resale, licensed out, or otherwise provided by or on behalf of the Company or any Company Subsidiary, including products and services under development.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Representatives</w:t>
      </w:r>
      <w:r>
        <w:rPr>
          <w:rFonts w:ascii="Times New Roman" w:cs="Times New Roman" w:eastAsia="Times New Roman" w:hAnsi="Times New Roman"/>
          <w:sz w:val="18"/>
          <w:szCs w:val="18"/>
          <w:color w:val="auto"/>
        </w:rPr>
        <w:t>” means the Company’s and the Company Subsidiaries’ respective directors, officers, employees, accountants, consultants, legal counsel, investment bankers, advisors, agents, brokers and other representatives acting for or on behalf of the Company or any Company Subsidiary.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an award of restricted stock units with respect to shares of Company Common Stock granted under a Company Equity Plan.</w:t>
      </w:r>
    </w:p>
    <w:p>
      <w:pPr>
        <w:spacing w:after="0" w:line="16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Shortfall Cash</w:t>
      </w:r>
      <w:r>
        <w:rPr>
          <w:rFonts w:ascii="Times New Roman" w:cs="Times New Roman" w:eastAsia="Times New Roman" w:hAnsi="Times New Roman"/>
          <w:sz w:val="18"/>
          <w:szCs w:val="18"/>
          <w:color w:val="auto"/>
        </w:rPr>
        <w:t xml:space="preserve">” means an amount in cash equal to (a) the Company Minimum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Company Cash Balance;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negative number results from such calculation, “Company Shortfall Cash” shall be zero (0).</w:t>
      </w:r>
    </w:p>
    <w:p>
      <w:pPr>
        <w:spacing w:after="0" w:line="1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all fees and expenses incurred by or on behalf of the Company or by any other Person for which the Company is responsible in connection with or related to the negotiation, preparation, execution and performance of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each employee of the Company or any of the Company Subsidiaries who is employed by the Company or any of the Company Subsidiaries as of immediately prior to the Effective Time and who continues to be actively employed by the Surviving Corporation (or any of its affiliates) on or following the Effective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shall mean any information, inputs, figures, facts, numbers, statistics, geographic and location information, AI Inputs, validation data, and test data, data collections, and databases, in any form, whether structured or unstructured.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(a) “employee benefit plan” as defined in Section 3(3) of ERISA (whether or not subject to ERISA),</w:t>
      </w:r>
    </w:p>
    <w:p>
      <w:pPr>
        <w:spacing w:after="0" w:line="27" w:lineRule="exact"/>
        <w:rPr>
          <w:sz w:val="20"/>
          <w:szCs w:val="20"/>
          <w:color w:val="auto"/>
        </w:rPr>
      </w:pPr>
    </w:p>
    <w:p>
      <w:pPr>
        <w:jc w:val="both"/>
        <w:ind w:firstLine="8"/>
        <w:spacing w:after="0" w:line="252" w:lineRule="auto"/>
        <w:tabs>
          <w:tab w:leader="none" w:pos="25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waiver, variance, exemption, license, clearance, or other authorization required under any applicable Environmental Law.</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this Agreement and the transactions contemplated hereby, including the preparation, printing, filing and mailing of the Proxy Statement/Prospectus or Registration Statement and all other matters related to the transactions contemplated by this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Notes</w:t>
      </w:r>
      <w:r>
        <w:rPr>
          <w:rFonts w:ascii="Times New Roman" w:cs="Times New Roman" w:eastAsia="Times New Roman" w:hAnsi="Times New Roman"/>
          <w:sz w:val="18"/>
          <w:szCs w:val="18"/>
          <w:color w:val="auto"/>
        </w:rPr>
        <w:t>” means the Company’s First Lien Convertible Senior Notes due 2029.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fraud under Delaware law.</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Common Number</w:t>
      </w:r>
      <w:r>
        <w:rPr>
          <w:rFonts w:ascii="Times New Roman" w:cs="Times New Roman" w:eastAsia="Times New Roman" w:hAnsi="Times New Roman"/>
          <w:sz w:val="18"/>
          <w:szCs w:val="18"/>
          <w:color w:val="auto"/>
        </w:rPr>
        <w:t xml:space="preserve">” means, without duplication, the sum of (a) the total number of shares of Company Common Stock that are issued and outstanding immediately prior to the Effective Time (excluding Company Cancelled Shares),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Effective Time.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In-the-Money Company Option</w:t>
      </w:r>
      <w:r>
        <w:rPr>
          <w:rFonts w:ascii="Times New Roman" w:cs="Times New Roman" w:eastAsia="Times New Roman" w:hAnsi="Times New Roman"/>
          <w:sz w:val="18"/>
          <w:szCs w:val="18"/>
          <w:color w:val="auto"/>
        </w:rPr>
        <w:t>” means each Company Option that is not an Out-of-the-Money Company Option.</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(f) other proprietary rights arising from or related to AI Technologies, and (g) all applications and registrations for the foregoing.</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means the Israel Securities Authority.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Securities Laws</w:t>
      </w:r>
      <w:r>
        <w:rPr>
          <w:rFonts w:ascii="Times New Roman" w:cs="Times New Roman" w:eastAsia="Times New Roman" w:hAnsi="Times New Roman"/>
          <w:sz w:val="18"/>
          <w:szCs w:val="18"/>
          <w:color w:val="auto"/>
        </w:rPr>
        <w:t>” means (a) the Israeli Securities Law of 1968 and the rules, regulations and guidance provided thereunder and</w:t>
      </w:r>
    </w:p>
    <w:p>
      <w:pPr>
        <w:spacing w:after="0" w:line="27" w:lineRule="exact"/>
        <w:rPr>
          <w:sz w:val="20"/>
          <w:szCs w:val="20"/>
          <w:color w:val="auto"/>
        </w:rPr>
      </w:pPr>
    </w:p>
    <w:p>
      <w:pPr>
        <w:ind w:right="20" w:firstLine="8"/>
        <w:spacing w:after="0" w:line="260" w:lineRule="auto"/>
        <w:tabs>
          <w:tab w:leader="none" w:pos="25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TASE and the regulations promulgated thereunder, including the relevant provisions of the bylaws of the TASECH, each as amended from time to time.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Israel Tax Authority.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(after inquiry of direct reports) of the individuals listed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of the Company Disclosure Schedule.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or within the meaning of Section 3(37) of ERISA) or any plan that has two or more contributing sponsors at least two of whom are not under common control within the meaning of Section 4063 of ERISA.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Share</w:t>
      </w:r>
      <w:r>
        <w:rPr>
          <w:rFonts w:ascii="Times New Roman" w:cs="Times New Roman" w:eastAsia="Times New Roman" w:hAnsi="Times New Roman"/>
          <w:sz w:val="18"/>
          <w:szCs w:val="18"/>
          <w:color w:val="auto"/>
        </w:rPr>
        <w:t xml:space="preserve">” means, with respect to a Company Option, the quotient obtained by dividing (a) the product of (i) the excess of the Per Share Cash Equivalent Consideration over the per share exercise price of such Company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number of shares of Company Common Stock subject to such Company Option immediately prior to the Effective Time,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Per Share Cash Equivalent Consideration.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w:t>
      </w:r>
      <w:r>
        <w:rPr>
          <w:rFonts w:ascii="Times New Roman" w:cs="Times New Roman" w:eastAsia="Times New Roman" w:hAnsi="Times New Roman"/>
          <w:sz w:val="18"/>
          <w:szCs w:val="18"/>
          <w:color w:val="auto"/>
        </w:rPr>
        <w:t>” 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executive order, stay, consent decree, determination, ruling, assessment, stipulation, decision, writ, injunction, decree or arbitration award in each case, enacted, adopted, promulgated, imposed, applied, or entered by or with any Governmental Entity.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means the Israeli Income Tax Ordinance (New Version), 1961, as amended, and all rules and regulations promulgated thereunder, as may be amended from time to time, including, any publications and clarifications issued by the ITA.</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all filings made by, or required to be made by, the Company or Parent with the SEC in connection with the transactions contemplated by this Agreement, other than the Proxy Statement/Prospectus and Registration Statement.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Out-of-the-Money Company Option</w:t>
      </w:r>
      <w:r>
        <w:rPr>
          <w:rFonts w:ascii="Times New Roman" w:cs="Times New Roman" w:eastAsia="Times New Roman" w:hAnsi="Times New Roman"/>
          <w:sz w:val="18"/>
          <w:szCs w:val="18"/>
          <w:color w:val="auto"/>
        </w:rPr>
        <w:t>” means any Company Option having a per-share exercise price equal to or in excess of the Per Share Cash Equivalent Consideration (calculated for this purpose as if all Company Options were included in the definition of Fully Diluted Common Number).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Parent or any of the Parent Subsidiaries.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Stock Price</w:t>
      </w:r>
      <w:r>
        <w:rPr>
          <w:rFonts w:ascii="Times New Roman" w:cs="Times New Roman" w:eastAsia="Times New Roman" w:hAnsi="Times New Roman"/>
          <w:sz w:val="18"/>
          <w:szCs w:val="18"/>
          <w:color w:val="auto"/>
        </w:rPr>
        <w:t xml:space="preserve">” 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such price per share (a) exceeds $12 per share, “Parent Closing Stock Price” means $12 per share or (b) falls below $7 per share, “Parent Closing Stock Price” means $7 per share.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Class A Common Stock of Parent, par value $0.0001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Expense Cap</w:t>
      </w:r>
      <w:r>
        <w:rPr>
          <w:rFonts w:ascii="Times New Roman" w:cs="Times New Roman" w:eastAsia="Times New Roman" w:hAnsi="Times New Roman"/>
          <w:sz w:val="18"/>
          <w:szCs w:val="18"/>
          <w:color w:val="auto"/>
        </w:rPr>
        <w:t>” means an amount equal to $3,750,000.</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Effects arising out of, or resulting from the following shall not constitute to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 financial markets, including interests rates or exchange rates in the United States or globally, or changes in conditions in the industries (including seasonal fluctuations) in which Parent or Parent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hereof,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this Agreement and the transactions contemplated hereby, including any litigation arising out of or relating to this Agreement or the Merger, the identity of the Company, departures of officers or employees, changes in relationships with suppliers or customers or other business relations, in each case solely to the extent resulting from the execution, announcement, pendency or consummation of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this Agreement and the transactions contemplated hereby or to address the consequences of litigation of, compliance with or performance under, this Agreement, of, compliance with or performance under, this Agreement, (f) changes in the trading price or trading volume of Parent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Parent Material Adverse Effect has occurred.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Representatives</w:t>
      </w:r>
      <w:r>
        <w:rPr>
          <w:rFonts w:ascii="Times New Roman" w:cs="Times New Roman" w:eastAsia="Times New Roman" w:hAnsi="Times New Roman"/>
          <w:sz w:val="18"/>
          <w:szCs w:val="18"/>
          <w:color w:val="auto"/>
        </w:rPr>
        <w:t>” means Parent’s and the Parent Subsidiaries’ respective directors, officers, employees, accountants, consultants, legal counsel, investment bankers, advisors, agents and other representatives acting for or on behalf of Parent or any Parent Subsidiary.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means the issuance of shares of Parent Common Stock to the stockholders of the Company pursuant to and in accordance with the terms of this Agreement.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Equivalent Consideration</w:t>
      </w:r>
      <w:r>
        <w:rPr>
          <w:rFonts w:ascii="Times New Roman" w:cs="Times New Roman" w:eastAsia="Times New Roman" w:hAnsi="Times New Roman"/>
          <w:sz w:val="18"/>
          <w:szCs w:val="18"/>
          <w:color w:val="auto"/>
        </w:rPr>
        <w:t>” means the product (rounded to the nearest cent) obtained by multiplying (a) the Per Share Merger Consideration by (b) the Parent Closing Stock Price.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number of fully paid and nonassessable shares of Parent Common Stock equal to (a) the Closing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Common Number.</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 (d) nonexclusive licenses of Intellectual Property, and (e) (i) matters of record, (ii) 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per annum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from time to time as the prime lending rate prevailing during any relevant period.</w:t>
      </w:r>
    </w:p>
    <w:p>
      <w:pPr>
        <w:spacing w:after="0" w:line="16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Security Laws</w:t>
      </w:r>
      <w:r>
        <w:rPr>
          <w:rFonts w:ascii="Times New Roman" w:cs="Times New Roman" w:eastAsia="Times New Roman" w:hAnsi="Times New Roman"/>
          <w:sz w:val="18"/>
          <w:szCs w:val="18"/>
          <w:color w:val="auto"/>
        </w:rPr>
        <w:t>” 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or leaching of any Hazardous Substance into the environment.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listed on any sanctions-related list of designated Persons, maintained by the Office of Foreign Assets Control of the U.S. Department of the Treasury’s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the United Kingdom, the European Union, or any European Union member state; (b) any Person operating, organized or resident in a Sanctioned Country; or (c) 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3" w:name="page94"/>
    <w:bookmarkEnd w:id="9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Scraped Dataset</w:t>
      </w:r>
      <w:r>
        <w:rPr>
          <w:rFonts w:ascii="Times New Roman" w:cs="Times New Roman" w:eastAsia="Times New Roman" w:hAnsi="Times New Roman"/>
          <w:sz w:val="18"/>
          <w:szCs w:val="18"/>
          <w:color w:val="auto"/>
        </w:rPr>
        <w:t>” 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Notes</w:t>
      </w:r>
      <w:r>
        <w:rPr>
          <w:rFonts w:ascii="Times New Roman" w:cs="Times New Roman" w:eastAsia="Times New Roman" w:hAnsi="Times New Roman"/>
          <w:sz w:val="18"/>
          <w:szCs w:val="18"/>
          <w:color w:val="auto"/>
        </w:rPr>
        <w:t>” means the Company’s Second Lien Senior Subordinated Secured Notes due 2029.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Ordinance and the regulations and rules promulgated thereunder.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Trustee</w:t>
      </w:r>
      <w:r>
        <w:rPr>
          <w:rFonts w:ascii="Times New Roman" w:cs="Times New Roman" w:eastAsia="Times New Roman" w:hAnsi="Times New Roman"/>
          <w:sz w:val="18"/>
          <w:szCs w:val="18"/>
          <w:color w:val="auto"/>
        </w:rPr>
        <w:t>” means, ESOP Management and Trust Services Ltd., the trustee appointed by the Company in accordance with the provisions of Section 102(b) of the Ordinance and the rules and regulations promulgated in connection therewith, as amended.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means, collectively, the First Lien Notes and the Second Lien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129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w:t>
      </w:r>
      <w:r>
        <w:rPr>
          <w:rFonts w:ascii="Times New Roman" w:cs="Times New Roman" w:eastAsia="Times New Roman" w:hAnsi="Times New Roman"/>
          <w:sz w:val="18"/>
          <w:szCs w:val="18"/>
          <w:color w:val="auto"/>
        </w:rPr>
        <w:t>” means the Tel-Aviv Stock Exchange Ltd.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means that certain Tax Benefits Preservation Plan, dated as of January 22, 2024, by and between the Company and Equiniti Trust Company, LLC, as Rights Agent, as amended by that certain Amendment No. 1 to the Tax Benefits Preservation Plan, dated as of February 16, 2024.</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Compliance Laws</w:t>
      </w:r>
      <w:r>
        <w:rPr>
          <w:rFonts w:ascii="Times New Roman" w:cs="Times New Roman" w:eastAsia="Times New Roman" w:hAnsi="Times New Roman"/>
          <w:sz w:val="18"/>
          <w:szCs w:val="18"/>
          <w:color w:val="auto"/>
        </w:rPr>
        <w:t>” 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 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shares of Parent Common Stock are traded on the Nasdaq.</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shall mean any data used to develop, train, refine, fine tune, test or improve‎ the‎ Company’s AI Technologies, including Data contained in or obtained from Scraped Datasets.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union, labor organization, works council, employee association or other bargaining unit representative.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of a representation, warranty or covenant that is the consequence of a deliberate act or omission of the breaching party.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560" w:type="dxa"/>
            <w:vAlign w:val="bottom"/>
            <w:tcBorders>
              <w:top w:val="single" w:sz="8" w:color="auto"/>
              <w:left w:val="single" w:sz="8" w:color="auto"/>
            </w:tcBorders>
            <w:gridSpan w:val="12"/>
          </w:tcPr>
          <w:p>
            <w:pPr>
              <w:ind w:left="120"/>
              <w:spacing w:after="0" w:line="189" w:lineRule="exact"/>
              <w:rPr>
                <w:sz w:val="20"/>
                <w:szCs w:val="20"/>
                <w:color w:val="auto"/>
              </w:rPr>
            </w:pPr>
            <w:r>
              <w:rPr>
                <w:rFonts w:ascii="Times New Roman" w:cs="Times New Roman" w:eastAsia="Times New Roman" w:hAnsi="Times New Roman"/>
                <w:sz w:val="18"/>
                <w:szCs w:val="18"/>
                <w:color w:val="auto"/>
              </w:rPr>
              <w:t>“Agreement”</w:t>
            </w:r>
          </w:p>
        </w:tc>
        <w:tc>
          <w:tcPr>
            <w:tcW w:w="6680" w:type="dxa"/>
            <w:vAlign w:val="bottom"/>
            <w:tcBorders>
              <w:top w:val="single" w:sz="8" w:color="auto"/>
              <w:right w:val="single" w:sz="8" w:color="auto"/>
            </w:tcBorders>
          </w:tcPr>
          <w:p>
            <w:pPr>
              <w:ind w:left="2280"/>
              <w:spacing w:after="0" w:line="189" w:lineRule="exact"/>
              <w:rPr>
                <w:sz w:val="20"/>
                <w:szCs w:val="20"/>
                <w:color w:val="auto"/>
              </w:rPr>
            </w:pPr>
            <w:r>
              <w:rPr>
                <w:rFonts w:ascii="Times New Roman" w:cs="Times New Roman" w:eastAsia="Times New Roman" w:hAnsi="Times New Roman"/>
                <w:sz w:val="18"/>
                <w:szCs w:val="18"/>
                <w:color w:val="auto"/>
              </w:rPr>
              <w:t>Preamble</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“Assumed Option”</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2.6(a)(i)</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“Assumed RSU Award”</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2.6(b)(ii)</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“Certificate of Merger”</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“Change of Company Board Recommendation”</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6.3(a)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580" w:type="dxa"/>
            <w:vAlign w:val="bottom"/>
            <w:tcBorders>
              <w:top w:val="single" w:sz="8" w:color="auto"/>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“Clean Team Agreement”</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6.2(b)</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“Closing”</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1.2(a)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“Closing Date”</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1.2(a)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“COBRA”</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Section 3.9(d)</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169"/>
        </w:trPr>
        <w:tc>
          <w:tcPr>
            <w:tcW w:w="4560" w:type="dxa"/>
            <w:vAlign w:val="bottom"/>
            <w:tcBorders>
              <w:lef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“Company”</w:t>
            </w:r>
          </w:p>
        </w:tc>
        <w:tc>
          <w:tcPr>
            <w:tcW w:w="6680" w:type="dxa"/>
            <w:vAlign w:val="bottom"/>
            <w:tcBorders>
              <w:right w:val="single" w:sz="8" w:color="auto"/>
            </w:tcBorders>
          </w:tcPr>
          <w:p>
            <w:pPr>
              <w:ind w:left="228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r>
      <w:tr>
        <w:trPr>
          <w:trHeight w:val="675"/>
        </w:trPr>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83</w:t>
            </w:r>
          </w:p>
        </w:tc>
      </w:tr>
    </w:tbl>
    <w:p>
      <w:pPr>
        <w:sectPr>
          <w:pgSz w:w="11900" w:h="16838" w:orient="portrait"/>
          <w:cols w:equalWidth="0" w:num="1">
            <w:col w:w="11240"/>
          </w:cols>
          <w:pgMar w:left="320" w:top="904" w:right="339" w:bottom="1440" w:gutter="0" w:footer="0" w:header="0"/>
        </w:sectPr>
      </w:pPr>
    </w:p>
    <w:bookmarkStart w:id="96" w:name="page97"/>
    <w:bookmarkEnd w:id="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4300" w:type="dxa"/>
            <w:vAlign w:val="bottom"/>
            <w:tcBorders>
              <w:top w:val="single" w:sz="8" w:color="auto"/>
            </w:tcBorders>
            <w:gridSpan w:val="36"/>
          </w:tcPr>
          <w:p>
            <w:pPr>
              <w:spacing w:after="0" w:line="189" w:lineRule="exact"/>
              <w:rPr>
                <w:sz w:val="20"/>
                <w:szCs w:val="20"/>
                <w:color w:val="auto"/>
              </w:rPr>
            </w:pPr>
            <w:r>
              <w:rPr>
                <w:rFonts w:ascii="Times New Roman" w:cs="Times New Roman" w:eastAsia="Times New Roman" w:hAnsi="Times New Roman"/>
                <w:sz w:val="18"/>
                <w:szCs w:val="18"/>
                <w:color w:val="auto"/>
              </w:rPr>
              <w:t>“Company 401(k) Plans”</w:t>
            </w:r>
          </w:p>
        </w:tc>
        <w:tc>
          <w:tcPr>
            <w:tcW w:w="6820" w:type="dxa"/>
            <w:vAlign w:val="bottom"/>
            <w:tcBorders>
              <w:top w:val="single" w:sz="8" w:color="auto"/>
              <w:right w:val="single" w:sz="8" w:color="auto"/>
            </w:tcBorders>
          </w:tcPr>
          <w:p>
            <w:pPr>
              <w:ind w:left="2420"/>
              <w:spacing w:after="0" w:line="189" w:lineRule="exact"/>
              <w:rPr>
                <w:sz w:val="20"/>
                <w:szCs w:val="20"/>
                <w:color w:val="auto"/>
              </w:rPr>
            </w:pPr>
            <w:r>
              <w:rPr>
                <w:rFonts w:ascii="Times New Roman" w:cs="Times New Roman" w:eastAsia="Times New Roman" w:hAnsi="Times New Roman"/>
                <w:sz w:val="18"/>
                <w:szCs w:val="18"/>
                <w:color w:val="auto"/>
              </w:rPr>
              <w:t>Section 6.8(c)</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AI Products”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Board”</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Board Recommendation”</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Book-Entry Shares”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2.2(b)(ii)</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Bylaws”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3.1(b)</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Cancelled Shares”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2.1(a)(iii)</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Capitalization Date”</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Certificated Shares”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2.2(b)(i)</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Charter”</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3.1(b)</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Common Stock”</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Disclosure Schedule”</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Article 3</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Fairness Opinion”</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3.21</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Financial Statements”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3.7(c)</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ISA Documents”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3.7(a)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IT Assets”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3.15(j)</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Leased Real Property”</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3.18(b)</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Material Contract”</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3.11(b)</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Notice Period”</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6.3(e)(i)</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Permits”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3.12</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Preferred Stock”</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Real Property Leases”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3.18(b)</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Registered Intellectual Property”</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3.15(a)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540" w:type="dxa"/>
            <w:vAlign w:val="bottom"/>
            <w:tcBorders>
              <w:top w:val="single" w:sz="8" w:color="auto"/>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Related Party”</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3.24</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Rights”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3.2(c)</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SEC Documents”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3.7(a)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Stock”</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Stockholders Meeting”</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Subsidiary”</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Termination Fee”</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8.3(a)</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“Company Transaction Litigation”</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6.6</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“Confidentiality Agreement”</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6.2(b)</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“Continuing Service Provider”</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2.6(a)(i)</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“Covered Persons”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6.9(a)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“Current ESPP Offering Periods”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2.6(d)</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“Data Partners”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3.16(a)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“DGCL”</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“Effect”</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“Effective Time”</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“Enforceability Limitations”</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3.3(a)</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“Estimated Closing Statement”</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2.8</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30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auto"/>
              </w:rPr>
              <w:t>“Exchange Agent”</w:t>
            </w:r>
          </w:p>
        </w:tc>
        <w:tc>
          <w:tcPr>
            <w:tcW w:w="6820" w:type="dxa"/>
            <w:vAlign w:val="bottom"/>
            <w:tcBorders>
              <w:right w:val="single" w:sz="8" w:color="auto"/>
            </w:tcBorders>
          </w:tcPr>
          <w:p>
            <w:pPr>
              <w:ind w:left="2420"/>
              <w:spacing w:after="0" w:line="169" w:lineRule="exact"/>
              <w:rPr>
                <w:sz w:val="20"/>
                <w:szCs w:val="20"/>
                <w:color w:val="auto"/>
              </w:rPr>
            </w:pPr>
            <w:r>
              <w:rPr>
                <w:rFonts w:ascii="Times New Roman" w:cs="Times New Roman" w:eastAsia="Times New Roman" w:hAnsi="Times New Roman"/>
                <w:sz w:val="18"/>
                <w:szCs w:val="18"/>
                <w:color w:val="auto"/>
              </w:rPr>
              <w:t>Section 2.2(a)</w:t>
            </w:r>
          </w:p>
        </w:tc>
      </w:tr>
      <w:tr>
        <w:trPr>
          <w:trHeight w:val="74"/>
        </w:trPr>
        <w:tc>
          <w:tcPr>
            <w:tcW w:w="120" w:type="dxa"/>
            <w:vAlign w:val="bottom"/>
            <w:tcBorders>
              <w:left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r>
      <w:tr>
        <w:trPr>
          <w:trHeight w:val="675"/>
        </w:trPr>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84</w:t>
            </w:r>
          </w:p>
        </w:tc>
      </w:tr>
    </w:tbl>
    <w:p>
      <w:pPr>
        <w:sectPr>
          <w:pgSz w:w="11900" w:h="16838" w:orient="portrait"/>
          <w:cols w:equalWidth="0" w:num="1">
            <w:col w:w="11240"/>
          </w:cols>
          <w:pgMar w:left="320" w:top="929" w:right="339" w:bottom="1440" w:gutter="0" w:footer="0" w:header="0"/>
        </w:sectPr>
      </w:pPr>
    </w:p>
    <w:bookmarkStart w:id="97" w:name="page98"/>
    <w:bookmarkEnd w:id="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300" w:type="dxa"/>
            <w:vAlign w:val="bottom"/>
            <w:tcBorders>
              <w:top w:val="single" w:sz="8" w:color="auto"/>
              <w:left w:val="single" w:sz="8" w:color="auto"/>
            </w:tcBorders>
            <w:gridSpan w:val="32"/>
          </w:tcPr>
          <w:p>
            <w:pPr>
              <w:ind w:left="120"/>
              <w:spacing w:after="0" w:line="189" w:lineRule="exact"/>
              <w:rPr>
                <w:sz w:val="20"/>
                <w:szCs w:val="20"/>
                <w:color w:val="auto"/>
              </w:rPr>
            </w:pPr>
            <w:r>
              <w:rPr>
                <w:rFonts w:ascii="Times New Roman" w:cs="Times New Roman" w:eastAsia="Times New Roman" w:hAnsi="Times New Roman"/>
                <w:sz w:val="18"/>
                <w:szCs w:val="18"/>
                <w:color w:val="auto"/>
              </w:rPr>
              <w:t>“Extended Outside Date”</w:t>
            </w:r>
          </w:p>
        </w:tc>
        <w:tc>
          <w:tcPr>
            <w:tcW w:w="6940" w:type="dxa"/>
            <w:vAlign w:val="bottom"/>
            <w:tcBorders>
              <w:top w:val="single" w:sz="8" w:color="auto"/>
              <w:right w:val="single" w:sz="8" w:color="auto"/>
            </w:tcBorders>
          </w:tcPr>
          <w:p>
            <w:pPr>
              <w:ind w:left="2540"/>
              <w:spacing w:after="0" w:line="189" w:lineRule="exact"/>
              <w:rPr>
                <w:sz w:val="20"/>
                <w:szCs w:val="20"/>
                <w:color w:val="auto"/>
              </w:rPr>
            </w:pPr>
            <w:r>
              <w:rPr>
                <w:rFonts w:ascii="Times New Roman" w:cs="Times New Roman" w:eastAsia="Times New Roman" w:hAnsi="Times New Roman"/>
                <w:sz w:val="18"/>
                <w:szCs w:val="18"/>
                <w:color w:val="auto"/>
              </w:rPr>
              <w:t>Section 8.1(b)</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“Houlihan Lokey”</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3.21</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“Initial Outside Date”</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8.1(b)</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“Integration Planning Activities”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6.14(a)</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“Intended Tax Treatment”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2.10</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“Intermediate Sub”</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1.1(a)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“Israeli Employees”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3.10(j)</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“Legal Impediment”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7.1(b)</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“Merger”</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“Merger Sub”</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“New Plans”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6.8(b)</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“Non-U.S. Company Benefit Plan”</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3.9(a)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“Notes Restructuring Agreement”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“Notes Restructuring Transactions”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“OFAC”</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“Old Plans”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6.8(b)</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“Outside Date”</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8.1(b)</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 Board”</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 Financial Statements”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4.5(c)</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 Parties”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 SEC Documents”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4.5(a)</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“Parent Subsidiary”</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2.1(a)(iii)</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“Privacy Requirements”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3.16(a)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“Proxy Statement/Prospectus”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“Registration Statement”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“Required Company Vote”</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3.3(a)</w:t>
            </w:r>
          </w:p>
        </w:tc>
      </w:tr>
      <w:tr>
        <w:trPr>
          <w:trHeight w:val="74"/>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“Section 14 Arrangement”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3.10(j)</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“Surviving Corporation”</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“Takeover Statutes”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3.23</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“Tax Benefits Preservation Plan Waiver”</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3.3(b)</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“Terminated Company 401(k) Plan”</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6.8(c)</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“Trade Secrets”</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169"/>
        </w:trPr>
        <w:tc>
          <w:tcPr>
            <w:tcW w:w="4300" w:type="dxa"/>
            <w:vAlign w:val="bottom"/>
            <w:tcBorders>
              <w:left w:val="single" w:sz="8" w:color="auto"/>
            </w:tcBorders>
            <w:gridSpan w:val="32"/>
          </w:tcPr>
          <w:p>
            <w:pPr>
              <w:ind w:left="120"/>
              <w:spacing w:after="0" w:line="169" w:lineRule="exact"/>
              <w:rPr>
                <w:sz w:val="20"/>
                <w:szCs w:val="20"/>
                <w:color w:val="auto"/>
              </w:rPr>
            </w:pPr>
            <w:r>
              <w:rPr>
                <w:rFonts w:ascii="Times New Roman" w:cs="Times New Roman" w:eastAsia="Times New Roman" w:hAnsi="Times New Roman"/>
                <w:sz w:val="18"/>
                <w:szCs w:val="18"/>
                <w:color w:val="auto"/>
              </w:rPr>
              <w:t>“WARN Act”</w:t>
            </w:r>
          </w:p>
        </w:tc>
        <w:tc>
          <w:tcPr>
            <w:tcW w:w="6940" w:type="dxa"/>
            <w:vAlign w:val="bottom"/>
            <w:tcBorders>
              <w:right w:val="single" w:sz="8" w:color="auto"/>
            </w:tcBorders>
          </w:tcPr>
          <w:p>
            <w:pPr>
              <w:ind w:left="2540"/>
              <w:spacing w:after="0" w:line="169" w:lineRule="exact"/>
              <w:rPr>
                <w:sz w:val="20"/>
                <w:szCs w:val="20"/>
                <w:color w:val="auto"/>
              </w:rPr>
            </w:pPr>
            <w:r>
              <w:rPr>
                <w:rFonts w:ascii="Times New Roman" w:cs="Times New Roman" w:eastAsia="Times New Roman" w:hAnsi="Times New Roman"/>
                <w:sz w:val="18"/>
                <w:szCs w:val="18"/>
                <w:color w:val="auto"/>
              </w:rPr>
              <w:t>Section 3.10(f)</w:t>
            </w:r>
          </w:p>
        </w:tc>
      </w:tr>
      <w:tr>
        <w:trPr>
          <w:trHeight w:val="75"/>
        </w:trPr>
        <w:tc>
          <w:tcPr>
            <w:tcW w:w="20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940" w:type="dxa"/>
            <w:vAlign w:val="bottom"/>
            <w:tcBorders>
              <w:bottom w:val="single" w:sz="8" w:color="auto"/>
              <w:right w:val="single" w:sz="8" w:color="auto"/>
            </w:tcBorders>
          </w:tcPr>
          <w:p>
            <w:pPr>
              <w:spacing w:after="0"/>
              <w:rPr>
                <w:sz w:val="6"/>
                <w:szCs w:val="6"/>
                <w:color w:val="auto"/>
              </w:rPr>
            </w:pPr>
          </w:p>
        </w:tc>
      </w:tr>
      <w:tr>
        <w:trPr>
          <w:trHeight w:val="648"/>
        </w:trPr>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85</w:t>
            </w:r>
          </w:p>
        </w:tc>
      </w:tr>
    </w:tbl>
    <w:p>
      <w:pPr>
        <w:sectPr>
          <w:pgSz w:w="11900" w:h="16838" w:orient="portrait"/>
          <w:cols w:equalWidth="0" w:num="1">
            <w:col w:w="11240"/>
          </w:cols>
          <w:pgMar w:left="320" w:top="929" w:right="339" w:bottom="1440" w:gutter="0" w:footer="0" w:header="0"/>
        </w:sectPr>
      </w:pPr>
    </w:p>
    <w:bookmarkStart w:id="98" w:name="page99"/>
    <w:bookmarkEnd w:id="9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solely to the benefit of the parties and their respective successors and assigns, and, 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hereof and has been made available on a continuous basis by or on behalf the Company for review therein by Parent and the Parent Representatives since such time.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Governing Law; Consent to Jurisdiction;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6" w:lineRule="auto"/>
        <w:tabs>
          <w:tab w:leader="none" w:pos="224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952"/>
        <w:spacing w:after="0" w:line="253" w:lineRule="auto"/>
        <w:tabs>
          <w:tab w:leader="none" w:pos="22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Nothing in this Agreement shall affect the right of any party to this Agreement to serve process in any other manner permitted by Law.</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3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2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9.12(c)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this being in addition to any other remedy to which they are entitled at Law or in equity.</w:t>
      </w:r>
    </w:p>
    <w:p>
      <w:pPr>
        <w:spacing w:after="0" w:line="19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xml:space="preserve">. This Agreement may be amended, modified or supplemented by the parties by action taken or authorized by their respective Boards of Directors at any time prior to the Effective Time, whether before or after Company has obtained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Effective Time, the parties may, by action taken or authorized by their respective Boards of Directors, to the extent permitted by applicable Law, (a) extend the time for the performance of any of the obligations or acts of the other parties,</w:t>
      </w:r>
    </w:p>
    <w:p>
      <w:pPr>
        <w:jc w:val="both"/>
        <w:ind w:firstLine="8"/>
        <w:spacing w:after="0" w:line="251" w:lineRule="auto"/>
        <w:tabs>
          <w:tab w:leader="none" w:pos="25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Parent Parties and the Company have caused this Agreement to be executed as of the date first written above by their respective officers or managers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John Collins</w:t>
      </w:r>
    </w:p>
    <w:p>
      <w:pPr>
        <w:spacing w:after="0" w:line="27" w:lineRule="exact"/>
        <w:rPr>
          <w:sz w:val="20"/>
          <w:szCs w:val="20"/>
          <w:color w:val="auto"/>
        </w:rPr>
      </w:pPr>
    </w:p>
    <w:p>
      <w:pPr>
        <w:jc w:val="right"/>
        <w:spacing w:after="0"/>
        <w:tabs>
          <w:tab w:leader="none" w:pos="2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Operating Officer</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80"/>
          </w:cols>
          <w:pgMar w:left="1440" w:top="900" w:right="137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RESTRUCTURING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NOTES RESTRUCTURING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April 21, 2026, by and among LivePerson, Inc., a Delaware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SoundHound AI, Inc., a Delaware corporation (the “</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xml:space="preserve">”), and the several holders of the Secured Notes (as defined below)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The Issuer, the Acquiror, and each Holder are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before the date hereof, the Issuer issued $200.0 million in aggregate principal amount of its First Lien Convertible Secured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2029 (the “</w:t>
      </w:r>
      <w:r>
        <w:rPr>
          <w:rFonts w:ascii="Times New Roman" w:cs="Times New Roman" w:eastAsia="Times New Roman" w:hAnsi="Times New Roman"/>
          <w:sz w:val="18"/>
          <w:szCs w:val="18"/>
          <w:b w:val="1"/>
          <w:bCs w:val="1"/>
          <w:i w:val="1"/>
          <w:iCs w:val="1"/>
          <w:color w:val="auto"/>
        </w:rPr>
        <w:t>First Lien Secured Notes</w:t>
      </w:r>
      <w:r>
        <w:rPr>
          <w:rFonts w:ascii="Times New Roman" w:cs="Times New Roman" w:eastAsia="Times New Roman" w:hAnsi="Times New Roman"/>
          <w:sz w:val="18"/>
          <w:szCs w:val="18"/>
          <w:color w:val="auto"/>
        </w:rPr>
        <w:t>”), and following payments of interest in kind, $221,877,243.00 principal amount of First Lien Secured Notes are outstanding as of the date 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12, 2025, the Issuer issued $115.0 million in aggregate principal amount of its 10.0% Second Lien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Subordinated Secured Notes due 2029 (the “</w:t>
      </w:r>
      <w:r>
        <w:rPr>
          <w:rFonts w:ascii="Times New Roman" w:cs="Times New Roman" w:eastAsia="Times New Roman" w:hAnsi="Times New Roman"/>
          <w:sz w:val="18"/>
          <w:szCs w:val="18"/>
          <w:b w:val="1"/>
          <w:bCs w:val="1"/>
          <w:i w:val="1"/>
          <w:iCs w:val="1"/>
          <w:color w:val="auto"/>
        </w:rPr>
        <w:t>Second Lien Secured Notes</w:t>
      </w:r>
      <w:r>
        <w:rPr>
          <w:rFonts w:ascii="Times New Roman" w:cs="Times New Roman" w:eastAsia="Times New Roman" w:hAnsi="Times New Roman"/>
          <w:sz w:val="18"/>
          <w:szCs w:val="18"/>
          <w:color w:val="auto"/>
        </w:rPr>
        <w:t>,” and together with the First Lien Secured Notes, the “</w:t>
      </w:r>
      <w:r>
        <w:rPr>
          <w:rFonts w:ascii="Times New Roman" w:cs="Times New Roman" w:eastAsia="Times New Roman" w:hAnsi="Times New Roman"/>
          <w:sz w:val="18"/>
          <w:szCs w:val="18"/>
          <w:b w:val="1"/>
          <w:bCs w:val="1"/>
          <w:i w:val="1"/>
          <w:iCs w:val="1"/>
          <w:color w:val="auto"/>
        </w:rPr>
        <w:t>Secured Notes</w:t>
      </w:r>
      <w:r>
        <w:rPr>
          <w:rFonts w:ascii="Times New Roman" w:cs="Times New Roman" w:eastAsia="Times New Roman" w:hAnsi="Times New Roman"/>
          <w:sz w:val="18"/>
          <w:szCs w:val="18"/>
          <w:color w:val="auto"/>
        </w:rPr>
        <w:t>”), and following a payment of interest in kind, $120,845,834.00 principal amount of Second Lien Secured Notes are outstanding as of the date 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Holders hold, in aggregate, one hundred percent (100%) of the outstanding Secured Notes;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Acquiror, the Issuer and Lightspeed Merger Sub Inc., a Delaware corporation and an indirect wholly owned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Acquiror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have entered into that certain Merger Agreement (as amended, supplemented or modified from time to time in accordance with the terms thereof,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dated as of the date hereof, pursuant to which, upon the terms and subject to the satisfaction or waiver of the conditions set forth in the Merger Agreement, among other things, at the Effective Time (as defined in the Merger Agreement), Merger Sub shall merge with and into the Issuer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the separate corporate existence of Merger Sub shall cease and the Issuer shall continue as the surviving corporation of the Merger and an indirect, wholly owned subsidiary of the Acquiror;</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and contingent on the consummation of the transactions contemplated by the Merger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the Acquiror wishes to offer, and the Holders wish to accept, the Consideration (as defined below) on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agree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Convertible Notes</w:t>
      </w:r>
      <w:r>
        <w:rPr>
          <w:rFonts w:ascii="Times New Roman" w:cs="Times New Roman" w:eastAsia="Times New Roman" w:hAnsi="Times New Roman"/>
          <w:sz w:val="18"/>
          <w:szCs w:val="18"/>
          <w:color w:val="auto"/>
        </w:rPr>
        <w:t>” means the 0% convertible notes due 2026 issued by the Issuer.</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2026 Notes Discount Capture</w:t>
      </w:r>
      <w:r>
        <w:rPr>
          <w:rFonts w:ascii="Times New Roman" w:cs="Times New Roman" w:eastAsia="Times New Roman" w:hAnsi="Times New Roman"/>
          <w:sz w:val="18"/>
          <w:szCs w:val="18"/>
          <w:color w:val="auto"/>
        </w:rPr>
        <w:t xml:space="preserve">” means, solely as to any 2026 Convertible Notes repurchased and retired by the Issuer between April 1, 2026 and the Closing, the difference between (a) the principal amount of such 2026 Convertible Notes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amount of cash paid to repurchase such 2026 Convertible Notes.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Cash Election</w:t>
      </w:r>
      <w:r>
        <w:rPr>
          <w:rFonts w:ascii="Times New Roman" w:cs="Times New Roman" w:eastAsia="Times New Roman" w:hAnsi="Times New Roman"/>
          <w:sz w:val="18"/>
          <w:szCs w:val="18"/>
          <w:color w:val="auto"/>
        </w:rPr>
        <w:t>” has the meaning set forth in Section 2.01.</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Closing VWAP</w:t>
      </w:r>
      <w:r>
        <w:rPr>
          <w:rFonts w:ascii="Times New Roman" w:cs="Times New Roman" w:eastAsia="Times New Roman" w:hAnsi="Times New Roman"/>
          <w:sz w:val="18"/>
          <w:szCs w:val="18"/>
          <w:color w:val="auto"/>
        </w:rPr>
        <w:t>” means the price per share of a share of Acquiror Common Stock derived from the average daily volume weighted average prices of a share of Acquiror Common Stock on the Nasdaq on each of the ten (10) consecutive Trading Days ending on (and including) the Trading Day that is three (3) Trading Days prior to the Closing Date, rounded down to the nearest penny, as reported by Bloomberg.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Common Stock</w:t>
      </w:r>
      <w:r>
        <w:rPr>
          <w:rFonts w:ascii="Times New Roman" w:cs="Times New Roman" w:eastAsia="Times New Roman" w:hAnsi="Times New Roman"/>
          <w:sz w:val="18"/>
          <w:szCs w:val="18"/>
          <w:color w:val="auto"/>
        </w:rPr>
        <w:t>” means the shares of Class A common stock, par value $0.0001 per share, of the Acquiror (NASDAQ:SOUN).</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Securities</w:t>
      </w:r>
      <w:r>
        <w:rPr>
          <w:rFonts w:ascii="Times New Roman" w:cs="Times New Roman" w:eastAsia="Times New Roman" w:hAnsi="Times New Roman"/>
          <w:sz w:val="18"/>
          <w:szCs w:val="18"/>
          <w:color w:val="auto"/>
        </w:rPr>
        <w:t>” means the shares of Acquiror Common Stock or any other equity interests in, or securities of, Acquiror or any other rights or instruments (whether or not currently exercisable or convertible) that are derivative of, exchangeable for or convertible into any securities of Acquiror.</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Acquiror Stock Price</w:t>
      </w:r>
      <w:r>
        <w:rPr>
          <w:rFonts w:ascii="Times New Roman" w:cs="Times New Roman" w:eastAsia="Times New Roman" w:hAnsi="Times New Roman"/>
          <w:sz w:val="18"/>
          <w:szCs w:val="18"/>
          <w:color w:val="auto"/>
        </w:rPr>
        <w:t>” means the Acquiror Closing VWAP, provided, that (a) if the Acquiror Closing VWAP is greater than $12 per share, the Acquiror Stock Price will be $12 per share, and (b) if the Acquiror Closing VWAP is less than $7 per share, the Acquiror Stock Price will be $7 per share.</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with respect to any person or entity, any other person or entity acting as a “group” (as that term is used in Section 13(d) of the Exchange Act) together with such person or entity, and any other persons or entities, to the extent such persons’ or entities’ beneficial ownership (as defined in Rule 13d-3 under the Exchange Act) of the common stock of the Issuer or the Acquiror would be aggregated with such person’s or entity’s for purposes of Section 13(d) of the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a day on which banking institutions in New York, New York are authorized or required by law to be closed.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means immediately available funds denominated in US dollars.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transactions contemplated by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on which the Closing occurs.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Competing Proposal</w:t>
      </w:r>
      <w:r>
        <w:rPr>
          <w:rFonts w:ascii="Times New Roman" w:cs="Times New Roman" w:eastAsia="Times New Roman" w:hAnsi="Times New Roman"/>
          <w:sz w:val="18"/>
          <w:szCs w:val="18"/>
          <w:color w:val="auto"/>
        </w:rPr>
        <w:t xml:space="preserve">” means any offer, proposal or indication of interest from any Person or group of Persons as defined in Section 13(d)(3) of the Exchange Act (other than the Acquiror or any of its subsidiaries) at any time relating to any transaction or series of related transactions (other than the Merger or the transactions contemplated by this Agreement) involving: (a) any acquisition or purchase by any person, directly or indirectly, of more than fifteen percent (15%) of any class of outstanding voting or equity securities of the Issuer (whether by voting power or number of shares), or any tender offer (including a self-tender offer) or exchange offer that, if consummated, would result in any person beneficially owning more than fifteen percent (15%) of any class of outstanding voting or equity securities of the Issuer (whether by voting power or number of shares); (b) any merger, consolidation, share exchange, business combination, joint venture, recapitalization, reorganization or other similar transaction involving the Issuer and a Person pursuant to which the stockholders of the Issuer immediately preceding such transaction hold less than eighty five percent (85%) of the equity interests in the surviving, resulting or ultimate parent entity of such transaction (whether by voting power or number of shares); (c) any sale, lease, exchange, transfer or other disposition to a person of more than fifteen percent (15%) of the consolidated assets of the Issuer and its subsidiaries (measured by the fair market value thereof); or (d) any transaction involving the Secured Notes (including any debt restructuring transactions or payments to be made in respect of the Secured Notes in connection with any Company Acquisition Proposal (as defined in the Merger Agreement)) other than Transfers of the Secured Notes or any interest therein effected in accordance with Section 8.09;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foregoing clause (d) shall not apply to customary Liens attributable to securities or notes held by a bank, prime-broker, or broker dealer on behalf of a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has the meaning set forth in Section 2.01.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has the meaning set forth in Section 2.05.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has the meaning set forth in Section 2.05.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Collateral Agent</w:t>
      </w:r>
      <w:r>
        <w:rPr>
          <w:rFonts w:ascii="Times New Roman" w:cs="Times New Roman" w:eastAsia="Times New Roman" w:hAnsi="Times New Roman"/>
          <w:sz w:val="18"/>
          <w:szCs w:val="18"/>
          <w:color w:val="auto"/>
        </w:rPr>
        <w:t>” means U.S. Bank Trust Company, National Association, solely in its capacity as trustee and collateral agent under the First Lien Notes Documents.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Holder Aggregate Stock Consideration Amount</w:t>
      </w:r>
      <w:r>
        <w:rPr>
          <w:rFonts w:ascii="Times New Roman" w:cs="Times New Roman" w:eastAsia="Times New Roman" w:hAnsi="Times New Roman"/>
          <w:sz w:val="18"/>
          <w:szCs w:val="18"/>
          <w:color w:val="auto"/>
        </w:rPr>
        <w:t>” means $178,007,733.68.</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7" w:name="page108"/>
    <w:bookmarkEnd w:id="107"/>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Holder Shares</w:t>
      </w:r>
      <w:r>
        <w:rPr>
          <w:rFonts w:ascii="Times New Roman" w:cs="Times New Roman" w:eastAsia="Times New Roman" w:hAnsi="Times New Roman"/>
          <w:sz w:val="18"/>
          <w:szCs w:val="18"/>
          <w:color w:val="auto"/>
        </w:rPr>
        <w:t xml:space="preserve">” means the number of shares of Acquiror Common Stock (rounded down to the nearest whole share) equal to the quotient of (a) the First Lien Holder Aggregate Stock Consideration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Acquiror Stock Price.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Documents</w:t>
      </w:r>
      <w:r>
        <w:rPr>
          <w:rFonts w:ascii="Times New Roman" w:cs="Times New Roman" w:eastAsia="Times New Roman" w:hAnsi="Times New Roman"/>
          <w:sz w:val="18"/>
          <w:szCs w:val="18"/>
          <w:color w:val="auto"/>
        </w:rPr>
        <w:t>” means the First Lien Notes Indenture and all other agreements, instruments, and documented executed and delivered by the Issuer in connection therewith.</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w:t>
      </w:r>
      <w:r>
        <w:rPr>
          <w:rFonts w:ascii="Times New Roman" w:cs="Times New Roman" w:eastAsia="Times New Roman" w:hAnsi="Times New Roman"/>
          <w:sz w:val="18"/>
          <w:szCs w:val="18"/>
          <w:color w:val="auto"/>
        </w:rPr>
        <w:t>” means that certain Indenture, dated as of June 3, 2024, by and among the Issuer, certain subsidiary guarantors, and U.S. Bank Trust Company, National Association, as trustee and collateral agent, relating to the First Lien Secured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Secured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means actual fraud under Delaware law.</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any arbitrator, court, or tribunal of competent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Shares</w:t>
      </w:r>
      <w:r>
        <w:rPr>
          <w:rFonts w:ascii="Times New Roman" w:cs="Times New Roman" w:eastAsia="Times New Roman" w:hAnsi="Times New Roman"/>
          <w:sz w:val="18"/>
          <w:szCs w:val="18"/>
          <w:color w:val="auto"/>
        </w:rPr>
        <w:t xml:space="preserve">” means, with respect to each Holder, the sum of (a) the First Lien Holder Shares attributable to such Holder based on the “Percentage of First Lien Holder Shares” set forth across from such Holder’s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Second Lien Holder Shares attributable to such Holder based on the “Percentage of Second Lien Holder Shares” set forth across from such Holder’s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 Counsel Fees</w:t>
      </w:r>
      <w:r>
        <w:rPr>
          <w:rFonts w:ascii="Times New Roman" w:cs="Times New Roman" w:eastAsia="Times New Roman" w:hAnsi="Times New Roman"/>
          <w:sz w:val="18"/>
          <w:szCs w:val="18"/>
          <w:color w:val="auto"/>
        </w:rPr>
        <w:t>” has the meaning set forth in Section 8.15.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has the meaning set forth in Section 7.03.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Cash Balance</w:t>
      </w:r>
      <w:r>
        <w:rPr>
          <w:rFonts w:ascii="Times New Roman" w:cs="Times New Roman" w:eastAsia="Times New Roman" w:hAnsi="Times New Roman"/>
          <w:sz w:val="18"/>
          <w:szCs w:val="18"/>
          <w:color w:val="auto"/>
        </w:rPr>
        <w:t xml:space="preserve">” means the amount of cash and cash equivalents in the final Estimated Closing Statement; provided that, for the avoidance of doubt, the Issuer Cash Balance will give pro forma effect (i.e., as a deduction) for all amounts payable by the Issuer that remain unpaid in connection with the transactions contemplated by this Agreement, the Merger Agreement, and any similar or alternative transactions involving the Issuer,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Issuer Transaction Expenses, (ii) unpaid amounts used or to be used to repurchase and retire or extinguish 2026 Convertible Notes between April 1, 2026, and the Closing Date, if any, and (iii) the amounts to be remitted to the Holders of First Lien Secured Notes by the Issuer under ‎Section 2.01(b)(i) and to the Holders of Second Lien Secured Notes by the Issuer under Section 2.01(c)(i);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notwithstanding the foregoing, the fees and expenses payable by the Issuer pursuant to Section 9.2(a) and Section 9.2(b) of the Merger Agreement shall be excluded from “Issuer Cash Balance” hereunder.</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8" w:name="page109"/>
    <w:bookmarkEnd w:id="108"/>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Excess Cash</w:t>
      </w:r>
      <w:r>
        <w:rPr>
          <w:rFonts w:ascii="Times New Roman" w:cs="Times New Roman" w:eastAsia="Times New Roman" w:hAnsi="Times New Roman"/>
          <w:sz w:val="18"/>
          <w:szCs w:val="18"/>
          <w:color w:val="auto"/>
        </w:rPr>
        <w:t xml:space="preserve">” means an amount in cash equal to (a) the Issuer Cash Balance,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Issuer Minimum Cash;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 negative number results from such calculation, “Issuer Excess Cash” shall be zero (0).</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amount of cash, if any, paid by the Issuer (or payable by the Issuer on the Closing Date) to repurchase and retire or extinguish the outstanding 2026 Convertible Notes between April 1, 2026 and the Closing Date (including on the Closing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 the 2026 Notes Discount Capture.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Securities</w:t>
      </w:r>
      <w:r>
        <w:rPr>
          <w:rFonts w:ascii="Times New Roman" w:cs="Times New Roman" w:eastAsia="Times New Roman" w:hAnsi="Times New Roman"/>
          <w:sz w:val="18"/>
          <w:szCs w:val="18"/>
          <w:color w:val="auto"/>
        </w:rPr>
        <w:t>” has the meaning set forth in Section 4.03(e).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Transaction Expenses</w:t>
      </w:r>
      <w:r>
        <w:rPr>
          <w:rFonts w:ascii="Times New Roman" w:cs="Times New Roman" w:eastAsia="Times New Roman" w:hAnsi="Times New Roman"/>
          <w:sz w:val="18"/>
          <w:szCs w:val="18"/>
          <w:color w:val="auto"/>
        </w:rPr>
        <w:t>” means all fees and expenses incurred by or on behalf of the Issuer or by any other Person for which the Issuer is responsible in connection with or related to the negotiation, preparation, execution and performance of this Agreement, the Merger Agreement and the transactions contemplated hereby and thereby and any similar or alternative transaction involving the Issuer,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Merger Agreement and by such other similar or alternative transactions, as applicable.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security interest, encumbrance, lien, claim, restriction, option, title defect or charge or other encumbrance of any kind other than restrictions under the Securities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 Documents</w:t>
      </w:r>
      <w:r>
        <w:rPr>
          <w:rFonts w:ascii="Times New Roman" w:cs="Times New Roman" w:eastAsia="Times New Roman" w:hAnsi="Times New Roman"/>
          <w:sz w:val="18"/>
          <w:szCs w:val="18"/>
          <w:color w:val="auto"/>
        </w:rPr>
        <w:t>” means, collectively, the First Lien Notes Documents and the Second Lien Notes Documents and all other agreements, instruments, and documents executed and delivered by the Issuer in connection therewith.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trust, unincorporated organization, Governmental Authority, or other entity.</w:t>
      </w:r>
    </w:p>
    <w:p>
      <w:pPr>
        <w:spacing w:after="0" w:line="3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Fund</w:t>
      </w:r>
      <w:r>
        <w:rPr>
          <w:rFonts w:ascii="Times New Roman" w:cs="Times New Roman" w:eastAsia="Times New Roman" w:hAnsi="Times New Roman"/>
          <w:sz w:val="18"/>
          <w:szCs w:val="18"/>
          <w:color w:val="auto"/>
        </w:rPr>
        <w:t>” has the meaning set forth in Section 4.03(e).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has the meaning set forth in Section 3.01(a).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has the meaning set forth in Section 3.01(a).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has the meaning set forth in Section 3.01(a).</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Consenting Noteholders</w:t>
      </w:r>
      <w:r>
        <w:rPr>
          <w:rFonts w:ascii="Times New Roman" w:cs="Times New Roman" w:eastAsia="Times New Roman" w:hAnsi="Times New Roman"/>
          <w:sz w:val="18"/>
          <w:szCs w:val="18"/>
          <w:color w:val="auto"/>
        </w:rPr>
        <w:t>” means, collectively, the holders of the First Lien Secured Notes and the holders of at least a majority in principal amount outstanding of the Second Lien Secured Notes, each as of the date of determination.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Collateral Agent</w:t>
      </w:r>
      <w:r>
        <w:rPr>
          <w:rFonts w:ascii="Times New Roman" w:cs="Times New Roman" w:eastAsia="Times New Roman" w:hAnsi="Times New Roman"/>
          <w:sz w:val="18"/>
          <w:szCs w:val="18"/>
          <w:color w:val="auto"/>
        </w:rPr>
        <w:t>” means U.S. Bank Trust Company, National Association, solely in its capacity as trustee and collateral agent under the Second Lien Notes Documents.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Holder Aggregate Stock Consideration Amount</w:t>
      </w:r>
      <w:r>
        <w:rPr>
          <w:rFonts w:ascii="Times New Roman" w:cs="Times New Roman" w:eastAsia="Times New Roman" w:hAnsi="Times New Roman"/>
          <w:sz w:val="18"/>
          <w:szCs w:val="18"/>
          <w:color w:val="auto"/>
        </w:rPr>
        <w:t>” means $83,207,733.68.</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Holder Shares</w:t>
      </w:r>
      <w:r>
        <w:rPr>
          <w:rFonts w:ascii="Times New Roman" w:cs="Times New Roman" w:eastAsia="Times New Roman" w:hAnsi="Times New Roman"/>
          <w:sz w:val="18"/>
          <w:szCs w:val="18"/>
          <w:color w:val="auto"/>
        </w:rPr>
        <w:t xml:space="preserve">” means the number of shares of Acquiror Common Stock (rounded down to the nearest whole share) equal to the quotient of (a) the Second Lien Holder Aggregate Stock Consideration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Acquiror Stock Price.</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Documents</w:t>
      </w:r>
      <w:r>
        <w:rPr>
          <w:rFonts w:ascii="Times New Roman" w:cs="Times New Roman" w:eastAsia="Times New Roman" w:hAnsi="Times New Roman"/>
          <w:sz w:val="18"/>
          <w:szCs w:val="18"/>
          <w:color w:val="auto"/>
        </w:rPr>
        <w:t>” means the Second Lien Notes Indenture and all other agreements, instruments, and documented executed and delivered by the Issuer in connection therewith.</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Indenture</w:t>
      </w:r>
      <w:r>
        <w:rPr>
          <w:rFonts w:ascii="Times New Roman" w:cs="Times New Roman" w:eastAsia="Times New Roman" w:hAnsi="Times New Roman"/>
          <w:sz w:val="18"/>
          <w:szCs w:val="18"/>
          <w:color w:val="auto"/>
        </w:rPr>
        <w:t>” means that certain Indenture, dated as of September 12, 2025, by and among the Issuer, certain subsidiary guarantors, and U.S. Bank Trust Company, National Association, as trustee and collateral agent, relating to the Second Lien Secured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Secured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Position</w:t>
      </w:r>
      <w:r>
        <w:rPr>
          <w:rFonts w:ascii="Times New Roman" w:cs="Times New Roman" w:eastAsia="Times New Roman" w:hAnsi="Times New Roman"/>
          <w:sz w:val="18"/>
          <w:szCs w:val="18"/>
          <w:color w:val="auto"/>
        </w:rPr>
        <w:t>” has the meaning set forth in Section 8.10.</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10" w:name="page111"/>
    <w:bookmarkEnd w:id="110"/>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Sales</w:t>
      </w:r>
      <w:r>
        <w:rPr>
          <w:rFonts w:ascii="Times New Roman" w:cs="Times New Roman" w:eastAsia="Times New Roman" w:hAnsi="Times New Roman"/>
          <w:sz w:val="18"/>
          <w:szCs w:val="18"/>
          <w:color w:val="auto"/>
        </w:rPr>
        <w:t>” shall mean all “short sales” as defined in Rule 200 of Regulation SHO under the Exchange Act, and all types of direct and indirect stock pledges, forward sale contracts, options, puts, calls, swaps, and similar arrangements (including on a total return basis), and sales and other transactions through non-U.S. broker-dealers or foreign regulated brokers.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 day on which shares of Acquiror Common Stock are traded on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has the meaning set forth in Section 8.09.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 SATISFACTION OF SECURED NOTES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2.01 Restructuring of Secured Notes. </w:t>
      </w:r>
      <w:r>
        <w:rPr>
          <w:rFonts w:ascii="Times New Roman" w:cs="Times New Roman" w:eastAsia="Times New Roman" w:hAnsi="Times New Roman"/>
          <w:sz w:val="18"/>
          <w:szCs w:val="18"/>
          <w:color w:val="auto"/>
        </w:rPr>
        <w:t>Subject to the terms and conditions of this Agreement, each Holder hereby severally and not jointly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accept the following in full and complete satisfaction of all obligations of the Issuer to such Holder under the Secured Notes and the Notes Documents (collectively, the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040" w:hanging="384"/>
        <w:spacing w:after="0" w:line="282" w:lineRule="auto"/>
        <w:tabs>
          <w:tab w:leader="none" w:pos="1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Shares owed to such Holder, provided that, no Holder shall be entitled to any fractional shares and the number of Holder Shares to which such Holder is entitled shall be rounded down to the nearest whole share;</w:t>
      </w:r>
    </w:p>
    <w:p>
      <w:pPr>
        <w:spacing w:after="0" w:line="161" w:lineRule="exact"/>
        <w:rPr>
          <w:rFonts w:ascii="Times New Roman" w:cs="Times New Roman" w:eastAsia="Times New Roman" w:hAnsi="Times New Roman"/>
          <w:sz w:val="18"/>
          <w:szCs w:val="18"/>
          <w:color w:val="auto"/>
        </w:rPr>
      </w:pPr>
    </w:p>
    <w:p>
      <w:pPr>
        <w:jc w:val="both"/>
        <w:ind w:left="1040" w:hanging="384"/>
        <w:spacing w:after="0" w:line="261" w:lineRule="auto"/>
        <w:tabs>
          <w:tab w:leader="none" w:pos="1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of one or more First Lien Secured Notes, Cash paid by the Issuer concurrently with Closing in the amount of the sum of (i) accrued and unpaid interest on the First Lien Secured Notes held by such Holder, (provided that, for the avoidance of doubt, any such Cash amount shall exclude the aggregate amount of any PIK Interest (as defined in the First Lien Notes Indenture) on the First Lien Secured Notes) and (ii) 65% of the Issuer Excess Cash, if any; and</w:t>
      </w:r>
    </w:p>
    <w:p>
      <w:pPr>
        <w:spacing w:after="0" w:line="179"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Holder of one or more Second Lien Secured Notes, such Holder’s pro rata portion of the sum of (i) the 2026 Notes Discount Capture,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35% of the Issuer Excess Cash, if any, attributable to such Holder (for the avoidance of doubt, solely on account of Second Lien Secured Notes held by such Holder).</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2.02 Estimated Closing Statement. </w:t>
      </w:r>
      <w:r>
        <w:rPr>
          <w:rFonts w:ascii="Times New Roman" w:cs="Times New Roman" w:eastAsia="Times New Roman" w:hAnsi="Times New Roman"/>
          <w:sz w:val="18"/>
          <w:szCs w:val="18"/>
          <w:color w:val="auto"/>
        </w:rPr>
        <w:t>No earlier than twenty (20) Business Days nor later than fifteen (15) Business Days prior to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 shall deliver to the Acquiror a statement (the “</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certified by the Chief Financial Officer of the Issuer, setting forth</w:t>
      </w:r>
    </w:p>
    <w:p>
      <w:pPr>
        <w:spacing w:after="0" w:line="1" w:lineRule="exact"/>
        <w:rPr>
          <w:sz w:val="20"/>
          <w:szCs w:val="20"/>
          <w:color w:val="auto"/>
        </w:rPr>
      </w:pPr>
    </w:p>
    <w:p>
      <w:pPr>
        <w:jc w:val="both"/>
        <w:ind w:firstLine="8"/>
        <w:spacing w:after="0" w:line="251" w:lineRule="auto"/>
        <w:tabs>
          <w:tab w:leader="none" w:pos="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faith estimated unaudited balance sheet of the Issuer and (b) the Issuer’s good faith estimate of the Issuer Cash Balance, in each case, as of 12:01 a.m. Pacific Time on the Closing Date. The Issuer shall deliver supporting calculations and documentation of such calculations (including with respect to any deductions contemplated by the definition of Issuer Cash Balance and reflected in such calculations), in detail reasonably acceptable to the Acquiror, concurrently with the delivery of such Estimated Closing Statement. The Issuer shall consult in good faith with the Acquiror and its representatives with respect to the preparation of, and with respect to any updates reasonably requested by the Acquiror or its representatives to, the Estimated Closing Statement until the date that is five (5) Business Days prior to the Closing Date. Subject to such good faith consultation by the Issuer and any updates to the Estimated Closing Statement resulting therefrom, the Issuer Cash Balance set forth in the Estimated Closing Statement as of such fifth (5th) Business Day prior to the Closing Date shall be deemed the final Issuer Cash Balance for purposes of calculating the Issuer Excess Cash.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2.03 Acquiror Cash Election. </w:t>
      </w:r>
      <w:r>
        <w:rPr>
          <w:rFonts w:ascii="Times New Roman" w:cs="Times New Roman" w:eastAsia="Times New Roman" w:hAnsi="Times New Roman"/>
          <w:sz w:val="18"/>
          <w:szCs w:val="18"/>
          <w:color w:val="auto"/>
        </w:rPr>
        <w:t>Notwithstanding anything to the contrary in this Agreement, the Acquiror shall have the option to elect,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close of business two (2) Business Days prior to the Closing Date, to substitute an amount of Cash in lieu of all or a portion of the Holder Shares otherwise deliverable to each Holder pursuant to Section 2.01(a) (the “</w:t>
      </w:r>
      <w:r>
        <w:rPr>
          <w:rFonts w:ascii="Times New Roman" w:cs="Times New Roman" w:eastAsia="Times New Roman" w:hAnsi="Times New Roman"/>
          <w:sz w:val="18"/>
          <w:szCs w:val="18"/>
          <w:b w:val="1"/>
          <w:bCs w:val="1"/>
          <w:i w:val="1"/>
          <w:iCs w:val="1"/>
          <w:color w:val="auto"/>
        </w:rPr>
        <w:t>Acquiror Cash Election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 Acquiror Cash Election shall be subject to the following terms: (a) every Holder shall receive the same proportion of its respective Consideration in Cash and in Holder Shares; (b) regardless of the Acquiror Stock Price, the proportion of the Consideration satisfied in Cash shall be calculated assuming the First Lien Holder Shares are worth the First Lien Holder Aggregate Stock Consideration Amount and the Second Lien Holder Shares are worth the Second Lien Holder Aggregate Stock Consideration Amount; and (c) in the event the Acquiror Closing VWAP is greater than $12 per share, the Acquiror shall not be entitled to substitute Cash for more than fifty percent (50%) of such Holder Shares. By way of example, if the First Lien Holder Aggregate Stock Consideration Amount is $178,007,733.68, the Second Lien Holder Aggregate Stock Consideration Amount is $83,207,733.68, the Acquiror Closing VWAP is greater than $12 per share and the Acquiror elects to substitute Cash for fifty percent (50%) of the Holder Shares, the Acquiror will deliver $89,003,866.84 of Cash and fifty percent (50%) of the First Lien Holder Shares to the Holders of the First Lien Secured Notes and $41,603,866.84 of Cash and fifty percent (50%) of the Second Lien Holder Shares to the Holders of the Second Lien Secured Notes, in aggregate. In addition, if the amount of Holder Shares to be received by any Holder would exceed 9.9% of the outstanding shares of Acquiror Common Stock, then Acquiror shall substitute an amount of Cash in lieu of all Holder Shares to be issued in excess of 9.9% to such Holder pursuant to Section 2.01(a).</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2.04 Issuance of Holder Shares. </w:t>
      </w:r>
      <w:r>
        <w:rPr>
          <w:rFonts w:ascii="Times New Roman" w:cs="Times New Roman" w:eastAsia="Times New Roman" w:hAnsi="Times New Roman"/>
          <w:sz w:val="18"/>
          <w:szCs w:val="18"/>
          <w:color w:val="auto"/>
        </w:rPr>
        <w:t>On the Closing Date, the Acquiror shall issue and deliver to each Holder its Holder Shares, which shall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Closing be eligible for resale pursuant to an effective registration statement filed by the Acquiror with the SEC. Acquiror shall use commercially reasonable efforts to deliver the Holder Shares without a restrictive legend through a one-sided Deposit/Withdrawal at Custodian in accordance with the procedures of The Depository Trust Company, or, if necessary, Acquiror shall cooperate with the Holders to remove any restrictive legends promptly after effectiveness of the registration statement.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2.05 Surrender of Secured Notes. </w:t>
      </w:r>
      <w:r>
        <w:rPr>
          <w:rFonts w:ascii="Times New Roman" w:cs="Times New Roman" w:eastAsia="Times New Roman" w:hAnsi="Times New Roman"/>
          <w:sz w:val="18"/>
          <w:szCs w:val="18"/>
          <w:color w:val="auto"/>
        </w:rPr>
        <w:t>On or prior to the Closing Date, each Holder shall surrender and deliver, or cause its Depository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participant(s) to surrender and deliver, the Secured Notes held by such Holder to the trustee of the Secured Notes for cancellation through the one-sided withdrawal instructions pursuant to the Deposit/Withdrawal at Custodian system at DTC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in accordance with the procedures of DTC, and Issuer shall instruct the trustee of the Secured Notes to cancel such surrendered Secured Notes and deliver an instrument of cancellation reasonably satisfactory to the Issuer and the Acquiror, and the Issuer shall provide evidence of such surrender in form and substance satisfactory to the Acquiror.</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2.06 Satisfaction in Full. </w:t>
      </w:r>
      <w:r>
        <w:rPr>
          <w:rFonts w:ascii="Times New Roman" w:cs="Times New Roman" w:eastAsia="Times New Roman" w:hAnsi="Times New Roman"/>
          <w:sz w:val="18"/>
          <w:szCs w:val="18"/>
          <w:color w:val="auto"/>
        </w:rPr>
        <w:t>Upon delivery of the Consideration to each Holder, all obligations of the Issuer to such Holder arising 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Secured Notes and the Notes Documents, including all principal, premium, accrued interest, and any other amounts due thereunder, shall thereupon be fully, irrevocably and indefeasibly satisfied, discharged, and extinguished in full and the Secured Notes and all of the Note Documents will terminate and be of no further force and effect. Each Holder of Secured Notes waives rights to any notice required under such Holder’s Secured Notes and the Note Documents and any associated note purchase agreement. Each Secured Note shall be deemed amended to provide for the treatment set forth in this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2.07 Closing. </w:t>
      </w:r>
      <w:r>
        <w:rPr>
          <w:rFonts w:ascii="Times New Roman" w:cs="Times New Roman" w:eastAsia="Times New Roman" w:hAnsi="Times New Roman"/>
          <w:sz w:val="18"/>
          <w:szCs w:val="18"/>
          <w:color w:val="auto"/>
        </w:rPr>
        <w:t>The Closing shall take place at the offices of Latham &amp; Watkins LLP, 505 Montgomery Street, Suite 2000, San Francisco,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94111 or at such other location or by remote electronic exchange of documents and signatures as the Parties may mutually agree, on the date that is the closing date of the transactions contemplated under the Merger Agreement, or at such other time and place as the Parties may mutually agree in writing.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III.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Release by Parties.</w:t>
      </w:r>
    </w:p>
    <w:p>
      <w:pPr>
        <w:spacing w:after="0" w:line="229" w:lineRule="exact"/>
        <w:rPr>
          <w:sz w:val="20"/>
          <w:szCs w:val="20"/>
          <w:color w:val="auto"/>
        </w:rPr>
      </w:pPr>
    </w:p>
    <w:p>
      <w:pPr>
        <w:jc w:val="both"/>
        <w:ind w:left="1040" w:hanging="384"/>
        <w:spacing w:after="0" w:line="252" w:lineRule="auto"/>
        <w:tabs>
          <w:tab w:leader="none" w:pos="1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Closing (including, for the avoidance of doubt, in the event the Closing occurs under the circumstances described in the proviso in Section 5.02(f)), each Party, on behalf of itself and its respective parents, subsidiaries, Affiliates, stockholders, members, managers, partners, limited partners, general partners, directors, officers, managed accounts, management companies, funds advisors, successors, assigns, heirs, executors, administrators, agents, representatives, attorneys, and any Person claiming by, through, or under any of them (collectively, the “</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hereby irrevocably and unconditionally releases, acquits, and forever discharges each other Party, and each of their respective past, present, and future parents, subsidiaries, Affiliates, stockholders, members, managers, partners, limited partners, general partners, directors, officers, employees, managed accounts, management companies, funds advisors, agents, representatives, attorneys, successors, assigns, heirs, executors and administrators (collectively,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from any and all claims, demands, actions, causes of action, suits, damages, liabilities, obligations, costs, expenses, and compensation of any kind or nature whatsoever, whether known or unknown, suspected or unsuspected, fixed or contingent, liquidated or unliquidated, matured or unmatured, at law or in equity, that such Releasing Parties ever had, now have, or may hereafter have against (i) the Acquiror and any of its Released Parties or (ii) any of the other Released Parties to the extent arising out of, relating to, or in connection with the transactions contemplated by this Agreement and the Merger Agreement, the Issuer, the Secured Notes, the Notes Documents, the 2026 Convertible Notes (including, for the avoidance of doubt, the transactions effected by the Issuer to exchange certain of the 2026 Convertible Notes for First Lien Secured Notes and Second Lien Secured Notes in, respectively, 2024 and 2025), any other debt securities or obligations issued by the Issuer or any transaction or matter related thereto (collectively, the “</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Notwithstanding anything to the contrary in the foregoing, the releases set forth above do not release (a) any obligations arising on or after the Closing of any Party under this Agreement or the Merger Agreement, or any document, instrument, or agreement executed to implement the Merger or (b) any liability of a Party for Fraud by such Party.</w:t>
      </w:r>
    </w:p>
    <w:p>
      <w:pPr>
        <w:spacing w:after="0" w:line="190" w:lineRule="exact"/>
        <w:rPr>
          <w:rFonts w:ascii="Times New Roman" w:cs="Times New Roman" w:eastAsia="Times New Roman" w:hAnsi="Times New Roman"/>
          <w:sz w:val="18"/>
          <w:szCs w:val="18"/>
          <w:color w:val="auto"/>
        </w:rPr>
      </w:pPr>
    </w:p>
    <w:p>
      <w:pPr>
        <w:jc w:val="both"/>
        <w:ind w:left="1040" w:hanging="384"/>
        <w:spacing w:after="0" w:line="269" w:lineRule="auto"/>
        <w:tabs>
          <w:tab w:leader="none" w:pos="10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ON BEHALF OF THE APPLICABLE RELEASING PARTIES, EXPRESSLY IRREVOCABLY WAIVES ALL RIGHTS AFFORDED BY ANY STATUTE OR COMMON LAW PRINCIPLES WHICH LIMITS THE EFFECT OF A RELEASE WITH RESPECT TO UNKNOWN CLAIMS, INCLUDING ALL RIGHTS UNDER SECTION 1542 OF THE CALIFORNIA CIVIL CODE,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EACH PARTY, ON BEHALF OF THE APPLICABLE RELEASING, ACKNOWLEDGES THAT HE, SHE OR IT IS FAMILIAR WITH SECTION 1542 OF THE CALIFORNIA CIVIL CODE AND UNDERSTANDS THE SIGNIFICANCE OF THIS RELEASE OF UNKNOWN CLAIMS AND WAIVER OF ANY STATUTORY PROTECTION AGAINST A RELEASE OF UNKNOWN CLAIMS. EACH PARTY, ON BEHALF OF THE APPLICABLE RELEASING PARTIES, ACKNOWLEDGES AND AGREES THAT THIS WAIVER IS AN ESSENTIAL AND MATERIAL TERM OF THIS AGREEMENT.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3.02 Covenant Not to Sue. </w:t>
      </w:r>
      <w:r>
        <w:rPr>
          <w:rFonts w:ascii="Times New Roman" w:cs="Times New Roman" w:eastAsia="Times New Roman" w:hAnsi="Times New Roman"/>
          <w:sz w:val="18"/>
          <w:szCs w:val="18"/>
          <w:color w:val="auto"/>
        </w:rPr>
        <w:t>Each of the Releasing Parties covenants and agrees that it will not, and will cause each of its controlled Affiliates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institute any action, suit, or proceeding against any Released Party with respect to any Released Claim.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4.01 Representations and Warranties of the Issuer. </w:t>
      </w:r>
      <w:r>
        <w:rPr>
          <w:rFonts w:ascii="Times New Roman" w:cs="Times New Roman" w:eastAsia="Times New Roman" w:hAnsi="Times New Roman"/>
          <w:sz w:val="18"/>
          <w:szCs w:val="18"/>
          <w:color w:val="auto"/>
        </w:rPr>
        <w:t>The Issuer hereby represents and warrants to the Holders and the Acquiror as follows:</w:t>
      </w:r>
    </w:p>
    <w:p>
      <w:pPr>
        <w:spacing w:after="0" w:line="225" w:lineRule="exact"/>
        <w:rPr>
          <w:sz w:val="20"/>
          <w:szCs w:val="20"/>
          <w:color w:val="auto"/>
        </w:rPr>
      </w:pPr>
    </w:p>
    <w:p>
      <w:pPr>
        <w:ind w:left="1040" w:right="20" w:hanging="384"/>
        <w:spacing w:after="0" w:line="286" w:lineRule="auto"/>
        <w:tabs>
          <w:tab w:leader="none" w:pos="1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The Issuer is a corporation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w:t>
      </w:r>
    </w:p>
    <w:p>
      <w:pPr>
        <w:spacing w:after="0" w:line="154" w:lineRule="exact"/>
        <w:rPr>
          <w:rFonts w:ascii="Times New Roman" w:cs="Times New Roman" w:eastAsia="Times New Roman" w:hAnsi="Times New Roman"/>
          <w:sz w:val="18"/>
          <w:szCs w:val="18"/>
          <w:color w:val="auto"/>
        </w:rPr>
      </w:pPr>
    </w:p>
    <w:p>
      <w:pPr>
        <w:jc w:val="both"/>
        <w:ind w:left="1040" w:hanging="384"/>
        <w:spacing w:after="0" w:line="259" w:lineRule="auto"/>
        <w:tabs>
          <w:tab w:leader="none" w:pos="1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The Issuer has full corporate power and authority to execute, deliver, and perform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execution, delivery, and performance of this Agreement by the Issuer have been duly authorized by all necessary corporate action. This Agreement constitutes the legal, valid, and binding obligation of the Issuer, enforceable against the Issuer in accordance with its terms, except as such enforceability may be limited by applicable bankruptcy, insolvency, reorganization, moratorium, or similar laws affecting creditors’ rights generally and by general principles of equity.</w:t>
      </w:r>
    </w:p>
    <w:p>
      <w:pPr>
        <w:spacing w:after="0" w:line="179" w:lineRule="exact"/>
        <w:rPr>
          <w:rFonts w:ascii="Times New Roman" w:cs="Times New Roman" w:eastAsia="Times New Roman" w:hAnsi="Times New Roman"/>
          <w:sz w:val="18"/>
          <w:szCs w:val="18"/>
          <w:color w:val="auto"/>
        </w:rPr>
      </w:pPr>
    </w:p>
    <w:p>
      <w:pPr>
        <w:jc w:val="both"/>
        <w:ind w:left="1040" w:hanging="384"/>
        <w:spacing w:after="0" w:line="262" w:lineRule="auto"/>
        <w:tabs>
          <w:tab w:leader="none" w:pos="1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Conflicts. </w:t>
      </w:r>
      <w:r>
        <w:rPr>
          <w:rFonts w:ascii="Times New Roman" w:cs="Times New Roman" w:eastAsia="Times New Roman" w:hAnsi="Times New Roman"/>
          <w:sz w:val="18"/>
          <w:szCs w:val="18"/>
          <w:color w:val="auto"/>
        </w:rPr>
        <w:t>The execution, delivery, and performance of this Agreement by the Issuer do not and will not (i) violate or conflict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bylaws of the Issuer, (ii) violate any law, order, judgment, or decree applicable to the Issuer, or (iii) require any consent, approval, or authorization of, or filing with, any Governmental Authority that has not been obtained or made, subject to compliance with the applicable requirements of U.S. state and federal securities laws.</w:t>
      </w:r>
    </w:p>
    <w:p>
      <w:pPr>
        <w:spacing w:after="0" w:line="176" w:lineRule="exact"/>
        <w:rPr>
          <w:rFonts w:ascii="Times New Roman" w:cs="Times New Roman" w:eastAsia="Times New Roman" w:hAnsi="Times New Roman"/>
          <w:sz w:val="18"/>
          <w:szCs w:val="18"/>
          <w:color w:val="auto"/>
        </w:rPr>
      </w:pPr>
    </w:p>
    <w:p>
      <w:pPr>
        <w:jc w:val="both"/>
        <w:ind w:left="1040" w:hanging="384"/>
        <w:spacing w:after="0" w:line="262" w:lineRule="auto"/>
        <w:tabs>
          <w:tab w:leader="none" w:pos="1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 Filings. </w:t>
      </w:r>
      <w:r>
        <w:rPr>
          <w:rFonts w:ascii="Times New Roman" w:cs="Times New Roman" w:eastAsia="Times New Roman" w:hAnsi="Times New Roman"/>
          <w:sz w:val="18"/>
          <w:szCs w:val="18"/>
          <w:color w:val="auto"/>
        </w:rPr>
        <w:t>The Issuer has filed all reports, schedules, forms, statements, and other documents required to be filed by it with the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Exchange Act since January 1, 2024. As of their respective filing dates (or, if amended or superseded by a subsequent filing, as of the date of the last such amendment or superseding filing), such filings complied in all material respects with the requirements of the Exchange Act and the rules and regulations promulgated thereunder.</w:t>
      </w:r>
    </w:p>
    <w:p>
      <w:pPr>
        <w:spacing w:after="0" w:line="176" w:lineRule="exact"/>
        <w:rPr>
          <w:rFonts w:ascii="Times New Roman" w:cs="Times New Roman" w:eastAsia="Times New Roman" w:hAnsi="Times New Roman"/>
          <w:sz w:val="18"/>
          <w:szCs w:val="18"/>
          <w:color w:val="auto"/>
        </w:rPr>
      </w:pPr>
    </w:p>
    <w:p>
      <w:pPr>
        <w:ind w:left="1040" w:hanging="384"/>
        <w:spacing w:after="0" w:line="286" w:lineRule="auto"/>
        <w:tabs>
          <w:tab w:leader="none" w:pos="10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The Issuer acknowledges and agrees that the Consideration constitutes fair consideration and reasonably equivalent value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cancellation and release of the Secured Notes and the other obligations, rights and interests affected hereby.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4.02 Representations and Warranties of the Acquiror. </w:t>
      </w:r>
      <w:r>
        <w:rPr>
          <w:rFonts w:ascii="Times New Roman" w:cs="Times New Roman" w:eastAsia="Times New Roman" w:hAnsi="Times New Roman"/>
          <w:sz w:val="18"/>
          <w:szCs w:val="18"/>
          <w:color w:val="auto"/>
        </w:rPr>
        <w:t>The Acquiror hereby represents and warrants to the Holders and the Issuer as follows:</w:t>
      </w:r>
    </w:p>
    <w:p>
      <w:pPr>
        <w:spacing w:after="0" w:line="225" w:lineRule="exact"/>
        <w:rPr>
          <w:sz w:val="20"/>
          <w:szCs w:val="20"/>
          <w:color w:val="auto"/>
        </w:rPr>
      </w:pPr>
    </w:p>
    <w:p>
      <w:pPr>
        <w:ind w:left="1040" w:hanging="384"/>
        <w:spacing w:after="0" w:line="286" w:lineRule="auto"/>
        <w:tabs>
          <w:tab w:leader="none" w:pos="10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The Acquiror is a corporation duly organized,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Delaware.</w:t>
      </w:r>
    </w:p>
    <w:p>
      <w:pPr>
        <w:spacing w:after="0" w:line="154" w:lineRule="exact"/>
        <w:rPr>
          <w:rFonts w:ascii="Times New Roman" w:cs="Times New Roman" w:eastAsia="Times New Roman" w:hAnsi="Times New Roman"/>
          <w:sz w:val="18"/>
          <w:szCs w:val="18"/>
          <w:color w:val="auto"/>
        </w:rPr>
      </w:pPr>
    </w:p>
    <w:p>
      <w:pPr>
        <w:jc w:val="both"/>
        <w:ind w:left="1040" w:hanging="384"/>
        <w:spacing w:after="0" w:line="259" w:lineRule="auto"/>
        <w:tabs>
          <w:tab w:leader="none" w:pos="10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The Acquiror has full corporate power and authority to execute, deliver, and perform its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execution, delivery, and performance of this Agreement by the Acquiror have been duly authorized by all necessary corporate action. This Agreement constitutes the legal, valid, and binding obligation of the Acquiror, enforceable against the Acquiror in accordance with its terms, except as such enforceability may be limited by applicable bankruptcy, insolvency, reorganization, moratorium, or similar laws affecting creditors’ rights generally and by general principles of equity.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jc w:val="both"/>
        <w:ind w:left="384" w:hanging="384"/>
        <w:spacing w:after="0" w:line="262" w:lineRule="auto"/>
        <w:tabs>
          <w:tab w:leader="none" w:pos="3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Conflicts. </w:t>
      </w:r>
      <w:r>
        <w:rPr>
          <w:rFonts w:ascii="Times New Roman" w:cs="Times New Roman" w:eastAsia="Times New Roman" w:hAnsi="Times New Roman"/>
          <w:sz w:val="18"/>
          <w:szCs w:val="18"/>
          <w:color w:val="auto"/>
        </w:rPr>
        <w:t>The execution, delivery, and performance of this Agreement by the Acquiror do not and will not (i) violate or conflict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bylaws of the Acquiror, (ii) violate any law, order, judgment, or decree applicable to the Acquiror, or (iii) require any consent, approval, or authorization of, or filing with, any Governmental Authority that has not been obtained or made, subject to compliance with the applicable requirements of applicable U.S. state or federal securities laws.</w:t>
      </w:r>
    </w:p>
    <w:p>
      <w:pPr>
        <w:spacing w:after="0" w:line="176" w:lineRule="exact"/>
        <w:rPr>
          <w:rFonts w:ascii="Times New Roman" w:cs="Times New Roman" w:eastAsia="Times New Roman" w:hAnsi="Times New Roman"/>
          <w:sz w:val="18"/>
          <w:szCs w:val="18"/>
          <w:color w:val="auto"/>
        </w:rPr>
      </w:pPr>
    </w:p>
    <w:p>
      <w:pPr>
        <w:jc w:val="both"/>
        <w:ind w:left="384" w:hanging="384"/>
        <w:spacing w:after="0" w:line="254" w:lineRule="auto"/>
        <w:tabs>
          <w:tab w:leader="none" w:pos="3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 Issuance of Holder Shares. </w:t>
      </w:r>
      <w:r>
        <w:rPr>
          <w:rFonts w:ascii="Times New Roman" w:cs="Times New Roman" w:eastAsia="Times New Roman" w:hAnsi="Times New Roman"/>
          <w:sz w:val="18"/>
          <w:szCs w:val="18"/>
          <w:color w:val="auto"/>
        </w:rPr>
        <w:t>The Holder Shares, when issued in accordance with this Agreement, will be duly authorized,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fully paid, and non-assessable, and will be free and clear of all Liens (other than restrictions arising under the Securities Act, other applicable securities laws or this Agreement). The issuance of the Holder Shares pursuant to this Agreement will not cause the Acquiror to exceed its authorized capital stock. The Acquiror Common Stock is registered under Section 12(b) of the Exchange Act and is listed on the Nasdaq, and the Acquiror has not received any notice of delisting. No judgment, order, ruling, regulation, decree, injunction, or award of any securities commission or similar securities regulatory authority or any other Governmental Authority, or of the Nasdaq, preventing or suspending trading in any securities of the Acquiror has been issued, and no proceedings for such purpose are, to the knowledge of the Acquiror, pending, contemplated or threatened. The transactions contemplated hereby do not require any vote of the equityholders of the Acquiror under applicable law, the rules and regulations of the Nasdaq or the governing documents of the Acquiror.</w:t>
      </w:r>
    </w:p>
    <w:p>
      <w:pPr>
        <w:spacing w:after="0" w:line="188" w:lineRule="exact"/>
        <w:rPr>
          <w:rFonts w:ascii="Times New Roman" w:cs="Times New Roman" w:eastAsia="Times New Roman" w:hAnsi="Times New Roman"/>
          <w:sz w:val="18"/>
          <w:szCs w:val="18"/>
          <w:color w:val="auto"/>
        </w:rPr>
      </w:pPr>
    </w:p>
    <w:p>
      <w:pPr>
        <w:jc w:val="both"/>
        <w:ind w:left="384" w:hanging="384"/>
        <w:spacing w:after="0" w:line="259" w:lineRule="auto"/>
        <w:tabs>
          <w:tab w:leader="none" w:pos="3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 Filings. </w:t>
      </w:r>
      <w:r>
        <w:rPr>
          <w:rFonts w:ascii="Times New Roman" w:cs="Times New Roman" w:eastAsia="Times New Roman" w:hAnsi="Times New Roman"/>
          <w:sz w:val="18"/>
          <w:szCs w:val="18"/>
          <w:color w:val="auto"/>
        </w:rPr>
        <w:t>The Acquiror has filed or furnished all reports, schedules, forms, statements, and other documents required to be filed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by it with the SEC pursuant to the Exchange Act since January 1, 2024. As of their respective filing dates (or, if amended or superseded by a subsequent filing, as of the date of the last such amendment or superseding filing), such filings complied in all material respects with the requirements of the Exchange Act or the Securities Act, as the case may be, and the rules and regulations promulgated thereunder.</w:t>
      </w:r>
    </w:p>
    <w:p>
      <w:pPr>
        <w:spacing w:after="0" w:line="179" w:lineRule="exact"/>
        <w:rPr>
          <w:rFonts w:ascii="Times New Roman" w:cs="Times New Roman" w:eastAsia="Times New Roman" w:hAnsi="Times New Roman"/>
          <w:sz w:val="18"/>
          <w:szCs w:val="18"/>
          <w:color w:val="auto"/>
        </w:rPr>
      </w:pPr>
    </w:p>
    <w:p>
      <w:pPr>
        <w:ind w:left="384" w:hanging="384"/>
        <w:spacing w:after="0" w:line="286" w:lineRule="auto"/>
        <w:tabs>
          <w:tab w:leader="none" w:pos="3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The Acquiror acknowledges and agrees that the Consideration constitutes fair consideration and reasonably equivalent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cancellation and release of the Secured Notes and the other obligations, rights and interests affected hereby.</w:t>
      </w:r>
    </w:p>
    <w:p>
      <w:pPr>
        <w:spacing w:after="0" w:line="154" w:lineRule="exact"/>
        <w:rPr>
          <w:rFonts w:ascii="Times New Roman" w:cs="Times New Roman" w:eastAsia="Times New Roman" w:hAnsi="Times New Roman"/>
          <w:sz w:val="18"/>
          <w:szCs w:val="18"/>
          <w:color w:val="auto"/>
        </w:rPr>
      </w:pPr>
    </w:p>
    <w:p>
      <w:pPr>
        <w:jc w:val="both"/>
        <w:ind w:left="384" w:hanging="384"/>
        <w:spacing w:after="0" w:line="257" w:lineRule="auto"/>
        <w:tabs>
          <w:tab w:leader="none" w:pos="3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Acquiror Status. </w:t>
      </w:r>
      <w:r>
        <w:rPr>
          <w:rFonts w:ascii="Times New Roman" w:cs="Times New Roman" w:eastAsia="Times New Roman" w:hAnsi="Times New Roman"/>
          <w:sz w:val="18"/>
          <w:szCs w:val="18"/>
          <w:color w:val="auto"/>
        </w:rPr>
        <w:t>As of the date of this Agreement, Acquiror is a “well-known seasoned issuer” as defined in Rule 405 under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and is currently eligible to register the resale of the Holder Shares for resale by the Holders on automatically effective Form S-3 promulgated under the Securities Act. As of the date of this Agreement, the Acquiror Common Stock is registered pursuant to Section 12(b) of the Exchange Act, and neither Acquiror nor any of its subsidiaries has taken, or will take, any action designed to terminate, or that is likely to have the effect of terminating, the registration of the Acquiror Common Stock under the Exchange Act; nor has Acquiror nor any of its subsidiaries received any notification that the SEC is contemplating terminating such registration.</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15" w:name="page116"/>
    <w:bookmarkEnd w:id="115"/>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4.03 Representations and Warranties of the Holders. </w:t>
      </w:r>
      <w:r>
        <w:rPr>
          <w:rFonts w:ascii="Times New Roman" w:cs="Times New Roman" w:eastAsia="Times New Roman" w:hAnsi="Times New Roman"/>
          <w:sz w:val="18"/>
          <w:szCs w:val="18"/>
          <w:color w:val="auto"/>
        </w:rPr>
        <w:t>Each Holder, severally and not jointly, hereby represents and warrants to and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agrees with the Issuer and the Acquiror as follows:</w:t>
      </w:r>
    </w:p>
    <w:p>
      <w:pPr>
        <w:spacing w:after="0" w:line="155" w:lineRule="exact"/>
        <w:rPr>
          <w:sz w:val="20"/>
          <w:szCs w:val="20"/>
          <w:color w:val="auto"/>
        </w:rPr>
      </w:pPr>
    </w:p>
    <w:p>
      <w:pPr>
        <w:ind w:left="1040" w:right="20" w:hanging="384"/>
        <w:spacing w:after="0" w:line="286"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and Good Standing. </w:t>
      </w:r>
      <w:r>
        <w:rPr>
          <w:rFonts w:ascii="Times New Roman" w:cs="Times New Roman" w:eastAsia="Times New Roman" w:hAnsi="Times New Roman"/>
          <w:sz w:val="18"/>
          <w:szCs w:val="18"/>
          <w:color w:val="auto"/>
        </w:rPr>
        <w:t>It is duly organized, validly existing, and in good standing under the laws of its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w:t>
      </w:r>
    </w:p>
    <w:p>
      <w:pPr>
        <w:spacing w:after="0" w:line="154" w:lineRule="exact"/>
        <w:rPr>
          <w:rFonts w:ascii="Times New Roman" w:cs="Times New Roman" w:eastAsia="Times New Roman" w:hAnsi="Times New Roman"/>
          <w:sz w:val="18"/>
          <w:szCs w:val="18"/>
          <w:color w:val="auto"/>
        </w:rPr>
      </w:pPr>
    </w:p>
    <w:p>
      <w:pPr>
        <w:jc w:val="both"/>
        <w:ind w:left="1040" w:hanging="384"/>
        <w:spacing w:after="0" w:line="259"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Enforceability. </w:t>
      </w:r>
      <w:r>
        <w:rPr>
          <w:rFonts w:ascii="Times New Roman" w:cs="Times New Roman" w:eastAsia="Times New Roman" w:hAnsi="Times New Roman"/>
          <w:sz w:val="18"/>
          <w:szCs w:val="18"/>
          <w:color w:val="auto"/>
        </w:rPr>
        <w:t>Such Holder has full power and authority to execute, deliver, and perform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execution, delivery, and performance of this Agreement by such Holder have been duly authorized by all necessary action. This Agreement constitutes the legal, valid, and binding obligation of such Holder, enforceable against such Holder in accordance with its terms, except as such enforceability may be limited by applicable bankruptcy, insolvency, reorganization, moratorium, or similar laws affecting creditors’ rights generally and by general principles of equity.</w:t>
      </w:r>
    </w:p>
    <w:p>
      <w:pPr>
        <w:spacing w:after="0" w:line="179" w:lineRule="exact"/>
        <w:rPr>
          <w:rFonts w:ascii="Times New Roman" w:cs="Times New Roman" w:eastAsia="Times New Roman" w:hAnsi="Times New Roman"/>
          <w:sz w:val="18"/>
          <w:szCs w:val="18"/>
          <w:color w:val="auto"/>
        </w:rPr>
      </w:pPr>
    </w:p>
    <w:p>
      <w:pPr>
        <w:jc w:val="both"/>
        <w:ind w:left="1040" w:hanging="384"/>
        <w:spacing w:after="0" w:line="252"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of Secured Notes. </w:t>
      </w:r>
      <w:r>
        <w:rPr>
          <w:rFonts w:ascii="Times New Roman" w:cs="Times New Roman" w:eastAsia="Times New Roman" w:hAnsi="Times New Roman"/>
          <w:sz w:val="18"/>
          <w:szCs w:val="18"/>
          <w:color w:val="auto"/>
        </w:rPr>
        <w:t>Such Holder is the direct legal or beneficial owner of the Secured Notes or is the nominee,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manager, or advisor for beneficial holders of the Secured Notes, as set forth opposite its name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free and clear of all Liens, other than customary Liens attributable to securities or notes held by a bank, prime-broker, or broker-dealer on behalf of a Holder. Except as otherwise permitted hereunder, such Holder has not assigned, transferred, pledged, hypothecated, or otherwise disposed of any interest in such Secured Notes, other than customary Liens attributable to securities or notes held by a bank, prime-broker, or broker-dealer on behalf of a Holder. As of the date of this Agreement, other than customary Liens attributable to securities or notes held by a bank, prime-broker, or broker-dealer on behalf of a Holder, such Holder has not, in whole or in part, (i) assigned, transferred, hypothecated, pledged or otherwise disposed of all or any portion of its Secured Notes or its rights in or to all or any portion of its Secured Notes, or (ii) given any person or entity any transfer order, power of attorney or other authority of any nature whatsoever with respect to all or any portion of its Secured Notes which would limit such Holder’s power to surrender its Secured Notes hereunder in exchange for Holder’s respective portion of the Consideration. Such Holder covenants that it shall not take any of the actions set forth in the immediately preceding sentence. Such Holder has the full power and authority to surrender its Secured Notes as provided in this Agreement and its Secured Notes are not subject to any agreement, arrangement or restriction with respect thereto, other than customary Liens attributable to securities or notes held by a bank, prime-broker, or broker-dealer on behalf of a Holder. No additional consideration for any purpose shall be due to such Holder at the Closing with respect to its Secured Notes, other than the payment to such Holder of its respective portion of the Consideration as provided herein. As of the date of this Agreement, no event of default under the terms of such Holder’s Secured Notes has been declared by such Holder under its Secured Note and, to the knowledge of such Holder, no event of default under the terms of such Holder’s Secured Notes exists or is continuing with respect to its Secured Notes.</w:t>
      </w:r>
    </w:p>
    <w:p>
      <w:pPr>
        <w:spacing w:after="0" w:line="191" w:lineRule="exact"/>
        <w:rPr>
          <w:rFonts w:ascii="Times New Roman" w:cs="Times New Roman" w:eastAsia="Times New Roman" w:hAnsi="Times New Roman"/>
          <w:sz w:val="18"/>
          <w:szCs w:val="18"/>
          <w:color w:val="auto"/>
        </w:rPr>
      </w:pPr>
    </w:p>
    <w:p>
      <w:pPr>
        <w:ind w:left="1040" w:hanging="384"/>
        <w:spacing w:after="0" w:line="286"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Accredited Investor Status. </w:t>
      </w:r>
      <w:r>
        <w:rPr>
          <w:rFonts w:ascii="Times New Roman" w:cs="Times New Roman" w:eastAsia="Times New Roman" w:hAnsi="Times New Roman"/>
          <w:sz w:val="18"/>
          <w:szCs w:val="18"/>
          <w:color w:val="auto"/>
        </w:rPr>
        <w:t>Such Holder is an “accredited investor” as defined in Rule 501(a) of Regulation D promulgated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4" w:lineRule="exact"/>
        <w:rPr>
          <w:rFonts w:ascii="Times New Roman" w:cs="Times New Roman" w:eastAsia="Times New Roman" w:hAnsi="Times New Roman"/>
          <w:sz w:val="18"/>
          <w:szCs w:val="18"/>
          <w:color w:val="auto"/>
        </w:rPr>
      </w:pPr>
    </w:p>
    <w:p>
      <w:pPr>
        <w:jc w:val="both"/>
        <w:ind w:left="1040" w:hanging="384"/>
        <w:spacing w:after="0" w:line="259" w:lineRule="auto"/>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 Position</w:t>
      </w:r>
      <w:r>
        <w:rPr>
          <w:rFonts w:ascii="Times New Roman" w:cs="Times New Roman" w:eastAsia="Times New Roman" w:hAnsi="Times New Roman"/>
          <w:sz w:val="18"/>
          <w:szCs w:val="18"/>
          <w:color w:val="auto"/>
        </w:rPr>
        <w:t>. As of the date hereof, (i) such Holder does not own, beneficially or of record, greater than 3% of the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par value $0.001 per share, of the Issuer (“</w:t>
      </w:r>
      <w:r>
        <w:rPr>
          <w:rFonts w:ascii="Times New Roman" w:cs="Times New Roman" w:eastAsia="Times New Roman" w:hAnsi="Times New Roman"/>
          <w:sz w:val="18"/>
          <w:szCs w:val="18"/>
          <w:b w:val="1"/>
          <w:bCs w:val="1"/>
          <w:i w:val="1"/>
          <w:iCs w:val="1"/>
          <w:color w:val="auto"/>
        </w:rPr>
        <w:t>Issuer Securities</w:t>
      </w:r>
      <w:r>
        <w:rPr>
          <w:rFonts w:ascii="Times New Roman" w:cs="Times New Roman" w:eastAsia="Times New Roman" w:hAnsi="Times New Roman"/>
          <w:sz w:val="18"/>
          <w:szCs w:val="18"/>
          <w:color w:val="auto"/>
        </w:rPr>
        <w:t>”) and (ii) neither such Holder nor any Affiliate thereof that is managed or advised by the same investment advisor or manager and that does not operate independently of such Holder pursuant to customary “information barriers” (such Affiliate, a “</w:t>
      </w:r>
      <w:r>
        <w:rPr>
          <w:rFonts w:ascii="Times New Roman" w:cs="Times New Roman" w:eastAsia="Times New Roman" w:hAnsi="Times New Roman"/>
          <w:sz w:val="18"/>
          <w:szCs w:val="18"/>
          <w:b w:val="1"/>
          <w:bCs w:val="1"/>
          <w:i w:val="1"/>
          <w:iCs w:val="1"/>
          <w:color w:val="auto"/>
        </w:rPr>
        <w:t>Related Fund</w:t>
      </w:r>
      <w:r>
        <w:rPr>
          <w:rFonts w:ascii="Times New Roman" w:cs="Times New Roman" w:eastAsia="Times New Roman" w:hAnsi="Times New Roman"/>
          <w:sz w:val="18"/>
          <w:szCs w:val="18"/>
          <w:color w:val="auto"/>
        </w:rPr>
        <w:t>”) owns, beneficially or of record, greater than 3% of the issued and outstanding Acquiror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jc w:val="both"/>
        <w:ind w:left="384" w:hanging="384"/>
        <w:spacing w:after="0" w:line="259" w:lineRule="auto"/>
        <w:tabs>
          <w:tab w:leader="none" w:pos="3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Intent. </w:t>
      </w:r>
      <w:r>
        <w:rPr>
          <w:rFonts w:ascii="Times New Roman" w:cs="Times New Roman" w:eastAsia="Times New Roman" w:hAnsi="Times New Roman"/>
          <w:sz w:val="18"/>
          <w:szCs w:val="18"/>
          <w:color w:val="auto"/>
        </w:rPr>
        <w:t>Such Holder is acquiring the Holder Shares for its own account for investment purposes only and not with a view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resale in connection with, any distribution thereof in violation of the Securities Act or any applicable state securities laws. Such Holder understands that the Holder Shares have not been registered under the Securities Act or any state securities laws by reason of a specific exemption therefrom, and that the Holder Shares must be held indefinitely unless subsequently registered under the Securities Act and applicable state securities laws or unless an exemption from such registration is available.</w:t>
      </w:r>
    </w:p>
    <w:p>
      <w:pPr>
        <w:spacing w:after="0" w:line="179" w:lineRule="exact"/>
        <w:rPr>
          <w:rFonts w:ascii="Times New Roman" w:cs="Times New Roman" w:eastAsia="Times New Roman" w:hAnsi="Times New Roman"/>
          <w:sz w:val="18"/>
          <w:szCs w:val="18"/>
          <w:color w:val="auto"/>
        </w:rPr>
      </w:pPr>
    </w:p>
    <w:p>
      <w:pPr>
        <w:jc w:val="both"/>
        <w:ind w:left="384" w:hanging="384"/>
        <w:spacing w:after="0" w:line="252" w:lineRule="auto"/>
        <w:tabs>
          <w:tab w:leader="none" w:pos="3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Information; Sophistication; Independent Investigation. </w:t>
      </w:r>
      <w:r>
        <w:rPr>
          <w:rFonts w:ascii="Times New Roman" w:cs="Times New Roman" w:eastAsia="Times New Roman" w:hAnsi="Times New Roman"/>
          <w:sz w:val="18"/>
          <w:szCs w:val="18"/>
          <w:color w:val="auto"/>
        </w:rPr>
        <w:t>Such Holder has had access to such information relating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finances, and operations of the Acquiror and the terms and conditions of the transactions contemplated hereby (including but not limited to the offer and sale of the Holder Shares) as it deems necessary to make an informed decision. Such Holder has had an opportunity to ask questions of, and receive answers from, the Acquiror regarding such transactions to the extent such Holder deems necessary to make an informed decision. Such Holder has such knowledge and experience in financial and business matters that it is capable of evaluating the merits and risks of the transactions contemplated by this Agreement. Such Holder has made an independent decision to sell its Secured Notes based on all information available to it, which such Holder acknowledges and agrees is adequate to allow it to make such decision. In making the decision to sell its Secured Notes pursuant to this Agreement, such Holder has relied solely upon such Holder’s own independent investigation and diligence and has not relied on any statements, representations or warranties, investigation (including with respect to the accuracy, completeness or adequacy of the Issuer’s and the Acquiror’s public disclosure) or other information provided by or on behalf of (i) any former, current or future, direct or indirect, director, manager, officer, employee, consultant, general or limited partner, member, stockholder, security holder, Affiliates, controlling person, successor, assignee, predecessor, financing source, attorney, advisor, agent or representative (or any of their respective successors or assigns), of the Acquiror, Merger Sub or any of their respective Affiliates, (ii) any former, current or future, direct or indirect, holder of any equity interests or securities of the Acquiror, Merger Sub or any of their respective Affiliates (or any of their respective successors or assigns), or (iii) any former, current or future, direct or indirect, director, manager, officer, employee, consultant, general or limited partner, member, stockholder, security holder, Affiliates, controlling person, successor, assignee, predecessor, financing source, attorney, advisor, agent or representative of any of the foregoing (or any of their respective successors or assigns) concerning the Issuer, the Acquiror, Merger Sub, the transactions contemplated hereby or the risks associated therewith.</w:t>
      </w:r>
    </w:p>
    <w:p>
      <w:pPr>
        <w:spacing w:after="0" w:line="191" w:lineRule="exact"/>
        <w:rPr>
          <w:rFonts w:ascii="Times New Roman" w:cs="Times New Roman" w:eastAsia="Times New Roman" w:hAnsi="Times New Roman"/>
          <w:sz w:val="18"/>
          <w:szCs w:val="18"/>
          <w:color w:val="auto"/>
        </w:rPr>
      </w:pPr>
    </w:p>
    <w:p>
      <w:pPr>
        <w:jc w:val="both"/>
        <w:ind w:left="384" w:hanging="384"/>
        <w:spacing w:after="0" w:line="268" w:lineRule="auto"/>
        <w:tabs>
          <w:tab w:leader="none" w:pos="3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Such Holder is not obtaining the Holder Shares as a result of any advertisement, article, notice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regarding the Acquiror Common Stock published in any newspaper, magazine or similar media or broadcast over television or radio or presented at any seminar or any other general solicitation or general advertisement.</w:t>
      </w:r>
    </w:p>
    <w:p>
      <w:pPr>
        <w:spacing w:after="0" w:line="170" w:lineRule="exact"/>
        <w:rPr>
          <w:rFonts w:ascii="Times New Roman" w:cs="Times New Roman" w:eastAsia="Times New Roman" w:hAnsi="Times New Roman"/>
          <w:sz w:val="18"/>
          <w:szCs w:val="18"/>
          <w:color w:val="auto"/>
        </w:rPr>
      </w:pPr>
    </w:p>
    <w:p>
      <w:pPr>
        <w:ind w:left="384" w:hanging="384"/>
        <w:spacing w:after="0" w:line="286" w:lineRule="auto"/>
        <w:tabs>
          <w:tab w:leader="none" w:pos="3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Broker. </w:t>
      </w:r>
      <w:r>
        <w:rPr>
          <w:rFonts w:ascii="Times New Roman" w:cs="Times New Roman" w:eastAsia="Times New Roman" w:hAnsi="Times New Roman"/>
          <w:sz w:val="18"/>
          <w:szCs w:val="18"/>
          <w:color w:val="auto"/>
        </w:rPr>
        <w:t>Such Holder has not engaged any broker, finder, or investment banker in connection with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4" w:lineRule="exact"/>
        <w:rPr>
          <w:rFonts w:ascii="Times New Roman" w:cs="Times New Roman" w:eastAsia="Times New Roman" w:hAnsi="Times New Roman"/>
          <w:sz w:val="18"/>
          <w:szCs w:val="18"/>
          <w:color w:val="auto"/>
        </w:rPr>
      </w:pPr>
    </w:p>
    <w:p>
      <w:pPr>
        <w:ind w:left="384" w:right="20" w:hanging="384"/>
        <w:spacing w:after="0" w:line="286" w:lineRule="auto"/>
        <w:tabs>
          <w:tab w:leader="none" w:pos="3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18"/>
          <w:szCs w:val="18"/>
          <w:color w:val="auto"/>
        </w:rPr>
        <w:t>Such Holder acknowledges and agrees that the Consideration constitutes fair consideration and reasonably equivalent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cancellation and release of the Secured Notes and the other obligations, rights and interests affected hereby.</w:t>
      </w:r>
    </w:p>
    <w:p>
      <w:pPr>
        <w:spacing w:after="0" w:line="37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Article V. CONDITIONS PRECEDENT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5.01 Conditions to Obligations of All Parties. </w:t>
      </w:r>
      <w:r>
        <w:rPr>
          <w:rFonts w:ascii="Times New Roman" w:cs="Times New Roman" w:eastAsia="Times New Roman" w:hAnsi="Times New Roman"/>
          <w:sz w:val="18"/>
          <w:szCs w:val="18"/>
          <w:color w:val="auto"/>
        </w:rPr>
        <w:t>The obligations of each Party to consummate the transactions contemplated by this Agreement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(or waiver by all Parties) of the following conditions:</w:t>
      </w:r>
    </w:p>
    <w:p>
      <w:pPr>
        <w:spacing w:after="0" w:line="159" w:lineRule="exact"/>
        <w:rPr>
          <w:sz w:val="20"/>
          <w:szCs w:val="20"/>
          <w:color w:val="auto"/>
        </w:rPr>
      </w:pPr>
    </w:p>
    <w:p>
      <w:pPr>
        <w:ind w:left="1040" w:right="20" w:hanging="384"/>
        <w:spacing w:after="0" w:line="282" w:lineRule="auto"/>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 order, decree, or ruling issued by any Governmental Authority of competent jurisdiction shall be in effect that prohibits or restrains the consummation of the transactions contemplated hereby.</w:t>
      </w:r>
    </w:p>
    <w:p>
      <w:pPr>
        <w:spacing w:after="0" w:line="161"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conditions contained in Article 7 of the Merger Agreement, other than the conditions contained in Section 7.2(f), shall have been satisfied (other than conditions that by their nature can only be satisfied at the closing of the Merger) or waived by the Acquiror, Merger Sub or the Issuer or Merger Sub, such that the Merger shall be and is consummated substantially simultaneously with the Closing.</w:t>
      </w:r>
    </w:p>
    <w:p>
      <w:pPr>
        <w:spacing w:after="0" w:line="17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required under applicable securities laws and the rules and regulations of any stock exchange on which the Acquiror Common Stock is listed shall have been made, and all necessary approvals in connection therewith shall have been obtained.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5.02 Conditions to Obligations of the Holders. </w:t>
      </w:r>
      <w:r>
        <w:rPr>
          <w:rFonts w:ascii="Times New Roman" w:cs="Times New Roman" w:eastAsia="Times New Roman" w:hAnsi="Times New Roman"/>
          <w:sz w:val="18"/>
          <w:szCs w:val="18"/>
          <w:color w:val="auto"/>
        </w:rPr>
        <w:t>The obligations of each Holder to consummate the transactions contemplated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the satisfaction (or waiver by such Holder) of the following conditions:</w:t>
      </w:r>
    </w:p>
    <w:p>
      <w:pPr>
        <w:spacing w:after="0" w:line="159" w:lineRule="exact"/>
        <w:rPr>
          <w:sz w:val="20"/>
          <w:szCs w:val="20"/>
          <w:color w:val="auto"/>
        </w:rPr>
      </w:pPr>
    </w:p>
    <w:p>
      <w:pPr>
        <w:jc w:val="both"/>
        <w:ind w:left="1040" w:hanging="384"/>
        <w:spacing w:after="0" w:line="261" w:lineRule="auto"/>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Acquiror set forth in this Agreement shall be true and correct in all material respects as of the Closing Date, except to the extent that any failures of such representations and warranties to be so true and correct, individually or in the aggregate, have not prevented, and do not prevent, the Acquiror from paying the Consideration when due and payable in the accordance with the terms of this Agreement.</w:t>
      </w:r>
    </w:p>
    <w:p>
      <w:pPr>
        <w:spacing w:after="0" w:line="179"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shall have performed and complied in all material respects with all covenants and agreements required to be performed or complied with by them under this Agreement on or prior to the Closing Date.</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paid at the Closing (i) all Holders Counsel Fees incurred through the Closing Date in accordance with Section 8.15 and</w:t>
      </w:r>
    </w:p>
    <w:p>
      <w:pPr>
        <w:spacing w:after="0" w:line="27" w:lineRule="exact"/>
        <w:rPr>
          <w:rFonts w:ascii="Times New Roman" w:cs="Times New Roman" w:eastAsia="Times New Roman" w:hAnsi="Times New Roman"/>
          <w:sz w:val="18"/>
          <w:szCs w:val="18"/>
          <w:color w:val="auto"/>
        </w:rPr>
      </w:pPr>
    </w:p>
    <w:p>
      <w:pPr>
        <w:jc w:val="both"/>
        <w:ind w:left="1040" w:hanging="6"/>
        <w:spacing w:after="0" w:line="255" w:lineRule="auto"/>
        <w:tabs>
          <w:tab w:leader="none" w:pos="131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contemplated by Section 2.01(b) by wire transfer of immediately available funds pursuant to wire instructions provided by each Holder prior to or concurrently with the Closing; provided, that the foregoing clause (ii) shall solely be a condition to the obligations of a Holder of one or more First Lien Secured Notes to consummate the transactions contemplated by this Agreement.</w:t>
      </w:r>
    </w:p>
    <w:p>
      <w:pPr>
        <w:spacing w:after="0" w:line="18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and the Acquiror shall have entered into the registration rights agreement in substantially the form as set forth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Shares shall have been authorized for listing on the Nasdaq, subject to official notice of issuance.</w:t>
      </w:r>
    </w:p>
    <w:p>
      <w:pPr>
        <w:spacing w:after="0" w:line="225" w:lineRule="exact"/>
        <w:rPr>
          <w:rFonts w:ascii="Times New Roman" w:cs="Times New Roman" w:eastAsia="Times New Roman" w:hAnsi="Times New Roman"/>
          <w:sz w:val="18"/>
          <w:szCs w:val="18"/>
          <w:color w:val="auto"/>
        </w:rPr>
      </w:pPr>
    </w:p>
    <w:p>
      <w:pPr>
        <w:jc w:val="both"/>
        <w:ind w:left="1040" w:hanging="384"/>
        <w:spacing w:after="0" w:line="255" w:lineRule="auto"/>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Holders of the First Lien Secured Notes, Holders of the Second Lien Secured Notes shall have substantially contemporaneously consummated the transactions contemplated hereby, and in the case of Holders of the Second Lien Secured Notes, Holders of the First Lien Secured Notes shall have substantially contemporaneously consummated the transactions contemplated hereby;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condition contemplated by this Section 5.02(f) shall be deemed satisfied in the event the Court of Chancery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(or, if such court declines jurisdiction, a federal court of the United States of America sitting in the State of Delaware) imposes or enters any judgment or order requiring Holders refusing to consummate the transactions contemplated hereby to consummate such transactions.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5.03 Conditions to Obligations of the Acquiror. </w:t>
      </w:r>
      <w:r>
        <w:rPr>
          <w:rFonts w:ascii="Times New Roman" w:cs="Times New Roman" w:eastAsia="Times New Roman" w:hAnsi="Times New Roman"/>
          <w:sz w:val="18"/>
          <w:szCs w:val="18"/>
          <w:color w:val="auto"/>
        </w:rPr>
        <w:t>The obligations of the Acquiror to consummate the transactions contemplated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the satisfaction (or waiver by the Issuer and the Acquiror) of the following conditions:</w:t>
      </w:r>
    </w:p>
    <w:p>
      <w:pPr>
        <w:spacing w:after="0" w:line="159" w:lineRule="exact"/>
        <w:rPr>
          <w:sz w:val="20"/>
          <w:szCs w:val="20"/>
          <w:color w:val="auto"/>
        </w:rPr>
      </w:pPr>
    </w:p>
    <w:p>
      <w:pPr>
        <w:ind w:left="1040" w:hanging="384"/>
        <w:spacing w:after="0" w:line="282" w:lineRule="auto"/>
        <w:tabs>
          <w:tab w:leader="none" w:pos="10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of the Holders set forth in this Agreement shall be true and correct in all material respects as of the Closing Date.</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performed and complied in all material respects with all covenants and agreements required to be performed or complied with by such Holder under this Agreement on or prior to the Closing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 SECURITIES LAW MATTERS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6.01 Disclosure. </w:t>
      </w:r>
      <w:r>
        <w:rPr>
          <w:rFonts w:ascii="Times New Roman" w:cs="Times New Roman" w:eastAsia="Times New Roman" w:hAnsi="Times New Roman"/>
          <w:sz w:val="18"/>
          <w:szCs w:val="18"/>
          <w:color w:val="auto"/>
        </w:rPr>
        <w:t>Each Party acknowledges that, to the extent required by applicable law, the rules and regulations of the SEC, or the rules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exchange on which the securities of the Issuer or the Acquiror are listed, the transactions contemplated by this Agreement may be disclosed publicly, including in filings made with the SEC in accordance with the terms of this Agreement; provided, that, the identity of the Holders may not be disclosed without their prior consent (which consent may not be unreasonably withheld, conditioned or delayed) except that a Holder may be named in the Shelf Registration Statement to the extent required by law, unless such Holder has elected to not to include its Holder Shares in the Shelf Registration Statement.</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6.02 Compliance with Securities Laws. </w:t>
      </w:r>
      <w:r>
        <w:rPr>
          <w:rFonts w:ascii="Times New Roman" w:cs="Times New Roman" w:eastAsia="Times New Roman" w:hAnsi="Times New Roman"/>
          <w:sz w:val="18"/>
          <w:szCs w:val="18"/>
          <w:color w:val="auto"/>
        </w:rPr>
        <w:t>Each Holder agrees that it will not offer, sell, pledge, transfer, or otherwise dispose of any Holder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in compliance with the Securities Act, any applicable state securities laws, and any other applicable laws.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 ADDITIONAL COVENANTS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7.01 Further Assurances. </w:t>
      </w:r>
      <w:r>
        <w:rPr>
          <w:rFonts w:ascii="Times New Roman" w:cs="Times New Roman" w:eastAsia="Times New Roman" w:hAnsi="Times New Roman"/>
          <w:sz w:val="18"/>
          <w:szCs w:val="18"/>
          <w:color w:val="auto"/>
        </w:rPr>
        <w:t>Each Party shall execute and deliver such additional documents, instruments, and agreements, and take such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as may be reasonably necessary to effectuate the purposes of this Agreement.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7.02 Public Announcements. </w:t>
      </w:r>
      <w:r>
        <w:rPr>
          <w:rFonts w:ascii="Times New Roman" w:cs="Times New Roman" w:eastAsia="Times New Roman" w:hAnsi="Times New Roman"/>
          <w:sz w:val="18"/>
          <w:szCs w:val="18"/>
          <w:color w:val="auto"/>
        </w:rPr>
        <w:t>The Parties shall consult with each other before issuing any press release or making any public announcement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transactions contemplated by this Agreement and shall not issue any such press release or make any such public announcement without the prior written consent of the other Parties, except as may be required by applicable law, the rules and regulations of the SEC, or the rules of any stock exchange on which the securities of the Issuer or the Acquiror are listed.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7.03 Tax Matters. </w:t>
      </w:r>
      <w:r>
        <w:rPr>
          <w:rFonts w:ascii="Times New Roman" w:cs="Times New Roman" w:eastAsia="Times New Roman" w:hAnsi="Times New Roman"/>
          <w:sz w:val="18"/>
          <w:szCs w:val="18"/>
          <w:color w:val="auto"/>
        </w:rPr>
        <w:t>Each Holder acknowledges and agrees that it (a) has had an opportunity to review with his, her or its own tax advisors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this Agreement, (b) must rely solely on its advisors and not on any statements or representations made by the Acquiror, the Issuer or any of their respective Affiliates, agents or representatives, (c) understands that each Holder (and not the Acquiror, the Issuer or any of their respective Affiliates, agents or representatives) shall be responsible for any tax liability of such Holder that may arise as a result of this Agreement. Each Party shall be responsible for its own tax reporting obligations arising from the transactions contemplated by this Agreement. The Acquiror shall use commercially reasonable efforts to provide each Holder with such information as may be reasonably necessary for such Holder to satisfy its tax reporting obligations. Each Holder shall, at least ten (10) Business Days prior to the Closing, provide a duly completed and executed United Stated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Form W-9 or an appropriate IRS Form W-8, as applicable, in connection with the delivery of this Agreement. Subject in all respects to Sections 1.1(a) and 2.9 of the Merger Agreement, the Parties agree to use commercially reasonable efforts to implement the transactions contemplated by this Agreement in a tax-efficient manner as mutually determined by the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Section 7.04 Material Non-Public Information</w:t>
      </w:r>
      <w:r>
        <w:rPr>
          <w:rFonts w:ascii="Times New Roman" w:cs="Times New Roman" w:eastAsia="Times New Roman" w:hAnsi="Times New Roman"/>
          <w:sz w:val="18"/>
          <w:szCs w:val="18"/>
          <w:color w:val="auto"/>
        </w:rPr>
        <w:t>. After the date of filing of any public disclosure regarding this Agreement, neither the Issuer nor Acquiror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provide any Holder with any material non-public information without such Holder’s prior written consent.</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7.05 Non-Solicitation. </w:t>
      </w:r>
      <w:r>
        <w:rPr>
          <w:rFonts w:ascii="Times New Roman" w:cs="Times New Roman" w:eastAsia="Times New Roman" w:hAnsi="Times New Roman"/>
          <w:sz w:val="18"/>
          <w:szCs w:val="18"/>
          <w:color w:val="auto"/>
        </w:rPr>
        <w:t>From and after the date hereof until the Closing Date or, if earlier, the termination of this Agreement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8.17, the Holders shall not, and shall cause their respective Related Funds and employees and directors and other representatives acting on their behalf not to, directly or indirectly: (a) initiate, seek, facilitate, solicit or knowingly encourage (including by way of furnishing information or assistance of any kind) the submission of any Competing Proposal or any proposal, request or offer that could reasonably be expected to result in a Competing Proposal or induce or take any other action designed or intended to lead to, or that could reasonably be expected to lead to any inquiry with respect to, or the making, submission or announcement of, any Competing Proposal; (b) enter into, continue or otherwise participate or engage in any discussions or negotiations with, or furnish (or cause to be furnished) any material nonpublic information to, any Person relating to a Competing Proposal or any inquiry or request that could reasonably be expected to lead to a Competing Proposal (other than informing any third party of the existence of the provisions contained in this Section 7.05); (c)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Competing Proposal; or (d) resolve or agree to do any of the foregoing. The Holders shall, and shall cause their respective Related Funds and employees and directors and other representatives acting on their behalf to, immediately cease and cause to be terminated any activities, discussions or negotiations existing as of the date hereof with any Persons conducted heretofore with respect to a Competing Proposal (or that could reasonably be expected to lead to a Competing Proposal). Notwithstanding anything to the contrary in this Section 7.05, nothing in this Section 7.05 shall restrict any Holder or any of its Affiliates from (i) maintaining any investment in any Person that submits or makes a Competing Proposal independently and without solicitation, encouragement, facilitation, or assistance of any kind from such Holder or any of its Affiliates, or (ii) acting as a passive investor with respect to any Person in accordance with the representations and undertakings reflected in a Schedule 13G (or Schedule 13G/A) filed pursuant to Rule 13d-1(b) or Rule 13d-1(c) under the Exchange Act, in each case, so long as such Holder and its Affiliates otherwise comply with this Section 7.05.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VIII. MISCELLANEOUS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8.01 Notices. </w:t>
      </w:r>
      <w:r>
        <w:rPr>
          <w:rFonts w:ascii="Times New Roman" w:cs="Times New Roman" w:eastAsia="Times New Roman" w:hAnsi="Times New Roman"/>
          <w:sz w:val="18"/>
          <w:szCs w:val="18"/>
          <w:color w:val="auto"/>
        </w:rPr>
        <w:t>All notices, requests, demands, and other communications under this Agreement shall be sent by email and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upon confirmation of receipt, including by a “read receipt requested” function, and can also (in addition to email) be delivered personally or sent by overnight courier to the Parties at the addresses set forth on the signature pages hereto or at such other address as a Party may designate by notice to the other Parties and shall be deemed to have been duly given one (1) Business Day after being sent.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8.02 Governing Law. </w:t>
      </w:r>
      <w:r>
        <w:rPr>
          <w:rFonts w:ascii="Times New Roman" w:cs="Times New Roman" w:eastAsia="Times New Roman" w:hAnsi="Times New Roman"/>
          <w:sz w:val="18"/>
          <w:szCs w:val="18"/>
          <w:color w:val="auto"/>
        </w:rPr>
        <w:t>This Agreement shall be governed by and construed in accordance with the laws of the State of Delaware, without regard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conflicts of law principles that would require the application of the laws of any other jurisdiction.</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8.03 Jurisdiction and Venue. </w:t>
      </w:r>
      <w:r>
        <w:rPr>
          <w:rFonts w:ascii="Times New Roman" w:cs="Times New Roman" w:eastAsia="Times New Roman" w:hAnsi="Times New Roman"/>
          <w:sz w:val="18"/>
          <w:szCs w:val="18"/>
          <w:color w:val="auto"/>
        </w:rPr>
        <w:t>Each Party hereby irrevocably and unconditionally (a) submits to the exclusive jurisdiction of the Court of Chancery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(or, if such court declines jurisdiction, the federal courts of the United States of America sitting in the State of Delaware) for any action, suit, or proceeding arising out of or relating to this Agreement, (b) waives any objection it may now or hereafter have to the laying of venue in any such court, (c) waives any claim that any such court is an inconvenient forum, and (d) agrees that service of process in any such action, suit, or proceeding may be effected by mailing a copy thereof by registered or certified mail, postage prepaid, to such Party at its address set forth herein or at such other address as may be designated by notice.</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8.04 Waiver of Jury Trial. </w:t>
      </w:r>
      <w:r>
        <w:rPr>
          <w:rFonts w:ascii="Times New Roman" w:cs="Times New Roman" w:eastAsia="Times New Roman" w:hAnsi="Times New Roman"/>
          <w:sz w:val="18"/>
          <w:szCs w:val="18"/>
          <w:color w:val="auto"/>
        </w:rPr>
        <w:t>EACH PARTY HEREBY IRREVOCABLY WAIVES, TO THE FULLEST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ANY RIGHT IT MAY HAVE TO A TRIAL BY JURY IN ANY ACTION, SUIT, OR PROCEEDING ARISING OUT OF OR RELATING TO THIS AGREEMENT OR THE TRANSACTIONS CONTEMPLATED HEREBY.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8.05 Entire Agreement. </w:t>
      </w:r>
      <w:r>
        <w:rPr>
          <w:rFonts w:ascii="Times New Roman" w:cs="Times New Roman" w:eastAsia="Times New Roman" w:hAnsi="Times New Roman"/>
          <w:sz w:val="18"/>
          <w:szCs w:val="18"/>
          <w:color w:val="auto"/>
        </w:rPr>
        <w:t>This Agreement and the Merger Agreement, together with the Exhibits attached hereto and thereto, constitute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among the Parties with respect to the subject matter hereof and supersedes all prior agreements, understandings, negotiations, and discussions, whether oral or written, among the Parties with respect thereto.</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8.06 Amendments and Waivers. </w:t>
      </w:r>
      <w:r>
        <w:rPr>
          <w:rFonts w:ascii="Times New Roman" w:cs="Times New Roman" w:eastAsia="Times New Roman" w:hAnsi="Times New Roman"/>
          <w:sz w:val="18"/>
          <w:szCs w:val="18"/>
          <w:color w:val="auto"/>
        </w:rPr>
        <w:t>No amendment, modification, or waiver of any provision of this Agreement shall be effective unless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signed by (a) in the case of any amendment, by the Acquiror, the Issuer, and the Required Consenting Noteholders and (b) in the case of a waiver, the Party waiving its rights hereunder; provided that the waiver of rights by the Holders of at least a majority of the outstanding Second Lien Secured Notes shall constitute the waiver of the rights of Holders of all Second Lien Secured Notes.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8.07 Severability. </w:t>
      </w:r>
      <w:r>
        <w:rPr>
          <w:rFonts w:ascii="Times New Roman" w:cs="Times New Roman" w:eastAsia="Times New Roman" w:hAnsi="Times New Roman"/>
          <w:sz w:val="18"/>
          <w:szCs w:val="18"/>
          <w:color w:val="auto"/>
        </w:rPr>
        <w:t>If any provision of this Agreement is held to be invalid, illegal, or unenforceable in any respect, such invalidity, illegality,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unenforceability shall not affect any other provision of this Agreement, and this Agreement shall be construed as if such invalid, illegal, or unenforceable provision had never been contained herein; provided, that such construction shall not materially alter the economic benefits to any Party.</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8.08 Successors and Assigns. </w:t>
      </w:r>
      <w:r>
        <w:rPr>
          <w:rFonts w:ascii="Times New Roman" w:cs="Times New Roman" w:eastAsia="Times New Roman" w:hAnsi="Times New Roman"/>
          <w:sz w:val="18"/>
          <w:szCs w:val="18"/>
          <w:color w:val="auto"/>
        </w:rPr>
        <w:t>This Agreement shall be binding upon and inure to the benefit of the Parties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assigns. Except in accordance with Section 8.09, neither this Agreement nor any right or obligation of any Party hereunder may be assigned by</w:t>
      </w:r>
    </w:p>
    <w:p>
      <w:pPr>
        <w:spacing w:after="0" w:line="1" w:lineRule="exact"/>
        <w:rPr>
          <w:sz w:val="20"/>
          <w:szCs w:val="20"/>
          <w:color w:val="auto"/>
        </w:rPr>
      </w:pPr>
    </w:p>
    <w:p>
      <w:pPr>
        <w:jc w:val="both"/>
        <w:ind w:firstLine="8"/>
        <w:spacing w:after="0" w:line="255" w:lineRule="auto"/>
        <w:tabs>
          <w:tab w:leader="none" w:pos="24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Holder or the Issuer, without prior written consent of the Acquiror or (b) in the case of the Acquiror, without the prior written consent of the Required Consenting Noteholders, except that the Acquiror may assign its rights and obligations under this Agreement to any Affiliate or successor entity without such consent; provided, that no such assignment shall relieve the Acquiror of its obligations 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8.09 Restrictions on Transfers. </w:t>
      </w:r>
      <w:r>
        <w:rPr>
          <w:rFonts w:ascii="Times New Roman" w:cs="Times New Roman" w:eastAsia="Times New Roman" w:hAnsi="Times New Roman"/>
          <w:sz w:val="18"/>
          <w:szCs w:val="18"/>
          <w:color w:val="auto"/>
        </w:rPr>
        <w:t>Except as otherwise set forth in this Section 8.09 or with the prior written consent of the Acquiror,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agrees that it shall not, between the date hereof and the earlier to occur of the Closing or the termination of this Agreement in accordance with Section 8.17, directly or indirectly convey, sell, transfer, encumber, pledge, hypothecate or assign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such Holder’s Secured Notes or any interest therein (other than customary Liens attributable to securities or notes held by a bank, prime-broker, or broker-dealer on behalf of a Holder) unless such Transfer is to an entity that first agrees, in writing, to be bound by the terms of this Agreement by executing and delivering to the Issuer and the Acquiror a joinder to this Agreement at least two (2) Business Days prior to the effectiveness of the Transfer. Such transferee, upon consummation of a Transfer in accordance herewith shall be deemed to make all of the representations, warranties and covenants of a Holder set forth in this Agreement, and shall be deemed to be a Party and a Holder for all purposes under this Agreement upon compliance with the foregoing. Any Transfer made in violation of this Section 8.09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Notwithstanding anything to the contrary in this Section 8.09, the restrictions on Transfer set forth in this Section 8.09 shall not apply to the grant of any liens or encumbrances on any claims and interests in favor of a bank or broker-dealer holding custody of such claims and interests in the ordinary course of business and which lien or encumbrance is released upon the Transfer of such claims and interests.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8.10 No Net Short Positions. </w:t>
      </w:r>
      <w:r>
        <w:rPr>
          <w:rFonts w:ascii="Times New Roman" w:cs="Times New Roman" w:eastAsia="Times New Roman" w:hAnsi="Times New Roman"/>
          <w:sz w:val="18"/>
          <w:szCs w:val="18"/>
          <w:color w:val="auto"/>
        </w:rPr>
        <w:t>Each Holder agrees that, from the execution hereof until the consummation of the transactions contemplated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such Holder shall not, and shall cause its Related Funds not to, (a) effect a transaction that results in such Holder, together with its Related Funds, holding short positions, swaps, hedges, forward contracts and other similar arrangements that create or are intended to create economic exposure with respect to a number of Acquiror Securities (collectively, a “</w:t>
      </w:r>
      <w:r>
        <w:rPr>
          <w:rFonts w:ascii="Times New Roman" w:cs="Times New Roman" w:eastAsia="Times New Roman" w:hAnsi="Times New Roman"/>
          <w:sz w:val="18"/>
          <w:szCs w:val="18"/>
          <w:b w:val="1"/>
          <w:bCs w:val="1"/>
          <w:i w:val="1"/>
          <w:iCs w:val="1"/>
          <w:color w:val="auto"/>
        </w:rPr>
        <w:t>Short Position</w:t>
      </w:r>
      <w:r>
        <w:rPr>
          <w:rFonts w:ascii="Times New Roman" w:cs="Times New Roman" w:eastAsia="Times New Roman" w:hAnsi="Times New Roman"/>
          <w:sz w:val="18"/>
          <w:szCs w:val="18"/>
          <w:color w:val="auto"/>
        </w:rPr>
        <w:t>”) that exceed the aggregate amount of Acquiror Securities held by such Holder together with its Related Funds (inclusive of any Acquiror Securities contemplated to be received by such Holder and its Related Funds as a result of the transactions contemplated hereby and the transactions contemplated by the Merger Agreement, and excluding any Short Position held by such Holder or Related Fund prior to the date hereof) or (b) otherwise take actions with the intent to depress, manipulate, or artificially influence the price of the Acquiror Securities in order to obtain additional or increased consideration in connection with the transactions contemplated by this Agreement.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8.11 Relationship Among Parties. </w:t>
      </w:r>
      <w:r>
        <w:rPr>
          <w:rFonts w:ascii="Times New Roman" w:cs="Times New Roman" w:eastAsia="Times New Roman" w:hAnsi="Times New Roman"/>
          <w:sz w:val="18"/>
          <w:szCs w:val="18"/>
          <w:color w:val="auto"/>
        </w:rPr>
        <w:t>It is understood and agreed that no Holder owes any fiduciary duty or duty of trust or confidence of any kind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to any other Party. In this regard, it is understood and agreed that any Holder may trade in Secured Notes without the consent of the Issuer, the Acquiror or any other Holder, subject to applicable securities laws, the terms of this Agreement and the terms of the applicable Note Documents. No prior history, pattern or practice of sharing confidences among or between the Parties shall in any way affect or negate this understanding and agreement. The Parties acknowledge and agree that this Agreement is entered into by the Holders solely in the capacity of creditors of the Issuer, and that the rights and obligations set forth herein relate exclusively to the Secured Notes held by the Holders. The Parties have no agreement, arrangement or understanding with respect to acting together for the purpose of acquiring, holding, voting or disposing of any securities (including the Notes and the Holder Shares) of the Issuer or the Acquiror and do not constitute a “group” within the meaning of Section 13(d)(3) of the Exchange Act or Rule 13d-5 promulgated thereunder. Notwithstanding any other provision of this Agreement to the contrary, nothing in this Agreement shall be construed or deemed to grant any Holder or any of its Attribution Parties beneficial ownership (as defined in Rule 13d-3 under the Exchange Act) of any equity securities of the Issuer or the Acquiror. All rights under this Agreement are separately granted to each Holder, and the use of a single document is for the convenience of the Issuer and the Acquiror. The decision to commit to enter into the transactions contemplated by this Agreement has been made independently.</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8.12 No Third-Party Beneficiaries. </w:t>
      </w:r>
      <w:r>
        <w:rPr>
          <w:rFonts w:ascii="Times New Roman" w:cs="Times New Roman" w:eastAsia="Times New Roman" w:hAnsi="Times New Roman"/>
          <w:sz w:val="18"/>
          <w:szCs w:val="18"/>
          <w:color w:val="auto"/>
        </w:rPr>
        <w:t>Except as expressly provided herein with respect to the Released Parties, this Agreement is for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Parties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8.13 Counterparts. </w:t>
      </w:r>
      <w:r>
        <w:rPr>
          <w:rFonts w:ascii="Times New Roman" w:cs="Times New Roman" w:eastAsia="Times New Roman" w:hAnsi="Times New Roman"/>
          <w:sz w:val="18"/>
          <w:szCs w:val="18"/>
          <w:color w:val="auto"/>
        </w:rPr>
        <w:t>This Agreement may be executed in one or more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Delivery of an executed counterpart by email (including in .pdf format) or other electronic means shall be equally as effective as delivery of an original executed counterpart.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8.14 Construction. </w:t>
      </w:r>
      <w:r>
        <w:rPr>
          <w:rFonts w:ascii="Times New Roman" w:cs="Times New Roman" w:eastAsia="Times New Roman" w:hAnsi="Times New Roman"/>
          <w:sz w:val="18"/>
          <w:szCs w:val="18"/>
          <w:color w:val="auto"/>
        </w:rPr>
        <w:t>The headings in this Agreement are for convenience of reference only and shall not affect the interpretation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context otherwise requires, (a) all references to Articles, Sections, and Exhibits are to Articles, Sections, and Exhibits of this Agreement, (b) words in the singular include the plural and vice versa, (c) the terms “hereof,” “herein,” “hereby,” “hereto,” and derivative or similar words refer to this entire Agreement, (d) the term “including” means “including without limitation,” and (e) the term “or” is not exclusive.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8.15 Expenses. </w:t>
      </w:r>
      <w:r>
        <w:rPr>
          <w:rFonts w:ascii="Times New Roman" w:cs="Times New Roman" w:eastAsia="Times New Roman" w:hAnsi="Times New Roman"/>
          <w:sz w:val="18"/>
          <w:szCs w:val="18"/>
          <w:color w:val="auto"/>
        </w:rPr>
        <w:t>Each Party shall bear its own costs and expenses (including attorneys’ fees) incurred in connection with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hereby; provided all fees and expenses of counsel to the Holders incurred in connection with this Agreement and the transactions contemplated hereby shall be paid by the Issuer, subject to the terms of, and in accordance with, pre-existing fee reimbursement agreements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Counsel Fees</w:t>
      </w:r>
      <w:r>
        <w:rPr>
          <w:rFonts w:ascii="Times New Roman" w:cs="Times New Roman" w:eastAsia="Times New Roman" w:hAnsi="Times New Roman"/>
          <w:sz w:val="18"/>
          <w:szCs w:val="18"/>
          <w:color w:val="auto"/>
        </w:rPr>
        <w:t>”) simultaneously with Closing; provided further, that, for the avoidance of doubt, to the extent that this Agreement is terminated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the Issuer’s reimbursement obligations under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shall survive with respect to any and all such fees and expenses earned or incurred on or before the date of termination, and such termination shall not automatically terminate any applicable fee or engagement letters, if any, between the Issuer and the applicable party or professional.</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8.16 Specific Performance. </w:t>
      </w:r>
      <w:r>
        <w:rPr>
          <w:rFonts w:ascii="Times New Roman" w:cs="Times New Roman" w:eastAsia="Times New Roman" w:hAnsi="Times New Roman"/>
          <w:sz w:val="18"/>
          <w:szCs w:val="18"/>
          <w:color w:val="auto"/>
        </w:rPr>
        <w:t>The Parties acknowledge and agree that irreparable damage would occur if any provision of this Agreement were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in accordance with its terms, and that the Parties shall be entitled to seek specific performance of the terms hereof, in addition to any other remedy at law or in equity.</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8.17 Termination. </w:t>
      </w:r>
      <w:r>
        <w:rPr>
          <w:rFonts w:ascii="Times New Roman" w:cs="Times New Roman" w:eastAsia="Times New Roman" w:hAnsi="Times New Roman"/>
          <w:sz w:val="18"/>
          <w:szCs w:val="18"/>
          <w:color w:val="auto"/>
        </w:rPr>
        <w:t>Any Party may terminate this Agreement if (a)(i) there has been a material breach by another Party of the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warranties or covenants contained in this Agreement, (ii) a non-breaching Party provides written notice to the other Parties of such material breach and (iii) such material breach is not cured by the date that is ten (10) Business Days following the date of delivery of such written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in no event shall a Holder be entitled to terminate this Agreement pursuant to the foregoing clause (a) as a result of a material breach by another Holder or (b) the Closing has not taken place on or prior to the fifth Business Day following Outside Date (as defined in the Merger Agreement); provided, that, except with respect to the automatic extension of the Initial Outside Date contemplated by Section 8.1(b) of the Merger Agreement, Issuer and Acquiror shall not be permitted to extend the Outside Date without the prior written consent of the Required Consenting Noteholders and provided, further, that a termination of this Agreement by any Holder of Second Lien Secured Notes shall require notice of termination from Holders of at least a majority of outstanding Second Lien Secured Notes. Notwithstanding the foregoing, this Agreement shall automatically terminate, without any further action by any Party hereto, upon the termination of the Merger Agreement in accordance with its terms. Upon any termination of this Agreement, this Agreement shall be of no further force or effect, and no Party hereto shall have any further rights or obligations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relieve any Party of liability for any breach of this Agreement occurring prior to such termination. The holders of the First Lien Secured Notes may terminate this Agreement (x) upon any failure by the Issuer to pay principal, interest or any other amount due and payable as and when required under the First Lien Notes Indenture or the other First Lien Notes Documents or (y) upon any breach of Section 4.24 (Minimum Qualified Cash) of the First Lien Secured Notes Indenture, in each case, if such failure to pay or such breach has not been cured by Issuer or the Acquiror within fifteen (15) Business Days after the later of the Issuer’s and the Acquiror’s receipt of written notice thereof from the holders of the First Lien Secured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the prior written consent of the holders of the First Lien Secured Notes (not to be unreasonably withheld, conditioned or delayed), in the event the Acquiror and/or the Issuer is working in good faith to cure such failure to pay or breach by the end of such fifteen (15) Business Day period, such fifteen (15) Business Day period shall extend to twenty (20) Business Days. Notwithstanding the foregoing, Section 7.02, Section 8.01, Section 8.02, Section 8.03, Section 8.04, Section 8.05, Section 8.06, Section 8.07, Section 8.08, Section 8.11, Section 8.12, Section 8.13, Section 8.14, Section 8.15 shall survive any termination of this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Collins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Collins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 7th Avenue, Floor M1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John Collins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Monica Greenberg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Keyvan Mohajer</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Warren Heit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LYNROCK LAKE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Lynrock Lake Partners LLC, 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Cynthia Paul</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Cynthia Paul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Notes Restructuring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120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3480" w:type="dxa"/>
            <w:vAlign w:val="bottom"/>
          </w:tcPr>
          <w:p>
            <w:pPr>
              <w:spacing w:after="0"/>
              <w:rPr>
                <w:sz w:val="24"/>
                <w:szCs w:val="24"/>
                <w:color w:val="auto"/>
              </w:rPr>
            </w:pPr>
          </w:p>
        </w:tc>
        <w:tc>
          <w:tcPr>
            <w:tcW w:w="5140" w:type="dxa"/>
            <w:vAlign w:val="bottom"/>
            <w:gridSpan w:val="8"/>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SCHEDULE OF HOLDERS AND SECURED NOTES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3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3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First Lien</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First Lien</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Second Lien</w:t>
            </w: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Second Lien</w:t>
            </w:r>
          </w:p>
        </w:tc>
      </w:tr>
      <w:tr>
        <w:trPr>
          <w:trHeight w:val="245"/>
        </w:trPr>
        <w:tc>
          <w:tcPr>
            <w:tcW w:w="348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Holder Name</w:t>
            </w:r>
          </w:p>
        </w:tc>
        <w:tc>
          <w:tcPr>
            <w:tcW w:w="1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Secured Notes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Holder Shares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Secured Notes</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Holder Shares</w:t>
            </w:r>
          </w:p>
        </w:tc>
      </w:tr>
      <w:tr>
        <w:trPr>
          <w:trHeight w:val="250"/>
        </w:trPr>
        <w:tc>
          <w:tcPr>
            <w:tcW w:w="3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On File With the Issuer</w:t>
            </w: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3480" w:type="dxa"/>
            <w:vAlign w:val="bottom"/>
          </w:tcPr>
          <w:p>
            <w:pPr>
              <w:ind w:left="268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$ 120,845,834</w:t>
            </w:r>
          </w:p>
        </w:tc>
        <w:tc>
          <w:tcPr>
            <w:tcW w:w="220" w:type="dxa"/>
            <w:vAlign w:val="bottom"/>
          </w:tcPr>
          <w:p>
            <w:pPr>
              <w:spacing w:after="0"/>
              <w:rPr>
                <w:sz w:val="18"/>
                <w:szCs w:val="18"/>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100.00</w:t>
            </w:r>
          </w:p>
        </w:tc>
        <w:tc>
          <w:tcPr>
            <w:tcW w:w="1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r>
      <w:tr>
        <w:trPr>
          <w:trHeight w:val="682"/>
        </w:trPr>
        <w:tc>
          <w:tcPr>
            <w:tcW w:w="3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1827530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OTHER HOLDERS FROM TIME TO TIME PARTIES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866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17"/>
                <w:szCs w:val="17"/>
                <w:color w:val="auto"/>
              </w:rPr>
            </w:pPr>
          </w:p>
        </w:tc>
      </w:tr>
      <w:tr>
        <w:trPr>
          <w:trHeight w:val="460"/>
        </w:trPr>
        <w:tc>
          <w:tcPr>
            <w:tcW w:w="1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16"/>
        </w:trPr>
        <w:tc>
          <w:tcPr>
            <w:tcW w:w="1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B-1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10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II. REGISTRATION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B-3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Resale Shelf Registration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Registration Procedures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Registration Expenses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Indemnification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Blackout Periods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2.06</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Participation in Registrations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2.07</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Rule 144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Further Assurance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B-10</w:t>
            </w:r>
          </w:p>
        </w:tc>
      </w:tr>
      <w:tr>
        <w:trPr>
          <w:trHeight w:val="216"/>
        </w:trPr>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MISCELLANEOUS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B-10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Binding Effect; Benefits; Entire Agreement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3.03</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Waiver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3.04</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3.05</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Assignability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3.06</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Termination; Survival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3.07</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Applicable Law</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3.08</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Specific Performance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3.09</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3.10</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Section and Other Headings; Interpretation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3.11</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B-12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dated as of [__], 2026, is by and among (i) SoundHound AI,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Holders (as defined herein) party hereto for which an authorized signatory has provided a signature across from such 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has entered into that certain notes restructuring agreement the (“</w:t>
      </w:r>
      <w:r>
        <w:rPr>
          <w:rFonts w:ascii="Times New Roman" w:cs="Times New Roman" w:eastAsia="Times New Roman" w:hAnsi="Times New Roman"/>
          <w:sz w:val="18"/>
          <w:szCs w:val="18"/>
          <w:u w:val="single" w:color="auto"/>
          <w:color w:val="auto"/>
        </w:rPr>
        <w:t>Notes Restructuring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with LivePerson, Inc., a Delaware corporation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and the Holders, dated April [__], 2026, and has agreed to provide the Holders with certain resale shelf registration rights with respect to the Registrable Securities (as herein after defined) received by the Holders pursuant to the Notes Restructuring Agreement; and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LivePerson and Lightspeed Merger Sub Inc., a Delaware corporation and a 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that certain Merger Agreement (as amended, supplemented or modified from time to time in accordance with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April [__], 2026, pursuant to which, upon the terms and subject to the satisfaction or waiver of the conditions set forth in the Merger Agreement, among other things, at the Effective Time (as defined in the Merger Agreement), Merger Sub shall merge with and into LivePerson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separate corporate existence of Merger Sub shall cease and LivePerson shall continue as the surviving corporation of the Merger and a direct, wholly owned subsidiary of the Company.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for other good and valuable consideration, the receipt and sufficiency of which are hereby acknowledged, and intending to be legally bound hereby, the Parties hereto mutually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DEFINITIONS.</w:t>
      </w:r>
    </w:p>
    <w:p>
      <w:pPr>
        <w:spacing w:after="0" w:line="225" w:lineRule="exact"/>
        <w:rPr>
          <w:sz w:val="20"/>
          <w:szCs w:val="20"/>
          <w:color w:val="auto"/>
        </w:rPr>
      </w:pPr>
    </w:p>
    <w:p>
      <w:pPr>
        <w:ind w:left="660" w:right="5540" w:hanging="4"/>
        <w:spacing w:after="0" w:line="500" w:lineRule="auto"/>
        <w:tabs>
          <w:tab w:leader="none" w:pos="9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as used herein, have the following meanings: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specified Person means any other Person directly or indirectly controlling, controlled by or under direct or indirect common control with such specified Person. For the purposes of this definition, “control” when used with respect to any Person means the power to direct the management and policies of such Persons directly or indirectly, whether through the ownership of voting securities, by contract or otherwise; and the terms “controlling” and “controlled” have meanings correlative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“Affiliate” shall not include any portfolio company of any specified Person and (ii) with respect to the Company, “Affiliates” means the Company and any Person that is controlled, directly or indirectly,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each Monday, Tuesday, Wednesday, Thursday and Friday that is not a day on which banking institutions in the City of New York are authorized or obligated by law or executive order to close.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 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shares of Class A common stock, par value $0.0001 per share, of the Company (NASDAQ:SOUN).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holder from time to time of Registrable Securities that is a Party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xml:space="preserve">” means a joinder agreement to this Agreement, a form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limited liability entity, an association, a trust or any other entity or organization, including a government, a political subdivision or an agency or instrumentality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istrable Securities</w:t>
      </w:r>
      <w:r>
        <w:rPr>
          <w:rFonts w:ascii="Times New Roman" w:cs="Times New Roman" w:eastAsia="Times New Roman" w:hAnsi="Times New Roman"/>
          <w:sz w:val="18"/>
          <w:szCs w:val="18"/>
          <w:color w:val="auto"/>
        </w:rPr>
        <w:t>” means (i) the Common Stock received by the Holders pursuant to the Notes Restructuring Agreement and (ii) any other common securities issued or issuable therefor or with respect thereto, whether by way of stock split, stock dividend, reclassification, subdivision or reorganization, recapitalization, merger, consolidation, distribution or similar event. As to any particular Registrable Securities, such securities shall cease to constitute Registrable Securities when (1) a registration statement with respect to the offering of such securities by the Holder thereof shall have been declared effective under the 1933 Act and such securities shall have been sold, transferred or disposed of pursuant to such registration statement, (2) such securities have been sold pursuant to a Rule 144 Transfer, (3) such securities shall have been repurchased by the Company or ceased to be outstanding, (4) such securities shall have been otherwise transferred by such Holder to an entity or Person other than pursuant to ‎Section 3.05, new certificates for such securities not bearing (or book-entry positions not subject to) a 1933 Act legend restricting further transfer shall have been delivered by the Company and subsequent disposition of them shall not require registration or qualification of them under the 1933 Act or any state securities or blue sky law then in effect or (5) such Holder is able to dispose of all of its Registrable Securities pursuant to Rule 144 without volume limitation or other restrictions on transfer thereunder and without any requirement that current public information be available with respect to the Company or that the Company has complied with public reporting requirements under the 1934 Act.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1933 Act (or any successor Rule).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 Transfer</w:t>
      </w:r>
      <w:r>
        <w:rPr>
          <w:rFonts w:ascii="Times New Roman" w:cs="Times New Roman" w:eastAsia="Times New Roman" w:hAnsi="Times New Roman"/>
          <w:sz w:val="18"/>
          <w:szCs w:val="18"/>
          <w:color w:val="auto"/>
        </w:rPr>
        <w:t>” means any transfer for value conducted in accordance with Rule 144 (or any successor rule promulgated thereafter by the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9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 The following terms are defined in the respective Sections set opposite each such term below</w:t>
            </w:r>
          </w:p>
        </w:tc>
        <w:tc>
          <w:tcPr>
            <w:tcW w:w="1560" w:type="dxa"/>
            <w:vAlign w:val="bottom"/>
          </w:tcPr>
          <w:p>
            <w:pPr>
              <w:spacing w:after="0"/>
              <w:rPr>
                <w:sz w:val="20"/>
                <w:szCs w:val="20"/>
                <w:color w:val="auto"/>
              </w:rPr>
            </w:pPr>
          </w:p>
        </w:tc>
      </w:tr>
      <w:tr>
        <w:trPr>
          <w:trHeight w:val="439"/>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Section</w:t>
            </w:r>
          </w:p>
        </w:tc>
      </w:tr>
      <w:tr>
        <w:trPr>
          <w:trHeight w:val="216"/>
        </w:trPr>
        <w:tc>
          <w:tcPr>
            <w:tcW w:w="9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Advice</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2.02</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Blackout Period</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2.05</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Filing Deadline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Default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2.01(e)</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Default Payment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2.01(e)</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Opt-Out Request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3.01</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Shelf Registration</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23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Shelf Registration Statement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391"/>
        </w:trPr>
        <w:tc>
          <w:tcPr>
            <w:tcW w:w="9680" w:type="dxa"/>
            <w:vAlign w:val="bottom"/>
            <w:gridSpan w:val="2"/>
          </w:tcPr>
          <w:p>
            <w:pPr>
              <w:ind w:left="5240"/>
              <w:spacing w:after="0"/>
              <w:rPr>
                <w:sz w:val="20"/>
                <w:szCs w:val="20"/>
                <w:color w:val="auto"/>
              </w:rPr>
            </w:pPr>
            <w:r>
              <w:rPr>
                <w:rFonts w:ascii="Times New Roman" w:cs="Times New Roman" w:eastAsia="Times New Roman" w:hAnsi="Times New Roman"/>
                <w:sz w:val="18"/>
                <w:szCs w:val="18"/>
                <w:b w:val="1"/>
                <w:bCs w:val="1"/>
                <w:color w:val="auto"/>
              </w:rPr>
              <w:t>Article II.</w:t>
            </w:r>
          </w:p>
        </w:tc>
        <w:tc>
          <w:tcPr>
            <w:tcW w:w="1560" w:type="dxa"/>
            <w:vAlign w:val="bottom"/>
          </w:tcPr>
          <w:p>
            <w:pPr>
              <w:spacing w:after="0"/>
              <w:rPr>
                <w:sz w:val="24"/>
                <w:szCs w:val="24"/>
                <w:color w:val="auto"/>
              </w:rPr>
            </w:pPr>
          </w:p>
        </w:tc>
      </w:tr>
      <w:tr>
        <w:trPr>
          <w:trHeight w:val="238"/>
        </w:trPr>
        <w:tc>
          <w:tcPr>
            <w:tcW w:w="968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REGISTRATION RIGHTS</w:t>
            </w:r>
          </w:p>
        </w:tc>
        <w:tc>
          <w:tcPr>
            <w:tcW w:w="1560" w:type="dxa"/>
            <w:vAlign w:val="bottom"/>
          </w:tcPr>
          <w:p>
            <w:pPr>
              <w:spacing w:after="0"/>
              <w:rPr>
                <w:sz w:val="20"/>
                <w:szCs w:val="20"/>
                <w:color w:val="auto"/>
              </w:rPr>
            </w:pPr>
          </w:p>
        </w:tc>
      </w:tr>
      <w:tr>
        <w:trPr>
          <w:trHeight w:val="432"/>
        </w:trPr>
        <w:tc>
          <w:tcPr>
            <w:tcW w:w="9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2.01 RESALE SHELF REGISTRATION.</w:t>
            </w:r>
          </w:p>
        </w:tc>
        <w:tc>
          <w:tcPr>
            <w:tcW w:w="1560" w:type="dxa"/>
            <w:vAlign w:val="bottom"/>
          </w:tcPr>
          <w:p>
            <w:pPr>
              <w:spacing w:after="0"/>
              <w:rPr>
                <w:sz w:val="24"/>
                <w:szCs w:val="24"/>
                <w:color w:val="auto"/>
              </w:rPr>
            </w:pPr>
          </w:p>
        </w:tc>
      </w:tr>
    </w:tbl>
    <w:p>
      <w:pPr>
        <w:spacing w:after="0" w:line="198" w:lineRule="exact"/>
        <w:rPr>
          <w:sz w:val="20"/>
          <w:szCs w:val="20"/>
          <w:color w:val="auto"/>
        </w:rPr>
      </w:pPr>
    </w:p>
    <w:p>
      <w:pPr>
        <w:jc w:val="both"/>
        <w:ind w:firstLine="656"/>
        <w:spacing w:after="0" w:line="255" w:lineRule="auto"/>
        <w:tabs>
          <w:tab w:leader="none" w:pos="8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 file on the date hereof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a registration statement on Form S-3, including but not limited to by way of a prospectus supplement to an existing shelf registration statement of the Company, to register for resale from time to time the Registrable Securities of the Holders then outstanding on a delayed or continuous basis pursuant to Rule 415 under the 1933 Act or any successor rule thereto (such shelf registration, a “</w:t>
      </w:r>
      <w:r>
        <w:rPr>
          <w:rFonts w:ascii="Times New Roman" w:cs="Times New Roman" w:eastAsia="Times New Roman" w:hAnsi="Times New Roman"/>
          <w:sz w:val="18"/>
          <w:szCs w:val="18"/>
          <w:u w:val="single" w:color="auto"/>
          <w:color w:val="auto"/>
        </w:rPr>
        <w:t>Shelf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w:t>
      </w:r>
      <w:r>
        <w:rPr>
          <w:rFonts w:ascii="Times New Roman" w:cs="Times New Roman" w:eastAsia="Times New Roman" w:hAnsi="Times New Roman"/>
          <w:sz w:val="18"/>
          <w:szCs w:val="18"/>
          <w:color w:val="auto"/>
        </w:rPr>
        <w:t>”, and such registration statement, a “</w:t>
      </w:r>
      <w:r>
        <w:rPr>
          <w:rFonts w:ascii="Times New Roman" w:cs="Times New Roman" w:eastAsia="Times New Roman" w:hAnsi="Times New Roman"/>
          <w:sz w:val="18"/>
          <w:szCs w:val="18"/>
          <w:u w:val="single" w:color="auto"/>
          <w:color w:val="auto"/>
        </w:rPr>
        <w:t>Shelf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w:t>
      </w:r>
      <w:r>
        <w:rPr>
          <w:rFonts w:ascii="Times New Roman" w:cs="Times New Roman" w:eastAsia="Times New Roman" w:hAnsi="Times New Roman"/>
          <w:sz w:val="18"/>
          <w:szCs w:val="18"/>
          <w:color w:val="auto"/>
        </w:rPr>
        <w:t>”) and (ii) use its reasonable best effort to maintain the</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effectiveness of such registration statement in accordance with clause (b) of this Section‎ 2.01. The Shelf Registration Statement shall be an “automatic shelf registration statement” as defined under Rule 405 of the 1933 Act and shall become effective upon filing with the Commission pursuant to Rule 462(e) under the 1933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is not eligible to use an “automatic shelf registration statement” as of the Filing Deadline, the Company shall nevertheless file a Shelf Registration Statement on Form S-3 (or such other appropriate form) on the Filing Deadline and shall use its reasonable best efforts to cause such Shelf Registration Statement to be declared effective by the Commission as soon as practicable after the filing thereof, but in no event later than the earlier of (i) sixty (60) calendar days following the Filing Deadline if the Commission notifies the Company that it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-709295</wp:posOffset>
            </wp:positionV>
            <wp:extent cx="5708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jc w:val="both"/>
        <w:spacing w:after="0" w:line="234" w:lineRule="auto"/>
        <w:rPr>
          <w:sz w:val="20"/>
          <w:szCs w:val="20"/>
          <w:color w:val="auto"/>
        </w:rPr>
      </w:pPr>
      <w:r>
        <w:rPr>
          <w:rFonts w:ascii="Times New Roman" w:cs="Times New Roman" w:eastAsia="Times New Roman" w:hAnsi="Times New Roman"/>
          <w:sz w:val="18"/>
          <w:szCs w:val="18"/>
          <w:color w:val="auto"/>
        </w:rPr>
        <w:t>“review” the Shelf Registration Statement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date the Company is notified (orally or in writing, whichever is earlier) by the Commission that the registration statement will not be “reviewed” or will not be subject to further review (such earlier time,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The “Plan of Distribution” section of such Shelf Registration Statement shall permit all methods of distribution permitted by applicable law, including underwritten offerings, at-the-market transactions, brokerage transactions, Rule 144 sales, private transactions, “bought deals,” overnight underwritten offerings, block trades, trades through options, short sales, forward sales, puts, agented transactions, stock lending transactions, hedging and other derivative transactions and sales not involving a public offering by its pledgees, assignees, donees, transferees or successors-in-interest.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56"/>
        <w:spacing w:after="0" w:line="255" w:lineRule="auto"/>
        <w:tabs>
          <w:tab w:leader="none" w:pos="93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keep any Shelf Registration Statement continuously effective under the 1933 Act (including, if necessary, by renewing or refiling a Shelf Registration Statement prior to expiration of the existing Shelf Registration Statement or by filing with the Commission a post-effective amendment or a supplement to the Shelf Registration Statement or any document incorporated therein by reference or by filing any other required document or otherwise supplementing or amending the Shelf Registration Statement, if required by the rules, regulations or instructions applicable to the registration form used by the Company for such Shelf Registration Statement or by the 1933 Act, the 1934 Act, any state securities or blue sky laws, or any rules and regulations thereunder) in order to permit the prospectus forming a part thereof to be usable by Holders, as to such Registrable Securities, until the date as of which such securities cease to be Registrable Securities.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9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use reasonable best efforts to remain eligible to use Form S-3. In the event that Form S-3 is not available for the registration of the resale of Registrable Securities hereunder, the Company shall (i) register the resale of the Registrable Securities on a continuous basis on another appropriate form reasonably acceptable to the Holders, including a Form S-1, and (ii) undertake to register the Registrable Securities on Form S-3 promptly;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maintain the effectiveness of the Registration Statement then in effect until such time as a Registration Statement on Form S-3 covering the Registrable Securities has been declared effective by the Commission.</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in the event that the Commission requires the Company to reduce the number of Registrable Securities to be included in a Shelf Registration Statement in order to allow the Company to rely on Rule 415 with respect to such Shelf Registration Statement, then the Company shall reduce the number of Registrable Securities to be included in such Shelf Registration Statement to the maximum number of securities as is permitted to be registered by the Commission. Any such reduction shall be allocated among the Holders on a pro rata basis based on the number of Registrable Securities held by each Holder relative to the aggregate number of Registrable Securities held by all Holders. In the event of any reduction in Registrable Securities pursuant to this paragraph, the Company shall use its reasonable best efforts to file one or more additional Shelf Registration Statements so as to cover all of the Registrable Securities not covered by such initial Shelf Registration Statement until such time as all Registrable Securities have been included in Shelf Registration Statements that have been declared effective and the prospectuses contained therein are available for use by the Holders, in each case as soon as practicable (taking into account any position of the staff of the Commission with respect to the date on which the Commission will permit such additional Shelf Registration Statement(s) to be filed and the rules and regulations of the Commission).</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9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Shelf Registration Statement is not filed by the Filing Deadline (regardless of application of a Blackout Period), (ii) the Shelf Registration Statement has not been declared effective by the Effectiveness Deadline, (iii) after the Shelf Registration Statement has been declared effective, such Shelf Registration Statement ceases to be effective or the prospectus contained therein ceases to be usable for a period in excess of any Blackout Period permitted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(iv) the Holders are otherwise unable to use the Shelf Registration Statement or the prospectus contained therein due to the operation of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or the last paragraph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such event, a “</w:t>
      </w:r>
      <w:r>
        <w:rPr>
          <w:rFonts w:ascii="Times New Roman" w:cs="Times New Roman" w:eastAsia="Times New Roman" w:hAnsi="Times New Roman"/>
          <w:sz w:val="18"/>
          <w:szCs w:val="18"/>
          <w:u w:val="single" w:color="auto"/>
          <w:color w:val="auto"/>
        </w:rPr>
        <w:t>Registration Default</w:t>
      </w:r>
      <w:r>
        <w:rPr>
          <w:rFonts w:ascii="Times New Roman" w:cs="Times New Roman" w:eastAsia="Times New Roman" w:hAnsi="Times New Roman"/>
          <w:sz w:val="18"/>
          <w:szCs w:val="18"/>
          <w:color w:val="auto"/>
        </w:rPr>
        <w:t>”), then the Company shall pay to each Holder, as liquidated damages and not as a penalty, an amount equal to 1.0% of such Holder’s pro rata portion, determined based on the Holder Shares (as defined in the Notes Restructuring Agreement) actually received by the Holder on the date hereof or transferred to the Holder in connection with an assignment pursuant to Section 3.05, of (x) the First Lien Holder Aggregate Stock Consideration Amount (as defined in the Notes Restructuring Agreement) or (y) the Second Lien Holder Aggregate Stock Consideration Amount (as defined in the Notes Restructuring Agreement), as applicable, constituting Registrable Securities subject to such Registration Default (the “</w:t>
      </w:r>
      <w:r>
        <w:rPr>
          <w:rFonts w:ascii="Times New Roman" w:cs="Times New Roman" w:eastAsia="Times New Roman" w:hAnsi="Times New Roman"/>
          <w:sz w:val="18"/>
          <w:szCs w:val="18"/>
          <w:u w:val="single" w:color="auto"/>
          <w:color w:val="auto"/>
        </w:rPr>
        <w:t>Consideration Amount</w:t>
      </w:r>
      <w:r>
        <w:rPr>
          <w:rFonts w:ascii="Times New Roman" w:cs="Times New Roman" w:eastAsia="Times New Roman" w:hAnsi="Times New Roman"/>
          <w:sz w:val="18"/>
          <w:szCs w:val="18"/>
          <w:color w:val="auto"/>
        </w:rPr>
        <w:t>”) for each 30-day period (or pro rata portion thereof) during which such Registration Default continues (each such payment, a “</w:t>
      </w:r>
      <w:r>
        <w:rPr>
          <w:rFonts w:ascii="Times New Roman" w:cs="Times New Roman" w:eastAsia="Times New Roman" w:hAnsi="Times New Roman"/>
          <w:sz w:val="18"/>
          <w:szCs w:val="18"/>
          <w:u w:val="single" w:color="auto"/>
          <w:color w:val="auto"/>
        </w:rPr>
        <w:t>Registration Delay Payment</w:t>
      </w:r>
      <w:r>
        <w:rPr>
          <w:rFonts w:ascii="Times New Roman" w:cs="Times New Roman" w:eastAsia="Times New Roman" w:hAnsi="Times New Roman"/>
          <w:sz w:val="18"/>
          <w:szCs w:val="18"/>
          <w:color w:val="auto"/>
        </w:rPr>
        <w:t>”). Registration Delay Payments shall be paid on the first Business Day following each 30-day period during which a Registration Default is continuing and shall accrue from and including the date on which the applicable Registration Default first occurs until such Registration Default is cured; provided that the aggregate Registration Delay Payments made to any Holder pursuant to this Agreement shall in no event exceed 3.0% of such Holder’s Consideration Amount. The Parties agree that the Registration Delay Payments represent a reasonable estimate of the damages that may be incurred by the Holders by reason of any Registration Default and shall not be deemed to constitute a penalty.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2.02 REGISTRATION PROCEDURES. with respect to any registration which includes registrable securities held by a holder, the company will, subject to ‎section 2.01,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-48260</wp:posOffset>
            </wp:positionV>
            <wp:extent cx="5518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spacing w:after="0" w:line="142" w:lineRule="exact"/>
        <w:rPr>
          <w:sz w:val="20"/>
          <w:szCs w:val="20"/>
          <w:color w:val="auto"/>
        </w:rPr>
      </w:pPr>
    </w:p>
    <w:p>
      <w:pPr>
        <w:ind w:left="940" w:hanging="284"/>
        <w:spacing w:after="0"/>
        <w:tabs>
          <w:tab w:leader="none" w:pos="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a registration statement on the appropriate form prescribed by the Commission and cause such</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to become effective, each in accordance with Section‎ 2.01, and to be maintained in effect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before filing a registration statement or prospectus or any amendments or supplements thereto (excluding any filings required to be made pursuant to the 1934 Act in the reasonable determination of the Company), the Company will furnish to the Holders covered by such registration statement and their counsel copies of or drafts of all such documents proposed to be filed, at least ten (10) Business Days prior to the filing thereof, which documents will be subject to the reasonable review of such Holders and their counsel. Each Holder will have the opportunity to object to any information pertaining to such Holder that is contained therein and the Company will make the corrections reasonably requested by such Holder with respect to such information two (2) Business Days prior to filing any registration statement or amendment thereto or any prospectus or any supplement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will not include on any registration statement or amendment thereto (excluding any filings required to be made pursuant to the 1934 Act in the reasonable determination of the Company) or any prospectus or any supplement thereto Registrable Securities of any Holder that objects in writing one (1) Business Days prior to such filing to such inclusion in such filing or to any description of it therein. In no event shall any Holder be identified as a statutory underwriter in the registration statement unless in response to a comment or request from the staff of the Commission or another regulatory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Commission requests that a Holder be identified as a statutory underwriter in the registration statement, such Holder will have an opportunity to withdraw from the registration statement;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2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and post-effective amendments to such registration statement and any documents required to be incorporated by reference therein as may be necessary to keep the registration statement effective; cause the prospectus to be supplemented by any required prospectus supplement, and as so supplemented to be filed pursuant to Rule 424 under the 1933 Act; and comply with the provisions of the 1933 Act applicable to it with respect to the disposition of all Registrable Securities covered by such registration statement during the applicable period in accordance with the intended methods of disposition by the sellers thereof set forth in such registration statement or supplement to the prospectus;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such Holder, without charge, such number of conformed copies of the registration statement and any post-effective amendment thereto, as such Holder may reasonably request, and such number of copies of the prospectus (including each preliminary prospectus) and any amendments or supplements thereto, and any documents incorporated by reference therein as the Holder may reasonably request in order to facilitate the disposition of the securities being sold by such Holder (it being understood that the Company consents in writing to the use by the Holder covered by the registration statement in connection with the offering and sale of the securities covered by the prospectus or any amendments or supplements thereto of the prospectus and any amendment or supplement thereto that is prepared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-3460750</wp:posOffset>
            </wp:positionV>
            <wp:extent cx="57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56"/>
        <w:spacing w:after="0" w:line="255" w:lineRule="auto"/>
        <w:tabs>
          <w:tab w:leader="none" w:pos="90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such Holder, at any time when a prospectus relating thereto is required to be delivered under the 1933 Act, when the Company becomes aware of the happening of any event as a result of which the prospectus included in such registration statement (as then in effect) contains any untrue statement of material fact or omits to state a material fact necessary to make the statements therein (in the case of the prospectus or any preliminary prospectus, in light of the circumstances under which they were made) not misleading and, as promptly as practicable thereafter, and in any event within five (5) Business Days of the Company becoming aware of such event, prepare and file with the Commission and furnish a supplement or amendment to such prospectus so that, as thereafter delivered to the investors of such securities, such prospectus will not contain any untrue statement of a material fact or omit to state a material fact necessary to make the statements therein, in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1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such Registrable Securities not later than the effective date of the registration statement;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all securities included in such registration statement to be listed, by the date of the first sale of securities pursuant to such registration statement, on any national securities exchange, quotation system or other market on which the Common Stock is then listed or proposed to be listed by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generally available to its security holders an earnings statement, which need not be audited, satisfying the provisions of Section 11(a) of the 1933 Act as soon as reasonably practicable after the end of the twelve (12)-month period beginning with the first month of the Company’s first fiscal quarter commencing after the effective date of the registration statement, which statement shall cover said twelve (12)-month period;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filing of a registration statement, (i) promptly notify each Holder covered by such registration statement of any stop order issued or, to the Company’s knowledge, threatened by the Commission and of the receipt by the Company of any notification with respect to the suspension of the qualification of any Registrable Securities for sale under the applicable securities or blue sky laws of any jurisdiction and (ii) take all reasonable actions to obtain the withdrawal of any order suspending the effectiveness of the registration statement or the qualification of any Registrable Securities at the earliest possible moment;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such Holder, promptly incorporate in a prospectus supplement or post-effective amendment such information as such Holder reasonably requests to be included therein; and make all required filings of such prospectus supplement or post-effective amendment as soon as practicable after being notified of the matters to be incorporated in such prospectus supplement or post-effective amendment;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56"/>
        <w:spacing w:after="0" w:line="255" w:lineRule="auto"/>
        <w:tabs>
          <w:tab w:leader="none" w:pos="89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on which the registration statement is declared effective, use its reasonable best efforts to register or qualify, and cooperate with such Holder and their counsel in connection with the registration or qualification of, the securities covered by the registration statement for offer and sale under the securities or blue sky laws of each state and other jurisdiction of the United States as such Holder requests in writing, to use reasonable best efforts to keep each such registration or qualification effective, including through new filings, or amendments or renewals, do any and all other acts or things necessary or advisable to enable the disposition in all such jurisdictions of the Registrable Securities covered by the applicable registration statement; provided that the Company will not be required to qualify generally to do business in any jurisdiction where it is not then so qualified or to take any action which would subject it to general service of process in any such jurisdiction where it is not then otherwise subject;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such Holder if any, to facilitate the timely preparation and delivery of certificates or DRS or other book-entry statements (in each case not bearing any restrictive legends) representing securities to be sold under the registration statement, and enable such securities to be in such denominations and registered in such names as such Holder may request;</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filing fee covering all Registrable Securities included in a registration statement at the time such registration statement is filed;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reasonable best efforts to take or cause to be taken all other actions necessary or reasonably advisable to effect the registration of such Registrable Securities contemplated by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Holders,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will forthwith discontinue disposition of the securities until the Holders’ receipt of the copies of the supplemented or amended prospectus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2.02(d</w:t>
      </w:r>
      <w:r>
        <w:rPr>
          <w:rFonts w:ascii="Times New Roman" w:cs="Times New Roman" w:eastAsia="Times New Roman" w:hAnsi="Times New Roman"/>
          <w:sz w:val="18"/>
          <w:szCs w:val="18"/>
          <w:color w:val="auto"/>
        </w:rPr>
        <w:t>)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prospectus may be resumed, and has received copies of any additional or supplemental filings which are incorporated by reference in the prospectus, and, if so directed by the Company, each Holder will deliver to the Company (at the Company’s sole expense) all copies, other than permanent file copies then in such Holder’s possession, of the prospectus covering such securities current at the time of receipt of such notice.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REGISTRATION EXPENSES.</w:t>
      </w:r>
    </w:p>
    <w:p>
      <w:pPr>
        <w:spacing w:after="0" w:line="225" w:lineRule="exact"/>
        <w:rPr>
          <w:sz w:val="20"/>
          <w:szCs w:val="20"/>
          <w:color w:val="auto"/>
        </w:rPr>
      </w:pPr>
    </w:p>
    <w:p>
      <w:pPr>
        <w:jc w:val="both"/>
        <w:ind w:firstLine="656"/>
        <w:spacing w:after="0" w:line="255" w:lineRule="auto"/>
        <w:tabs>
          <w:tab w:leader="none" w:pos="92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registration hereunder, the Company shall bear all expenses incident to the performance of or compliance with this Agreement, including all Commission filing fees and expenses, fees and expenses of listing any Registrable Securities on any securities exchange on which the shares of Common Stock are then listed, fees and expenses of compliance with securities or blue sky laws, the costs and charges of any transfer agent and any registrar, all expenses and application fees incurred in connection with any filing with, and clearance of an offering by, the Financial Industry Regulatory Authority, Inc., printing expenses, messenger, telephone and delivery expenses, fees and disbursements of counsel for the Company and all independent certified public accountants and subject to the limitations set forth in Schedule B hereto, the reasonable and documented fees and disbursements of counsel to the Holders.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2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 of the Company to bear the expenses described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shall apply irrespective of whether a registration, once properly demanded, if applicable, becomes effective, is withdrawn or suspended or revoked, or is converted to another form of registration and irrespective of when any of the foregoing shall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color w:val="auto"/>
        </w:rPr>
        <w:t>SECTION 2.04 INDEMNIFICATION.</w:t>
      </w:r>
    </w:p>
    <w:p>
      <w:pPr>
        <w:spacing w:after="0" w:line="225" w:lineRule="exact"/>
        <w:rPr>
          <w:sz w:val="20"/>
          <w:szCs w:val="20"/>
          <w:color w:val="auto"/>
        </w:rPr>
      </w:pPr>
    </w:p>
    <w:p>
      <w:pPr>
        <w:jc w:val="both"/>
        <w:ind w:firstLine="656"/>
        <w:spacing w:after="0" w:line="252" w:lineRule="auto"/>
        <w:tabs>
          <w:tab w:leader="none" w:pos="89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to the fullest extent permitted by law, each Holder, its officers, directors, employees, stockholders, members, general and limited partners, Affiliates and agents and each Person who controls (within the meaning of the 1933 Act or the 1934 Act) the Holder, including any general partner or manager of any thereof, against all losses, claims, damages, actions, liabilities and expenses (including reasonable counsel fees and disbursements) arising out of or based upon (i) any untrue or alleged untrue statement of a material fact contained in or incorporated by reference in any registration statement, prospectus or preliminary prospectus, or any amendment thereof or supplement thereto, any “issuer free writing prospectus” (as defined in Rule 433 under the 1933 Act), any written communication undertaken in reliance on either Section 5(d) of, or Rule 163B under, the 1933 Act, in an offering of Registrable Securities in which such Holder participates, or in any document incorporated by reference therein or any omission or alleged omission to state therein a material fact required to be stated therein or necessary to make the statements therein (in the case of the prospectus or any preliminary prospectus, in light of the circumstances under which they were made) not misleading,</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9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in the information conveyed to any purchaser at the time of the sale to such purchaser, or the omission or alleged omission to state therein a material fact required to be stated therein, or (iii) any violation by the Company of any federal, state, common or other law, rule or regulation applicable to the Company in connection with such registration, including the 1933 Act, any state securities or “blue sky” laws or any rule or regulation thereunder in connection with such registration, except in each case insofar as the same are made in reliance on and in strict conformity with any information with respect to such Holder furnished in writing to the Company by such Holder expressly for use therein.</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Holders</w:t>
      </w:r>
      <w:r>
        <w:rPr>
          <w:rFonts w:ascii="Times New Roman" w:cs="Times New Roman" w:eastAsia="Times New Roman" w:hAnsi="Times New Roman"/>
          <w:sz w:val="18"/>
          <w:szCs w:val="18"/>
          <w:color w:val="auto"/>
        </w:rPr>
        <w:t xml:space="preserve">. In connection with any registration statement in which a Holder is participating, each such Holder will furnish to the Company in writing such information with respect to such Holder as the Company reasonably requests for use in connection with any registration statement or prospectus covering the Registrable Securities of such Holder and to the extent permitted by law agrees to indemnify and hold harmless the Company, its directors, officers and agents and each Person who controls (within the meaning of the 1933 Act or the 1934 Act) the Company and any other Holder, against any losses, claims, damages, liabilities and expenses arising out of or based upon any untrue statement of a material fact or any omission to state a material fact required to be stated therein or necessary to make the statements in the registration statement or prospectus or preliminary prospectus (in the case of the prospectus or preliminary prospectus, in light of the circumstances under which they were made) not misleading, to the extent, but only to the extent, that such untrue statement or omission is made in reliance on and in conformity with the written information or signed affidavit with respect to such Holder so furnished in writing by such Holder expressly for use in the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and the liability of each such Holder shall be in proportion to and limited to the net amount received by such Holder from the sale of Registrable Securities pursuant to a registration statement in accordance with the terms of this Agreement. The Company and the Holders hereby acknowledge and agree that, unless otherwise expressly agreed to in writing by the applicable Holders, the only information furnished or to be furnished to the Company for use in any registration statement or prospectus relating to the Registrable Securities or in any amendment, supplement or preliminary materials associated therewith are statements specifically relating to (a) the beneficial ownership of Registrable Securities by such Holder and its Affiliates and (b) the name and address of such Holder.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56"/>
        <w:spacing w:after="0" w:line="252" w:lineRule="auto"/>
        <w:tabs>
          <w:tab w:leader="none" w:pos="93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Any Person entitled to indemnification hereunder will (i) give prompt written notice to the indemnifying party of any claim with respect to which it seeks indemnification and (ii) unless in such indemnified party’s reasonable judgment there may be one or more legal or equitable defenses available to such indemnified party which are in addition to or may conflict with those available to the indemnifying party with respect to such claim or unless such representation would present a conflict of interest, permit such indemnifying party to assume the defense of such claim with counsel reasonably satisfactory to the indemnified party. The failure to so notify the indemnifying party shall not relieve the indemnifying party from any liability hereunder with respect to the action, except to the extent that such indemnifying party is materially prejudiced by the failure to give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failure shall not relieve the indemnifying party from any other liability which it may have to any other party. No indemnifying party in the defense of any such claim or litigation, shall, except with the written consent of such indemnified party, which consent shall not be unreasonably withheld, conditioned or delayed, consent to entry of any judgment or enter into any settlement unless such judgment or settlement (i) includes as an unconditional term thereof the giving by the claimant or plaintiff to such indemnified party of a release from all liability in respect of such claim or litigation and (ii) does not include any statement as to or any admission of fault, culpability or a failure to act by or on behalf of such indemnified party An indemnifying party shall not be liable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conditioned or delayed. An indemnifying party who is not entitled to, or elects not to, assume the defense of a claim will not be obligated to pay the fees and expenses of more than one counsel for all parties indemnified by such indemnifying party with respect to such claim.</w:t>
      </w:r>
    </w:p>
    <w:p>
      <w:pPr>
        <w:spacing w:after="0" w:line="19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Contribution. If for any reason the indemnification provided for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is unavailable to an indemnified party as contemplated by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then the indemnifying party shall contribute to the amount paid or payable by the indemnified party as a result of such loss, claim, damage or liability in such proportion as is appropriate to reflect not only the relative benefits received by the indemnified party and the indemnifying party, but also the relative fault of the indemnified party and the indemnifying party, as well as any other relevant equitable considerations. In no event shall the liability of any selling Holder be greater in amount than the amount of the net proceeds received by such Holder upon such sale or the amount for which such indemnifying party would have been obligated to pay by way of indemnification if the indemnification provided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had been available. No Person guilty (as determined in a final non-appealable judgement) of fraudulent misrepresentation (within the meaning of the 1933 Act) shall be entitled to contribution from any Person who was not guilty of such fraudulent misrepresentation.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2.05 BLACKOUT PERIODS. Upon giving written notice to the Holders of Registrable Securities (which notice shall not, without the prior written consent of any Holder, disclose to such Holder any material non-public information), the Company shall be entitled to delay or suspend the filing or effectiveness of any registration statement or any amendment thereto or suspend the Holders’ use of any prospectus or any supplement thereto only to the extent reasonably necessary, if (a)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determines that a postponement is in the best interest of the Company and its stockholders generally due to a proposed transaction involving the Company and determines in good faith that the Company’s ability to pursue or consummate such a transaction would be materially and adversely affected by any required disclosure of such transaction in such registration statement, or (b) the Board determines such registration would render the Company unable to comply with applicable securities laws, in each case as certified in a certificate of the Chief Executive Officer or Chief Financial Officer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the Company may not delay the filing or effectiveness of, or suspend, any registration statement for longer than forty-five (45) consecutive calendar days (such period, a “</w:t>
      </w:r>
      <w:r>
        <w:rPr>
          <w:rFonts w:ascii="Times New Roman" w:cs="Times New Roman" w:eastAsia="Times New Roman" w:hAnsi="Times New Roman"/>
          <w:sz w:val="18"/>
          <w:szCs w:val="18"/>
          <w:u w:val="single" w:color="auto"/>
          <w:color w:val="auto"/>
        </w:rPr>
        <w:t>Blackout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in excess of ninety (90) days in any 12-month period or more than two (2) times in any 12-month period, (ii) the Company may not commence a Blackout Period within twenty (20) calendar days after the expiration of a prior Blackout Period, (iii) the Company shall promptly notify the Holders in writing upon the termination of any Blackout Period, and (iv) the Company may not file any registration statement during a Blackout Period (other than on Form S-4 or Form S-8 or any similar successor forms or another form used for a purpose similar to the intended use for such forms).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2.06 PARTICIPATION IN REGISTRATIONS. No Holder may participate in any registration hereunder unless such Holder (a) agrees to sell its securities on the basis provided in the “Plan of Distribution”, and (b) completes and executes all questionnaires and other documents customarily required under the terms of such registration and provides such written information concerning itself as may be required for registration, including for inclusion in any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Holder shall be required to complete and execute such documents and provide such written information only to the extent the Holders of a majority of Registrable Securities participating in such registration shall also be required to complete and execute such documents and provide such written information.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2.07 RULE 144. The Company shall use its reasonable best efforts to timely file the reports required to be filed by it under the 1934 Act or the 1933 Act (including the reports under Sections 13 and 15(d) of the 1934 Act referred to in subparagraph (c)(1) of Rule 144), and shall take such further action as any Holder may reasonably request, all to the extent required from time to time to enable the Holders to sell Registrable Securities without registration under the 1933 Act within the limitations of the exemption provided by Rule 144. Promptly upon request, the Company shall deliver to any Holder a written statement as to whether it has complied with such requirements and any other documents reasonably requested to remove restrictive legends or sell shares under Rule 144. The Company shall instruct the transfer agent to remove any legend, notation or similar designation restricting transferability of the Registrable Securities from the certificates or book-entries evidencing Registrable Securities if (a) such shares of Common Stock are sold pursuant to an effective registration statement under the 1933 Act; (b) a registration statement covering the resale of such shares of Common Stock is effective under the 1933 Act and the applicable Holder and any broker-dealer in custody of such securities delivers to the Company a “will comply” representation letter reasonably acceptable to the Company and its counsel; (c) such shares of Common Stock are sold or transferred pursuant to Rule 144 or (d) such shares of Common Stock are eligible for sale under Rule 144 without the requirement that the Company has complied with the public reporting requirements of the 1934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each of subsections (a) through (d), the Company and its transfer agent have timely received from Holder and any broker-dealer in custody of such securities customary representation and other documentation reasonably acceptable to the Company and the transfer agent in connection therewith. The Company shall bear all reasonable fees and expenses, including any legal opinion fees, reasonable and documented legal fees and expenses of counsel to the Holders subject to the limitations set forth in Schedule B hereto, transfer agent fees, and other out-of-pocket costs, incurred in connection with the removal of such legends.</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2.08 FURTHER ASSURANCE. Each Holder hereby agrees to take any and all reasonable actions required to be taken hereunder to ensure the performance by it of its obligations pursuant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3.01 NOTICES. All notices, requests, demands, and other communications under this Agreement shall be sent by email and shall be deemed to have been duly given upon confirmation of receipt, including by a “read receipt requested” function, and can also (in addition to email) be delivered personally or sent by overnight courier to the Parties at the addresses set forth on the signature pages or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or at such other address as a Party may designate by notice to the other Parties and shall be deemed to have been duly given one (1) Business Day after being sent.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3.02 BINDING EFFECT; BENEFITS; ENTIRE AGREEMENT. This Agreement shall be binding upon and inure to the benefit of the Parties to this Agreement and their respective successors and permitted assigns. Nothing in this Agreement, express or implied, is intended or shall be construed to give any Person other than the Parties to this Agreement or their respective successors or permitted assigns any legal or equitable right, remedy or claim under or in respect of any agreement or any provision contained herein. This Agreement and the other agreements referred to in this Agreement embody the complete agreement and understanding among the Parties to this Agreement with respect to the subject matter of this Agreement and supersedes and preempts any prior understandings, agreements or representations by or among the Parties, written or oral, which may have related to the subject matter of this Agreement in any way.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3.03 NO WAIVER. No action taken pursuant to this Agreement, including any investigation by or on behalf of any Party,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and no failure by any Party to exercise any right or privilege hereunder shall be deemed a waiver of such Party’s rights or privileges hereunder or shall be deemed a waiver of such Party’s rights to exercise the same at any subsequent time or times hereunder.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3.04 AMENDMENT. No amendment, modification, or waiver of any provision of this Agreement shall be effective unless in writing and signed by (a) in the case of any amendment, the Company, Lynrock Lake Master Fund LP and the Holders that beneficially own a majority of Registrable Securities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that disproportionately and adversely affects any individual Holder shall be effective without that Holder’s written consent, and (b) in the case of a waiver, the Party waiving its rights hereunder.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3.05 ASSIGNABILITY. This Agreement and the rights and obligations of any Holder hereunder may be assigned or transferred, in whole or in part, (a) to any Affiliate of such Holder or (b) to any transferee of Registrable Securities who acquires such securities from such Holder (including by way of (i) sales to third parties or (ii) distributions or other transfers to partners, members, or shareholders of such Holder, or to any investment fund or other entity controlled by, controlling, or under common control with such Holder) and is unable to immediately sell, without limitations (including, but not limited to, any limitation on volume or manner of sale) or restrictions under Rule 144 (including, for the avoidance of doubt, any requirement that current public information be available with respect to the Company or that the Company to be in compliance with public reporting requirements under the 1934 Act), all Registrable Securities held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transferee executes and delivers a Joinder Agreement in the form attached hereto as Exhibit A, agreeing to be bound by the terms and conditions of this Agreement as a “Holder” and, for any transfer under clause (b) of this section, other than a transfer contemplated by clause (b)(ii), the aggregate value of the Registrable Securities being transferred to such transferee in such transaction is equal to or greater than five million dollars ($5,000,000). Any such permitted assignment or transfer shall not be deemed to terminate or otherwise affect any rights or obligations under this Agreement, and all references herein to the “Holder” shall be deemed to include such permitted assignees.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3.06 TERMINATION; SURVIVAL. Except for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this Agreement, which shall survive any such termination, (i) this Agreement shall terminate, with respect to any Holder, automatically when such Holder no longer holds any Registrable Securities, and (ii) this Agreement shall terminate as to all Parties when no Holder holds any Registrable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3.07 APPLICABLE LAW.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Each of the Parties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applicable matter is vested exclusively in the federal courts of the United States of America, the Federal court of the United States of America sitting in the district of Delaware, and any appellate court from any thereof, with regard to any such action or proceeding arising out of or relating to this Agreement and the transactions contemplated hereby (and agrees not to commence any action, suit or proceeding relating thereto except in such courts). Each of the Parties further agrees to accept service of process in any manner permitted by such court.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above-named courts for any reason other than the failure lawfully to serve process, (b)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law,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3.08 SPECIFIC PERFORMANCE. The Parties hereto agree that irreparable damage would occur in the event that any of the provisions of this Agreement were not performed in accordance with their specific terms or were otherwise breached. It is accordingly agreed that the Parties hereto shall be entitled to an injunction or injunctions to prevent breaches of the provisions of this Agreement and to enforce specifically the terms and provisions hereof in any state or federal court (this being in addition to any other remedy to which they are entitled at law or in equity), and each Party hereto agrees to waive in any action for such enforcement the defense that a remedy at law would be adequate. The non-prevailing party to such proceeding shall reimburse the prevailing party for the reasonable costs of and expenses for counsel for such prevailing party incurred in connection with any such proceeding.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3.09 SEVERABILITY. If any provision of this Agreement is declared by any court of competent jurisdiction to be illegal, void or unenforceable, all other provisions of the Agreement will not be affected and will remain in full force and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3.10 SECTION AND OTHER HEADINGS; INTERPRETATION. The section and other headings contained in this Agreement are for reference purposes only and shall not affect the meaning or interpretation of this Agreement. Whenever the words “include”, “includes” or “including” are used in this Agreement, they shall be deemed to be followed by the words “without limitation”. The term “or” is not exclusive and shall have the meaning represented by the term “and/or”. The word “extent” in the phrase “to the extent” shall mean the degree to which a subject or other thing extends, and such phrase shall not mean simply “if”. Whenever the context requires, any pronouns used herein shall include the corresponding masculine, feminine or neuter forms.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3.11 COUNTERPARTS. This Agreement may be executed in any number of counterparts, each of which shall be deemed to be an original and all of which together shall be deemed to be one and the same instrument. A facsimile, Portable Document Format (PDF) or other reproduction of this Agreement may be executed by one or more Parties hereto, and an executed copy of this Agreement may be delivered by one or more Parties hereto by facsimile, PDF or similar instantaneous electronic transmission device pursuant to which the signature of or on behalf of such Party can be seen, and such execution and delivery shall be considered valid, binding and effective for all purposes. At the request of any Party hereto, all Parties hereto agree to execute an original of this Agreement as well as any facsimile, PDF or other reproduction 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color w:val="auto"/>
        </w:rPr>
        <w:t>IN WITNESS WHEREOF, the undersigned have caused this Agreement to be executed as of the date first written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8890</wp:posOffset>
            </wp:positionV>
            <wp:extent cx="263144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Notice Address:</w:t>
      </w:r>
    </w:p>
    <w:p>
      <w:pPr>
        <w:spacing w:after="0" w:line="22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Email:</w:t>
      </w:r>
    </w:p>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and Notice Information of Holders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20" w:type="dxa"/>
            <w:vAlign w:val="bottom"/>
            <w:tcBorders>
              <w:top w:val="single" w:sz="8" w:color="auto"/>
              <w:left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Signature of</w:t>
            </w:r>
          </w:p>
        </w:tc>
        <w:tc>
          <w:tcPr>
            <w:tcW w:w="7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gridSpan w:val="3"/>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800" w:type="dxa"/>
            <w:vAlign w:val="bottom"/>
          </w:tcPr>
          <w:p>
            <w:pPr>
              <w:spacing w:after="0"/>
              <w:rPr>
                <w:sz w:val="17"/>
                <w:szCs w:val="17"/>
                <w:color w:val="auto"/>
              </w:rPr>
            </w:pPr>
          </w:p>
        </w:tc>
        <w:tc>
          <w:tcPr>
            <w:tcW w:w="14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900" w:type="dxa"/>
            <w:vAlign w:val="bottom"/>
            <w:tcBorders>
              <w:right w:val="single" w:sz="8" w:color="auto"/>
            </w:tcBorders>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00" w:type="dxa"/>
            <w:vAlign w:val="bottom"/>
          </w:tcPr>
          <w:p>
            <w:pPr>
              <w:spacing w:after="0"/>
              <w:rPr>
                <w:sz w:val="17"/>
                <w:szCs w:val="17"/>
                <w:color w:val="auto"/>
              </w:rPr>
            </w:pPr>
          </w:p>
        </w:tc>
        <w:tc>
          <w:tcPr>
            <w:tcW w:w="940" w:type="dxa"/>
            <w:vAlign w:val="bottom"/>
            <w:tcBorders>
              <w:top w:val="single" w:sz="8" w:color="auto"/>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84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Name/Title</w:t>
            </w: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Borders>
              <w:right w:val="single" w:sz="8" w:color="auto"/>
            </w:tcBorders>
            <w:gridSpan w:val="2"/>
            <w:vMerge w:val="continue"/>
          </w:tcPr>
          <w:p>
            <w:pPr>
              <w:spacing w:after="0"/>
              <w:rPr>
                <w:sz w:val="17"/>
                <w:szCs w:val="17"/>
                <w:color w:val="auto"/>
              </w:rPr>
            </w:pPr>
          </w:p>
        </w:tc>
        <w:tc>
          <w:tcPr>
            <w:tcW w:w="1900" w:type="dxa"/>
            <w:vAlign w:val="bottom"/>
            <w:tcBorders>
              <w:right w:val="single" w:sz="8" w:color="auto"/>
            </w:tcBorders>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Signatory</w:t>
            </w:r>
          </w:p>
        </w:tc>
        <w:tc>
          <w:tcPr>
            <w:tcW w:w="900" w:type="dxa"/>
            <w:vAlign w:val="bottom"/>
            <w:tcBorders>
              <w:right w:val="single" w:sz="8" w:color="auto"/>
            </w:tcBorders>
            <w:gridSpan w:val="2"/>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20" w:type="dxa"/>
            <w:vAlign w:val="bottom"/>
            <w:tcBorders>
              <w:left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reimbursement of reasonable and documented fees and disbursements of counsel to the Holders set forth in Section 2.03 and 2.07 hereto shall not exceed, in the aggregate for Section 2.03 and 2.07, $10,000 per Holder (or $10,000 per group of Holders, to the extent any such Holders are affiliated and inclusive of any transferees pursuant to Section 3.05). Such Holders shall keep the Company reasonably apprised of the amount of any such expenses incurred in advance of the invoicing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AND JOINDER AGREEMENT TO REGISTRATION RIGHTS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executing and delivering this Signature Page and Joinder Agreement, the undersigned hereby agrees, to (i) become a party to that certain Registration Rights Agreement, dated [•], 2026 (as amended, modified or supplemented from time to time in accordance with the terms thereof,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by and among SoundHound AI, Inc., a Delaware corporation, and the other parties thereto and (ii) be deemed to be and be bound as a Holder (as defined in the Registration Rights Agreement) with such rights (and related obligations and liabilities) in respect of the Registrable Securities (as defined in the Registration Rights Agreement) being acquired by the undersigned in connection with the execution of this Signature Page and Joinder Agreement and subject to the terms and conditions of the Registration Rights Agreement as if an original party thereto.</w:t>
      </w:r>
    </w:p>
    <w:p>
      <w:pPr>
        <w:spacing w:after="0" w:line="20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Notice Address:</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SoundHound AI To Acquire LivePerson, Combining Proprietary Voice Agentic AI and Digital Messaging to Create a World Leading End-to-End Omnichannel Conversational AI Platform</w:t>
      </w:r>
    </w:p>
    <w:p>
      <w:pPr>
        <w:spacing w:after="0" w:line="157" w:lineRule="exact"/>
        <w:rPr>
          <w:sz w:val="20"/>
          <w:szCs w:val="20"/>
          <w:color w:val="auto"/>
        </w:rPr>
      </w:pPr>
    </w:p>
    <w:p>
      <w:pPr>
        <w:ind w:left="660" w:right="20" w:hanging="328"/>
        <w:spacing w:after="0" w:line="284"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results in one of the most comprehensive enterprise customer footprints in the conversational AI sector, including 25 of the Fortune 100</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Combined company expects a $500M revenue opportunity, accelerated path to profitability, strong balance sheet, and no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155575</wp:posOffset>
            </wp:positionV>
            <wp:extent cx="5349240" cy="2674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SANTA CLARA, Calif., and NEW YORK, April 21, 2026 – SoundHound AI, Inc. (Nasdaq: SOUN), a global leader in voice and conversational AI, and LivePerson (Nasdaq: LPSN), a pioneer in enterprise conversational AI serving hundreds of enterprise and mid-market brands, today announced they have entered into a definitive agreement under which SoundHound will acquire LivePerson. The combination unifies SoundHound’s industry-leading voice and agentic AI platform with LivePerson’s digital engagement capabilities, which power one billion customer messages per month. The acquisition will also deliver additional revenue and scale to SoundHound AI, enhancing the company’s leadership position as a provider of voice and agentic AI to many of the world’s premier enterprise businesses.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combined company will work with enterprise customers across 30+ countries, including 12 of the top 15 global banks, 4 of the top 5 global airlines, 4 of the top 5 global automakers, and 10+ of the leading global telecommunications providers. LivePerson brings hundreds of long-tenured enterprise relationships, many spanning over a decade, adding to SoundHound’s expanding customer roster which includes thousands of restaurants, leading global automakers, and enterprise customers across financial services, healthcare, insurance, energy, and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Combined with LivePerson’s customers, the transaction creates one of the most comprehensive customer footprints in the conversational AI sector.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will also mark SoundHound’s further expansion into AI-driven digital customer service, building out the company’s omnichannel capabilities across text and chat-based applications. LivePerson’s Conversational Cloud brings deeply rooted integrations across enterprise systems, with proven capabilities in messaging, chat, and digital orchestration spanning web, mobile, and social channels.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platform will offer enterprise customers a single, end-to-end integrated solution for managing the full lifecycle of customer conversations across both voice and digital channels - addressing one of the most consistent requests from both companies’ customer bases.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transformational combination brings together two complementary conversational AI pioneers. SoundHound and LivePerson will define the future of agentic customer service, helping businesses replace fragmented legacy technologies with best-in-class multimodal experiences for the AI-driven era ahead of us,” </w:t>
      </w:r>
      <w:r>
        <w:rPr>
          <w:rFonts w:ascii="Times New Roman" w:cs="Times New Roman" w:eastAsia="Times New Roman" w:hAnsi="Times New Roman"/>
          <w:sz w:val="18"/>
          <w:szCs w:val="18"/>
          <w:b w:val="1"/>
          <w:bCs w:val="1"/>
          <w:color w:val="auto"/>
        </w:rPr>
        <w:t>said Keyvan Mohajer, CEO and Co-Founder of SoundHound AI.</w:t>
      </w:r>
      <w:r>
        <w:rPr>
          <w:rFonts w:ascii="Times New Roman" w:cs="Times New Roman" w:eastAsia="Times New Roman" w:hAnsi="Times New Roman"/>
          <w:sz w:val="18"/>
          <w:szCs w:val="18"/>
          <w:i w:val="1"/>
          <w:iCs w:val="1"/>
          <w:color w:val="auto"/>
        </w:rPr>
        <w:t xml:space="preserve"> “Our combined customers will realize immediate value through expanded capabilities and enhanced scale. And by leveraging our unified conversational datasets, we are accelerating the evolution of our already powerful agentic AI platform to ensure impressive precision and market-leading performance.”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artificial boundaries between ‘talking’ and ‘typing’ are disappearing. Consumers expect to start a complex request over the phone and finish it seamlessly via text or web messaging, without ever repeating themselves or losing context,” </w:t>
      </w:r>
      <w:r>
        <w:rPr>
          <w:rFonts w:ascii="Times New Roman" w:cs="Times New Roman" w:eastAsia="Times New Roman" w:hAnsi="Times New Roman"/>
          <w:sz w:val="18"/>
          <w:szCs w:val="18"/>
          <w:b w:val="1"/>
          <w:bCs w:val="1"/>
          <w:color w:val="auto"/>
        </w:rPr>
        <w:t>said John Sabino, CEO of LivePerson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“Historically, orchestrating a strategy across both voice and digital channels meant juggling multiple specialized vendors. This acquisition changes that dynamic. By bringing SoundHound’s cutting-edge, proprietary voice AI and LivePerson’s premier digital messaging together under one roof, we will offer the industry’s most complete portfolio of customer engagement solutions.”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Combination Business Highlights:</w:t>
      </w:r>
    </w:p>
    <w:p>
      <w:pPr>
        <w:spacing w:after="0" w:line="225" w:lineRule="exact"/>
        <w:rPr>
          <w:sz w:val="20"/>
          <w:szCs w:val="20"/>
          <w:color w:val="auto"/>
        </w:rPr>
      </w:pPr>
    </w:p>
    <w:p>
      <w:pPr>
        <w:jc w:val="both"/>
        <w:ind w:left="660" w:hanging="328"/>
        <w:spacing w:after="0" w:line="268"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Unified Voice and Digital Platform: </w:t>
      </w:r>
      <w:r>
        <w:rPr>
          <w:rFonts w:ascii="Times New Roman" w:cs="Times New Roman" w:eastAsia="Times New Roman" w:hAnsi="Times New Roman"/>
          <w:sz w:val="18"/>
          <w:szCs w:val="18"/>
          <w:color w:val="auto"/>
        </w:rPr>
        <w:t>Combining the complementary strengths of SoundHound’s agentic voice AI and LivePerson’s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Conversational Cloud creates the world’s leading end-to-end omnichannel conversational AI platform, supporting the full customer lifecycle across hundreds of prominent enterprise brands.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AI Capabilities for LivePerson Customers: </w:t>
      </w:r>
      <w:r>
        <w:rPr>
          <w:rFonts w:ascii="Times New Roman" w:cs="Times New Roman" w:eastAsia="Times New Roman" w:hAnsi="Times New Roman"/>
          <w:sz w:val="18"/>
          <w:szCs w:val="18"/>
          <w:color w:val="auto"/>
        </w:rPr>
        <w:t>SoundHound’s fully agentic platform and AI models will deliver improvements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user experience, containment, and overall customer health across LivePerson’s enterprise customer base spanning digital and voice channels.</w:t>
      </w:r>
    </w:p>
    <w:p>
      <w:pPr>
        <w:spacing w:after="0" w:line="170"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Expanded Customer Base and Vertical Diversification: </w:t>
      </w:r>
      <w:r>
        <w:rPr>
          <w:rFonts w:ascii="Times New Roman" w:cs="Times New Roman" w:eastAsia="Times New Roman" w:hAnsi="Times New Roman"/>
          <w:sz w:val="18"/>
          <w:szCs w:val="18"/>
          <w:color w:val="auto"/>
        </w:rPr>
        <w:t>The combination brings together two highly complementary customer bases, creating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of the most comprehensive enterprise customer footprints in the sector — deepening SoundHound’s presence in core verticals like financial services, telecommunications, and healthcare while extending its reach into verticals including travel, hospitality, and retail.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660" w:hanging="328"/>
        <w:spacing w:after="0" w:line="28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Upsell and Cross-Sell Opportunities: </w:t>
      </w:r>
      <w:r>
        <w:rPr>
          <w:rFonts w:ascii="Times New Roman" w:cs="Times New Roman" w:eastAsia="Times New Roman" w:hAnsi="Times New Roman"/>
          <w:sz w:val="18"/>
          <w:szCs w:val="18"/>
          <w:color w:val="auto"/>
        </w:rPr>
        <w:t>SoundHound’s voice AI will be offered to LivePerson’s digital customers, one of the most frequently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capabilities from LivePerson’s customer base.</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Strengthening the Combined Business: </w:t>
      </w:r>
      <w:r>
        <w:rPr>
          <w:rFonts w:ascii="Times New Roman" w:cs="Times New Roman" w:eastAsia="Times New Roman" w:hAnsi="Times New Roman"/>
          <w:sz w:val="18"/>
          <w:szCs w:val="18"/>
          <w:color w:val="auto"/>
        </w:rPr>
        <w:t>SoundHound’s strong balance sheet, engineering scale, and proven AI innovation will strengthen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business by reinforcing the long-term financial stability enterprise customers require from mission critical technology partners, accelerating platform modernization initiatives already underway, and ensuring the continued AI innovation required to stay ahead of evolving enterprise customer needs.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Advantage: </w:t>
      </w:r>
      <w:r>
        <w:rPr>
          <w:rFonts w:ascii="Times New Roman" w:cs="Times New Roman" w:eastAsia="Times New Roman" w:hAnsi="Times New Roman"/>
          <w:sz w:val="18"/>
          <w:szCs w:val="18"/>
          <w:color w:val="auto"/>
        </w:rPr>
        <w:t>Combining SoundHound’s billions of voice interactions annually with LivePerson’s one billion digital messages per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creates a combined data foundation of tens of billions of customer interactions annually — strengthening model performance, orchestration, and enterprise-grade automation outcomes.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Acquisition Track Record: </w:t>
      </w:r>
      <w:r>
        <w:rPr>
          <w:rFonts w:ascii="Times New Roman" w:cs="Times New Roman" w:eastAsia="Times New Roman" w:hAnsi="Times New Roman"/>
          <w:sz w:val="18"/>
          <w:szCs w:val="18"/>
          <w:color w:val="auto"/>
        </w:rPr>
        <w:t>LivePerson marks SoundHound’s fifth strategic acquisition, continuing a disciplined approach to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purpose-built full-service enterprise AI business following successful integrations of Amelia, Interactions, and others, accumulating over 120 years of combined customer relationships and enterprise integrations.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Financials:</w:t>
      </w:r>
    </w:p>
    <w:p>
      <w:pPr>
        <w:spacing w:after="0" w:line="229" w:lineRule="exact"/>
        <w:rPr>
          <w:sz w:val="20"/>
          <w:szCs w:val="20"/>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is acquiring LivePerson for an equity value of $43M, representing approximately a 22% premium over the corresponding 30-day volume-weighted average value.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SoundHound expects to receive $74M of LivePerson’s cash balance prior to repayment of the 2026 Convertible Senior Notes. After taking into account significant discounts on LivePerson’s remaining debt, the transaction implies a total enterprise value of $250M.</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SoundHound will retire the discounted debt with a mix of cash and equity, at SoundHound’s discretion. The combined company is expected to have a strong balance sheet with no debt.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expects its 2027 revenue range will be, at minimum, $350M-$400M, with at least $100M of growable contribution from LivePerson’s long-tenured customers.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offering SoundHound’s voice AI to LivePerson’s customers, and the unified digital and voice omnichannel solution to SoundHound’s customers, the combined business is expected to reach $500M, based on the existing customer base alone.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expected to close in the second half of 2026, subject to customary regulatory approvals and closing conditions.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is serving as financial advisor to SoundHound AI, and Latham &amp; Watkins LLP is serving as legal advisor.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Lazard is serving as financial advisor to LivePerson, with Fried, Frank, Harris, Shriver &amp; Jacobson LLP serving as legal advisor.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about SoundHound AI here.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SoundHound AI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SoundHound AI (Nasdaq: SOUN),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The company’s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have enabled SoundHound to power millions of products and services, and process billions of interactions each year for world-class businesses. www.soundhound.com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-965200</wp:posOffset>
            </wp:positionV>
            <wp:extent cx="7132320" cy="1920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LivePerson.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LivePerson (NASDAQ: LPSN) is the enterprise leader in predictable conversational AI. The world’s leading brands use our award-winning Conversational Cloud and Syntrix platforms to connect with millions of customers. We power nearly a billion messages every month, providing uniquely rich data analytics, agent training, and AI evaluation tools to unlock the power of conversational AI for better business outcomes. Learn more at liveperson.com.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Fiona McEvoy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PR@SoundHound.com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Riah Lawry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pr@liveperson.com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 looking statements” within the meaning of the U.S. federal securities laws about the expectations, beliefs, plans, intentions, prospects, financial results and strategies relating to SoundHound AI’s proposed acquisition of LivePerson. Such forward looking statements include, among others, statements regarding future product capabilities and offerings, expected benefits to SoundHound AI and LivePerson and their customers arising from and in relation to the proposed acquisition, the timing of closing of the proposed acquisition, SoundHound AI’s plans for future operations and anticipated product offerings after the closing of the proposed acquisition, the parties’ expectations for value creation and strategic advantages, market and growth opportunities, SoundHound AI’s anticipated revenue growth and profitability, future financial condition and performance and expected financial impacts of the proposed acquisition, and the parties’ expectations, intentions, strategies, assumptions or beliefs about future events, results of operations or performance or that do not solely relate to historical or current facts.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generally are identified by the words “believe,” “project,” “expect,” “anticipate,” “estimate,” “intend,” “strategy,” “future,” “opportunity,” “potential,” “plan,” “may,” “should,” “will,” “would,” “will be,” “will continue,” “will likely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Factors that may cause actual results to differ materially from those in any forward looking statements include, without limitation, challenges with completion of the proposed acquisition as anticipated, including obtaining regulatory approvals and other conditions to the completion of the proposed acquisition; the effect of the announcement or pendency of the proposed acquisition on SoundHound AI’s or LivePerson’s business, operating results, and relationships with customers, suppliers, competitors and others; risks that the proposed acquisition may disrupt SoundHound AI’s or LivePerson’s current plans and business operations; the occurrence of any event, change or other circumstances that could give rise to the termination of the definitive agreement; the failure by the parties to satisfy the conditions to the consummation of the definitive agreement, including the approval of LivePerson’s stockholders; the outcome of any legal proceedings related to the proposed acquisition; restrictions during the pendency of the proposed acquisition that may impact LivePerson’s ability to pursue certain business opportunities or strategic transactions; failure to realize the anticipated benefits of the proposed acquisition; challenges or delays in assimilating or integrating LivePerson’s technology into SoundHound AI’s platform; challenges retaining employees of LivePerson after the proposed acquisition closes; unanticipated obligations or liabilities related to LivePerson’s legacy business; potential adverse tax consequences and the potential effects on the accounting of the proposed acquisition; changes in applicable laws or regulations and extensive and evolving government regulations that impact SoundHound AI’s or LivePerson’s operations and business; investigations, claims, disputes, enforcement actions, litigation and/or other regulatory or legal proceedings, including with respect to AI technology; risks that SoundHound AI may not be able to manage strains associated with its growth; dependence on key personnel; stock price volatility; SoundHound AI’s and LivePerson’s ability to protect their intellectual property and related litigation risks; the risk that LivePerson’s usage patterns, customer renewals, customer outcomes and similar metrics differ from expectations; the risk of cybersecurity incidents or breaches impacting LivePerson’s business; risks related to the use and regulation of artificial intelligence and machine learning; changes in business, market, financial, political and regulatory conditions; and disruption to SoundHound AI’s business and diversion of our management’s attention and other resources. The foregoing list of risk factors is not exhaustive. Further information on factors that could affect our financial and other results is included in the filings that SoundHound AI and/or LivePerson filed, or that will be filed, with the U.S. Securities and Exchange Commission, including as will be set forth in the registration statement to be filed with the U.S. Securities and Exchange Commission in connection with the proposed acquisition and the Proxy Statement/Prospectus contained therein.</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forward-looking statements are based on information available to SoundHound AI as of the date hereof, and SoundHound AI assumes no obligation to update any forward-looking statements, except as may be required under applicable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SoundHound AI intends to file with the U.S. Securities and Exchange Commission (the “SEC”) a registration statement on Form S-4 (the “Form S-4”) that will include a proxy statement of LivePerson and that will also constitute a prospectus of SoundHound AI with respect to the shares of the SoundHound AI common stock to be issued in the proposed transaction (the “proxy statement/prospectus”). The definitive proxy statement/prospectus (if and when available) will be filed with the SEC by, and mailed to shareholders of, LivePerson. Each of SoundHound AI and LivePerson may also file other relevant documents with the SEC regarding the proposed transaction.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SoundHound AI or LivePerson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SoundHound AI, LivePerson and their respective directors and executive officers may be deemed to be participants in the solicitation of proxies with respect to the proposed transaction under the rules of the SEC. Information about the directors and executive officers of SoundHound AI, including a description of their direct or indirect interests, by security holdings or otherwise, is set forth in the SoundHound AI’s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including a description of their direct or indirect interests, by security holdings or otherwise, is set forth in LivePerson’s Annual Report on Form 10-K for the year ended December 31, 2025 under the headings “Directors, Executive Officers and Corporate Governance”, “Executive Compensation”, “Security Ownership of Certain Beneficial Owners and Management and Related Stockholder Matters” and “Certain Relationships and Related Transactions, and Director Independence”, which was filed with the SEC on March 16, 2025 and is available at https://www.sec.gov/ix? doc=/Archives/edgar/data/0001102993/000110299326000014/lpsn-20251231.htm. To the extent holdings of LivePerson securities by its directors and executive officers have changed since the amounts set forth in LivePerson’s Annual Report on Form 10-K for the year ended December 31, 2025,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lowerLetter"/>
      <w:start w:val="3"/>
    </w:lvl>
  </w:abstractNum>
  <w:abstractNum w:abstractNumId="3">
    <w:nsid w:val="100F8FCA"/>
    <w:multiLevelType w:val="hybridMultilevel"/>
    <w:lvl w:ilvl="0">
      <w:lvlJc w:val="left"/>
      <w:lvlText w:val="(%1)"/>
      <w:numFmt w:val="lowerRoman"/>
      <w:start w:val="2"/>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1)"/>
      <w:numFmt w:val="lowerLetter"/>
      <w:start w:val="1"/>
    </w:lvl>
  </w:abstractNum>
  <w:abstractNum w:abstractNumId="6">
    <w:nsid w:val="5F5E7FD0"/>
    <w:multiLevelType w:val="hybridMultilevel"/>
    <w:lvl w:ilvl="0">
      <w:lvlJc w:val="left"/>
      <w:lvlText w:val="(%1)"/>
      <w:numFmt w:val="lowerLetter"/>
      <w:start w:val="1"/>
    </w:lvl>
  </w:abstractNum>
  <w:abstractNum w:abstractNumId="7">
    <w:nsid w:val="98A3148"/>
    <w:multiLevelType w:val="hybridMultilevel"/>
    <w:lvl w:ilvl="0">
      <w:lvlJc w:val="left"/>
      <w:lvlText w:val="(%1)"/>
      <w:numFmt w:val="lowerLetter"/>
      <w:start w:val="1"/>
    </w:lvl>
    <w:lvl w:ilvl="1">
      <w:lvlJc w:val="left"/>
      <w:lvlText w:val="(%2)"/>
      <w:numFmt w:val="lowerRoman"/>
      <w:start w:val="1"/>
    </w:lvl>
  </w:abstractNum>
  <w:abstractNum w:abstractNumId="8">
    <w:nsid w:val="799D0247"/>
    <w:multiLevelType w:val="hybridMultilevel"/>
    <w:lvl w:ilvl="0">
      <w:lvlJc w:val="left"/>
      <w:lvlText w:val="%1"/>
      <w:numFmt w:val="lowerLetter"/>
      <w:start w:val="1"/>
    </w:lvl>
    <w:lvl w:ilvl="1">
      <w:lvlJc w:val="left"/>
      <w:lvlText w:val="(%2)"/>
      <w:numFmt w:val="lowerRoman"/>
      <w:start w:val="4"/>
    </w:lvl>
  </w:abstractNum>
  <w:abstractNum w:abstractNumId="9">
    <w:nsid w:val="6B94764"/>
    <w:multiLevelType w:val="hybridMultilevel"/>
    <w:lvl w:ilvl="0">
      <w:lvlJc w:val="left"/>
      <w:lvlText w:val="(%1)"/>
      <w:numFmt w:val="lowerLetter"/>
      <w:start w:val="2"/>
    </w:lvl>
    <w:lvl w:ilvl="1">
      <w:lvlJc w:val="left"/>
      <w:lvlText w:val="%2"/>
      <w:numFmt w:val="lowerRoman"/>
      <w:start w:val="1"/>
    </w:lvl>
  </w:abstractNum>
  <w:abstractNum w:abstractNumId="10">
    <w:nsid w:val="42C296BD"/>
    <w:multiLevelType w:val="hybridMultilevel"/>
    <w:lvl w:ilvl="0">
      <w:lvlJc w:val="left"/>
      <w:lvlText w:val="(%1)"/>
      <w:numFmt w:val="lowerLetter"/>
      <w:start w:val="1"/>
    </w:lvl>
  </w:abstractNum>
  <w:abstractNum w:abstractNumId="11">
    <w:nsid w:val="168E121F"/>
    <w:multiLevelType w:val="hybridMultilevel"/>
    <w:lvl w:ilvl="0">
      <w:lvlJc w:val="left"/>
      <w:lvlText w:val="(%1)"/>
      <w:numFmt w:val="lowerLetter"/>
      <w:start w:val="2"/>
    </w:lvl>
    <w:lvl w:ilvl="1">
      <w:lvlJc w:val="left"/>
      <w:lvlText w:val="(%2)"/>
      <w:numFmt w:val="lowerLetter"/>
      <w:start w:val="9"/>
    </w:lvl>
  </w:abstractNum>
  <w:abstractNum w:abstractNumId="12">
    <w:nsid w:val="1EBA5D23"/>
    <w:multiLevelType w:val="hybridMultilevel"/>
    <w:lvl w:ilvl="0">
      <w:lvlJc w:val="left"/>
      <w:lvlText w:val="%1"/>
      <w:numFmt w:val="lowerLetter"/>
      <w:start w:val="1"/>
    </w:lvl>
    <w:lvl w:ilvl="1">
      <w:lvlJc w:val="left"/>
      <w:lvlText w:val="(%2)"/>
      <w:numFmt w:val="lowerLetter"/>
      <w:start w:val="35"/>
    </w:lvl>
  </w:abstractNum>
  <w:abstractNum w:abstractNumId="13">
    <w:nsid w:val="661E3F1E"/>
    <w:multiLevelType w:val="hybridMultilevel"/>
    <w:lvl w:ilvl="0">
      <w:lvlJc w:val="left"/>
      <w:lvlText w:val="(%1)"/>
      <w:numFmt w:val="lowerLetter"/>
      <w:start w:val="3"/>
    </w:lvl>
    <w:lvl w:ilvl="1">
      <w:lvlJc w:val="left"/>
      <w:lvlText w:val="%2"/>
      <w:numFmt w:val="lowerLetter"/>
      <w:start w:val="1"/>
    </w:lvl>
  </w:abstractNum>
  <w:abstractNum w:abstractNumId="14">
    <w:nsid w:val="5DC79EA8"/>
    <w:multiLevelType w:val="hybridMultilevel"/>
    <w:lvl w:ilvl="0">
      <w:lvlJc w:val="left"/>
      <w:lvlText w:val="(%1)"/>
      <w:numFmt w:val="lowerLetter"/>
      <w:start w:val="4"/>
    </w:lvl>
  </w:abstractNum>
  <w:abstractNum w:abstractNumId="15">
    <w:nsid w:val="540A471C"/>
    <w:multiLevelType w:val="hybridMultilevel"/>
    <w:lvl w:ilvl="0">
      <w:lvlJc w:val="left"/>
      <w:lvlText w:val="(%1)"/>
      <w:numFmt w:val="lowerLetter"/>
      <w:start w:val="1"/>
    </w:lvl>
    <w:lvl w:ilvl="1">
      <w:lvlJc w:val="left"/>
      <w:lvlText w:val="(%2)"/>
      <w:numFmt w:val="lowerLetter"/>
      <w:start w:val="9"/>
    </w:lvl>
  </w:abstractNum>
  <w:abstractNum w:abstractNumId="16">
    <w:nsid w:val="7BD3EE7B"/>
    <w:multiLevelType w:val="hybridMultilevel"/>
    <w:lvl w:ilvl="0">
      <w:lvlJc w:val="left"/>
      <w:lvlText w:val="%1"/>
      <w:numFmt w:val="lowerLetter"/>
      <w:start w:val="1"/>
    </w:lvl>
    <w:lvl w:ilvl="1">
      <w:lvlJc w:val="left"/>
      <w:lvlText w:val="(%2)"/>
      <w:numFmt w:val="lowerRoman"/>
      <w:start w:val="2"/>
    </w:lvl>
  </w:abstractNum>
  <w:abstractNum w:abstractNumId="17">
    <w:nsid w:val="51D9C564"/>
    <w:multiLevelType w:val="hybridMultilevel"/>
    <w:lvl w:ilvl="0">
      <w:lvlJc w:val="left"/>
      <w:lvlText w:val="(%1)"/>
      <w:numFmt w:val="lowerLetter"/>
      <w:start w:val="2"/>
    </w:lvl>
    <w:lvl w:ilvl="1">
      <w:lvlJc w:val="left"/>
      <w:lvlText w:val="(%2)"/>
      <w:numFmt w:val="lowerRoman"/>
      <w:start w:val="1"/>
    </w:lvl>
  </w:abstractNum>
  <w:abstractNum w:abstractNumId="18">
    <w:nsid w:val="613EFDC5"/>
    <w:multiLevelType w:val="hybridMultilevel"/>
    <w:lvl w:ilvl="0">
      <w:lvlJc w:val="left"/>
      <w:lvlText w:val="(%1)"/>
      <w:numFmt w:val="lowerLetter"/>
      <w:start w:val="3"/>
    </w:lvl>
    <w:lvl w:ilvl="1">
      <w:lvlJc w:val="left"/>
      <w:lvlText w:val="(%2)"/>
      <w:numFmt w:val="lowerRoman"/>
      <w:start w:val="1"/>
    </w:lvl>
  </w:abstractNum>
  <w:abstractNum w:abstractNumId="19">
    <w:nsid w:val="BF72B14"/>
    <w:multiLevelType w:val="hybridMultilevel"/>
    <w:lvl w:ilvl="0">
      <w:lvlJc w:val="left"/>
      <w:lvlText w:val="%1"/>
      <w:numFmt w:val="lowerLetter"/>
      <w:start w:val="1"/>
    </w:lvl>
    <w:lvl w:ilvl="1">
      <w:lvlJc w:val="left"/>
      <w:lvlText w:val="(%2)"/>
      <w:numFmt w:val="lowerLetter"/>
      <w:start w:val="1"/>
    </w:lvl>
  </w:abstractNum>
  <w:abstractNum w:abstractNumId="20">
    <w:nsid w:val="11447B73"/>
    <w:multiLevelType w:val="hybridMultilevel"/>
    <w:lvl w:ilvl="0">
      <w:lvlJc w:val="left"/>
      <w:lvlText w:val="(%1)"/>
      <w:numFmt w:val="lowerLetter"/>
      <w:start w:val="35"/>
    </w:lvl>
    <w:lvl w:ilvl="1">
      <w:lvlJc w:val="left"/>
      <w:lvlText w:val="%2"/>
      <w:numFmt w:val="lowerLetter"/>
      <w:start w:val="1"/>
    </w:lvl>
  </w:abstractNum>
  <w:abstractNum w:abstractNumId="21">
    <w:nsid w:val="42963E5A"/>
    <w:multiLevelType w:val="hybridMultilevel"/>
    <w:lvl w:ilvl="0">
      <w:lvlJc w:val="left"/>
      <w:lvlText w:val="(%1)"/>
      <w:numFmt w:val="lowerLetter"/>
      <w:start w:val="3"/>
    </w:lvl>
  </w:abstractNum>
  <w:abstractNum w:abstractNumId="22">
    <w:nsid w:val="A0382C5"/>
    <w:multiLevelType w:val="hybridMultilevel"/>
    <w:lvl w:ilvl="0">
      <w:lvlJc w:val="left"/>
      <w:lvlText w:val="%1"/>
      <w:numFmt w:val="decimal"/>
      <w:start w:val="1"/>
    </w:lvl>
    <w:lvl w:ilvl="1">
      <w:lvlJc w:val="left"/>
      <w:lvlText w:val="(%2)"/>
      <w:numFmt w:val="lowerLetter"/>
      <w:start w:val="1"/>
    </w:lvl>
  </w:abstractNum>
  <w:abstractNum w:abstractNumId="23">
    <w:nsid w:val="8F2B15E"/>
    <w:multiLevelType w:val="hybridMultilevel"/>
    <w:lvl w:ilvl="0">
      <w:lvlJc w:val="left"/>
      <w:lvlText w:val="(%1)"/>
      <w:numFmt w:val="decimal"/>
      <w:start w:val="7"/>
    </w:lvl>
    <w:lvl w:ilvl="1">
      <w:lvlJc w:val="left"/>
      <w:lvlText w:val="%2"/>
      <w:numFmt w:val="lowerLetter"/>
      <w:start w:val="1"/>
    </w:lvl>
  </w:abstractNum>
  <w:abstractNum w:abstractNumId="24">
    <w:nsid w:val="1A32234B"/>
    <w:multiLevelType w:val="hybridMultilevel"/>
    <w:lvl w:ilvl="0">
      <w:lvlJc w:val="left"/>
      <w:lvlText w:val="(%1)"/>
      <w:numFmt w:val="lowerLetter"/>
      <w:start w:val="3"/>
    </w:lvl>
  </w:abstractNum>
  <w:abstractNum w:abstractNumId="25">
    <w:nsid w:val="3B0FD379"/>
    <w:multiLevelType w:val="hybridMultilevel"/>
    <w:lvl w:ilvl="0">
      <w:lvlJc w:val="left"/>
      <w:lvlText w:val="(%1)"/>
      <w:numFmt w:val="lowerLetter"/>
      <w:start w:val="1"/>
    </w:lvl>
  </w:abstractNum>
  <w:abstractNum w:abstractNumId="26">
    <w:nsid w:val="68EB2F63"/>
    <w:multiLevelType w:val="hybridMultilevel"/>
    <w:lvl w:ilvl="0">
      <w:lvlJc w:val="left"/>
      <w:lvlText w:val="(%1)"/>
      <w:numFmt w:val="lowerLetter"/>
      <w:start w:val="2"/>
    </w:lvl>
  </w:abstractNum>
  <w:abstractNum w:abstractNumId="27">
    <w:nsid w:val="4962813B"/>
    <w:multiLevelType w:val="hybridMultilevel"/>
    <w:lvl w:ilvl="0">
      <w:lvlJc w:val="left"/>
      <w:lvlText w:val="(%1)"/>
      <w:numFmt w:val="lowerLetter"/>
      <w:start w:val="1"/>
    </w:lvl>
  </w:abstractNum>
  <w:abstractNum w:abstractNumId="28">
    <w:nsid w:val="60B6DF70"/>
    <w:multiLevelType w:val="hybridMultilevel"/>
    <w:lvl w:ilvl="0">
      <w:lvlJc w:val="left"/>
      <w:lvlText w:val="(%1)"/>
      <w:numFmt w:val="lowerLetter"/>
      <w:start w:val="4"/>
    </w:lvl>
  </w:abstractNum>
  <w:abstractNum w:abstractNumId="29">
    <w:nsid w:val="6A5EE64"/>
    <w:multiLevelType w:val="hybridMultilevel"/>
    <w:lvl w:ilvl="0">
      <w:lvlJc w:val="left"/>
      <w:lvlText w:val="(%1)"/>
      <w:numFmt w:val="lowerLetter"/>
      <w:start w:val="1"/>
    </w:lvl>
  </w:abstractNum>
  <w:abstractNum w:abstractNumId="30">
    <w:nsid w:val="14330624"/>
    <w:multiLevelType w:val="hybridMultilevel"/>
    <w:lvl w:ilvl="0">
      <w:lvlJc w:val="left"/>
      <w:lvlText w:val="(%1)"/>
      <w:numFmt w:val="lowerLetter"/>
      <w:start w:val="2"/>
    </w:lvl>
  </w:abstractNum>
  <w:abstractNum w:abstractNumId="31">
    <w:nsid w:val="7FFFCA11"/>
    <w:multiLevelType w:val="hybridMultilevel"/>
    <w:lvl w:ilvl="0">
      <w:lvlJc w:val="left"/>
      <w:lvlText w:val="(%1)"/>
      <w:numFmt w:val="lowerLetter"/>
      <w:start w:val="1"/>
    </w:lvl>
  </w:abstractNum>
  <w:abstractNum w:abstractNumId="32">
    <w:nsid w:val="1A27709E"/>
    <w:multiLevelType w:val="hybridMultilevel"/>
    <w:lvl w:ilvl="0">
      <w:lvlJc w:val="left"/>
      <w:lvlText w:val="(%1)"/>
      <w:numFmt w:val="lowerLetter"/>
      <w:start w:val="3"/>
    </w:lvl>
  </w:abstractNum>
  <w:abstractNum w:abstractNumId="33">
    <w:nsid w:val="71EA1109"/>
    <w:multiLevelType w:val="hybridMultilevel"/>
    <w:lvl w:ilvl="0">
      <w:lvlJc w:val="left"/>
      <w:lvlText w:val="(%1)"/>
      <w:numFmt w:val="lowerLetter"/>
      <w:start w:val="8"/>
    </w:lvl>
  </w:abstractNum>
  <w:abstractNum w:abstractNumId="34">
    <w:nsid w:val="100F59DC"/>
    <w:multiLevelType w:val="hybridMultilevel"/>
    <w:lvl w:ilvl="0">
      <w:lvlJc w:val="left"/>
      <w:lvlText w:val="(%1)"/>
      <w:numFmt w:val="lowerLetter"/>
      <w:start w:val="1"/>
    </w:lvl>
  </w:abstractNum>
  <w:abstractNum w:abstractNumId="35">
    <w:nsid w:val="7FB7E0AA"/>
    <w:multiLevelType w:val="hybridMultilevel"/>
    <w:lvl w:ilvl="0">
      <w:lvlJc w:val="left"/>
      <w:lvlText w:val="(%1)"/>
      <w:numFmt w:val="lowerLetter"/>
      <w:start w:val="4"/>
    </w:lvl>
  </w:abstractNum>
  <w:abstractNum w:abstractNumId="36">
    <w:nsid w:val="6EB5BD4"/>
    <w:multiLevelType w:val="hybridMultilevel"/>
    <w:lvl w:ilvl="0">
      <w:lvlJc w:val="left"/>
      <w:lvlText w:val="(%1)"/>
      <w:numFmt w:val="lowerLetter"/>
      <w:start w:val="7"/>
    </w:lvl>
  </w:abstractNum>
  <w:abstractNum w:abstractNumId="37">
    <w:nsid w:val="6F6DD9AC"/>
    <w:multiLevelType w:val="hybridMultilevel"/>
    <w:lvl w:ilvl="0">
      <w:lvlJc w:val="left"/>
      <w:lvlText w:val="(%1)"/>
      <w:numFmt w:val="lowerLetter"/>
      <w:start w:val="1"/>
    </w:lvl>
    <w:lvl w:ilvl="1">
      <w:lvlJc w:val="left"/>
      <w:lvlText w:val="(%2)"/>
      <w:numFmt w:val="lowerRoman"/>
      <w:start w:val="1"/>
    </w:lvl>
  </w:abstractNum>
  <w:abstractNum w:abstractNumId="38">
    <w:nsid w:val="94211F2"/>
    <w:multiLevelType w:val="hybridMultilevel"/>
    <w:lvl w:ilvl="0">
      <w:lvlJc w:val="left"/>
      <w:lvlText w:val="(%1)"/>
      <w:numFmt w:val="lowerRoman"/>
      <w:start w:val="6"/>
    </w:lvl>
  </w:abstractNum>
  <w:abstractNum w:abstractNumId="39">
    <w:nsid w:val="885E1B"/>
    <w:multiLevelType w:val="hybridMultilevel"/>
    <w:lvl w:ilvl="0">
      <w:lvlJc w:val="left"/>
      <w:lvlText w:val="(%1)"/>
      <w:numFmt w:val="lowerRoman"/>
      <w:start w:val="14"/>
    </w:lvl>
  </w:abstractNum>
  <w:abstractNum w:abstractNumId="40">
    <w:nsid w:val="76272110"/>
    <w:multiLevelType w:val="hybridMultilevel"/>
    <w:lvl w:ilvl="0">
      <w:lvlJc w:val="left"/>
      <w:lvlText w:val="(%1)"/>
      <w:numFmt w:val="lowerLetter"/>
      <w:start w:val="2"/>
    </w:lvl>
  </w:abstractNum>
  <w:abstractNum w:abstractNumId="41">
    <w:nsid w:val="4C04A8AF"/>
    <w:multiLevelType w:val="hybridMultilevel"/>
    <w:lvl w:ilvl="0">
      <w:lvlJc w:val="left"/>
      <w:lvlText w:val="(%1)"/>
      <w:numFmt w:val="lowerLetter"/>
      <w:start w:val="4"/>
    </w:lvl>
  </w:abstractNum>
  <w:abstractNum w:abstractNumId="42">
    <w:nsid w:val="1716703B"/>
    <w:multiLevelType w:val="hybridMultilevel"/>
    <w:lvl w:ilvl="0">
      <w:lvlJc w:val="left"/>
      <w:lvlText w:val="%1"/>
      <w:numFmt w:val="lowerLetter"/>
      <w:start w:val="1"/>
    </w:lvl>
    <w:lvl w:ilvl="1">
      <w:lvlJc w:val="left"/>
      <w:lvlText w:val="(%2)"/>
      <w:numFmt w:val="lowerLetter"/>
      <w:start w:val="1"/>
    </w:lvl>
  </w:abstractNum>
  <w:abstractNum w:abstractNumId="43">
    <w:nsid w:val="14E17E33"/>
    <w:multiLevelType w:val="hybridMultilevel"/>
    <w:lvl w:ilvl="0">
      <w:lvlJc w:val="left"/>
      <w:lvlText w:val="(%1)"/>
      <w:numFmt w:val="lowerLetter"/>
      <w:start w:val="9"/>
    </w:lvl>
    <w:lvl w:ilvl="1">
      <w:lvlJc w:val="left"/>
      <w:lvlText w:val="%2"/>
      <w:numFmt w:val="lowerLetter"/>
      <w:start w:val="1"/>
    </w:lvl>
  </w:abstractNum>
  <w:abstractNum w:abstractNumId="44">
    <w:nsid w:val="3222E7CD"/>
    <w:multiLevelType w:val="hybridMultilevel"/>
    <w:lvl w:ilvl="0">
      <w:lvlJc w:val="left"/>
      <w:lvlText w:val="%1"/>
      <w:numFmt w:val="lowerLetter"/>
      <w:start w:val="1"/>
    </w:lvl>
    <w:lvl w:ilvl="1">
      <w:lvlJc w:val="left"/>
      <w:lvlText w:val="(%2)"/>
      <w:numFmt w:val="lowerLetter"/>
      <w:start w:val="3"/>
    </w:lvl>
  </w:abstractNum>
  <w:abstractNum w:abstractNumId="45">
    <w:nsid w:val="74DE0EE3"/>
    <w:multiLevelType w:val="hybridMultilevel"/>
    <w:lvl w:ilvl="0">
      <w:lvlJc w:val="left"/>
      <w:lvlText w:val="(%1)"/>
      <w:numFmt w:val="lowerLetter"/>
      <w:start w:val="9"/>
    </w:lvl>
    <w:lvl w:ilvl="1">
      <w:lvlJc w:val="left"/>
      <w:lvlText w:val="%2"/>
      <w:numFmt w:val="lowerLetter"/>
      <w:start w:val="1"/>
    </w:lvl>
  </w:abstractNum>
  <w:abstractNum w:abstractNumId="46">
    <w:nsid w:val="68EBC550"/>
    <w:multiLevelType w:val="hybridMultilevel"/>
    <w:lvl w:ilvl="0">
      <w:lvlJc w:val="left"/>
      <w:lvlText w:val="%1"/>
      <w:numFmt w:val="lowerLetter"/>
      <w:start w:val="1"/>
    </w:lvl>
    <w:lvl w:ilvl="1">
      <w:lvlJc w:val="left"/>
      <w:lvlText w:val="(%2)"/>
      <w:numFmt w:val="lowerLetter"/>
      <w:start w:val="6"/>
    </w:lvl>
  </w:abstractNum>
  <w:abstractNum w:abstractNumId="47">
    <w:nsid w:val="2DF6D648"/>
    <w:multiLevelType w:val="hybridMultilevel"/>
    <w:lvl w:ilvl="0">
      <w:lvlJc w:val="left"/>
      <w:lvlText w:val="(%1)"/>
      <w:numFmt w:val="lowerLetter"/>
      <w:start w:val="9"/>
    </w:lvl>
    <w:lvl w:ilvl="1">
      <w:lvlJc w:val="left"/>
      <w:lvlText w:val="(%2)"/>
      <w:numFmt w:val="lowerLetter"/>
      <w:start w:val="8"/>
    </w:lvl>
  </w:abstractNum>
  <w:abstractNum w:abstractNumId="48">
    <w:nsid w:val="46B7D447"/>
    <w:multiLevelType w:val="hybridMultilevel"/>
    <w:lvl w:ilvl="0">
      <w:lvlJc w:val="left"/>
      <w:lvlText w:val="(%1)"/>
      <w:numFmt w:val="lowerLetter"/>
      <w:start w:val="12"/>
    </w:lvl>
  </w:abstractNum>
  <w:abstractNum w:abstractNumId="49">
    <w:nsid w:val="4A2AC315"/>
    <w:multiLevelType w:val="hybridMultilevel"/>
    <w:lvl w:ilvl="0">
      <w:lvlJc w:val="left"/>
      <w:lvlText w:val="%1"/>
      <w:numFmt w:val="lowerLetter"/>
      <w:start w:val="1"/>
    </w:lvl>
    <w:lvl w:ilvl="1">
      <w:lvlJc w:val="left"/>
      <w:lvlText w:val="(%2)"/>
      <w:numFmt w:val="lowerLetter"/>
      <w:start w:val="1"/>
    </w:lvl>
  </w:abstractNum>
  <w:abstractNum w:abstractNumId="50">
    <w:nsid w:val="39EE015C"/>
    <w:multiLevelType w:val="hybridMultilevel"/>
    <w:lvl w:ilvl="0">
      <w:lvlJc w:val="left"/>
      <w:lvlText w:val="(%1)"/>
      <w:numFmt w:val="lowerLetter"/>
      <w:start w:val="35"/>
    </w:lvl>
    <w:lvl w:ilvl="1">
      <w:lvlJc w:val="left"/>
      <w:lvlText w:val="(%2)"/>
      <w:numFmt w:val="lowerLetter"/>
      <w:start w:val="2"/>
    </w:lvl>
  </w:abstractNum>
  <w:abstractNum w:abstractNumId="51">
    <w:nsid w:val="57FC4FBB"/>
    <w:multiLevelType w:val="hybridMultilevel"/>
    <w:lvl w:ilvl="0">
      <w:lvlJc w:val="left"/>
      <w:lvlText w:val="(%1)"/>
      <w:numFmt w:val="lowerLetter"/>
      <w:start w:val="3"/>
    </w:lvl>
  </w:abstractNum>
  <w:abstractNum w:abstractNumId="52">
    <w:nsid w:val="CC1016F"/>
    <w:multiLevelType w:val="hybridMultilevel"/>
    <w:lvl w:ilvl="0">
      <w:lvlJc w:val="left"/>
      <w:lvlText w:val="(%1)"/>
      <w:numFmt w:val="lowerRoman"/>
      <w:start w:val="1"/>
    </w:lvl>
  </w:abstractNum>
  <w:abstractNum w:abstractNumId="53">
    <w:nsid w:val="43F18422"/>
    <w:multiLevelType w:val="hybridMultilevel"/>
    <w:lvl w:ilvl="0">
      <w:lvlJc w:val="left"/>
      <w:lvlText w:val="(%1)"/>
      <w:numFmt w:val="lowerRoman"/>
      <w:start w:val="3"/>
    </w:lvl>
  </w:abstractNum>
  <w:abstractNum w:abstractNumId="54">
    <w:nsid w:val="60EF0119"/>
    <w:multiLevelType w:val="hybridMultilevel"/>
    <w:lvl w:ilvl="0">
      <w:lvlJc w:val="left"/>
      <w:lvlText w:val="%1"/>
      <w:numFmt w:val="lowerLetter"/>
      <w:start w:val="1"/>
    </w:lvl>
    <w:lvl w:ilvl="1">
      <w:lvlJc w:val="left"/>
      <w:lvlText w:val="(%2)"/>
      <w:numFmt w:val="lowerRoman"/>
      <w:start w:val="10"/>
    </w:lvl>
  </w:abstractNum>
  <w:abstractNum w:abstractNumId="55">
    <w:nsid w:val="26F324BA"/>
    <w:multiLevelType w:val="hybridMultilevel"/>
    <w:lvl w:ilvl="0">
      <w:lvlJc w:val="left"/>
      <w:lvlText w:val="(%1)"/>
      <w:numFmt w:val="lowerLetter"/>
      <w:start w:val="2"/>
    </w:lvl>
    <w:lvl w:ilvl="1">
      <w:lvlJc w:val="left"/>
      <w:lvlText w:val="%2"/>
      <w:numFmt w:val="lowerRoman"/>
      <w:start w:val="1"/>
    </w:lvl>
  </w:abstractNum>
  <w:abstractNum w:abstractNumId="56">
    <w:nsid w:val="7F01579B"/>
    <w:multiLevelType w:val="hybridMultilevel"/>
    <w:lvl w:ilvl="0">
      <w:lvlJc w:val="left"/>
      <w:lvlText w:val="(%1)"/>
      <w:numFmt w:val="lowerLetter"/>
      <w:start w:val="1"/>
    </w:lvl>
  </w:abstractNum>
  <w:abstractNum w:abstractNumId="57">
    <w:nsid w:val="49DA307D"/>
    <w:multiLevelType w:val="hybridMultilevel"/>
    <w:lvl w:ilvl="0">
      <w:lvlJc w:val="left"/>
      <w:lvlText w:val="(%1)"/>
      <w:numFmt w:val="lowerLetter"/>
      <w:start w:val="1"/>
    </w:lvl>
  </w:abstractNum>
  <w:abstractNum w:abstractNumId="58">
    <w:nsid w:val="7055A5F5"/>
    <w:multiLevelType w:val="hybridMultilevel"/>
    <w:lvl w:ilvl="0">
      <w:lvlJc w:val="left"/>
      <w:lvlText w:val="(%1)"/>
      <w:numFmt w:val="lowerLetter"/>
      <w:start w:val="3"/>
    </w:lvl>
  </w:abstractNum>
  <w:abstractNum w:abstractNumId="59">
    <w:nsid w:val="5FB8370B"/>
    <w:multiLevelType w:val="hybridMultilevel"/>
    <w:lvl w:ilvl="0">
      <w:lvlJc w:val="left"/>
      <w:lvlText w:val="(%1)"/>
      <w:numFmt w:val="lowerLetter"/>
      <w:start w:val="1"/>
    </w:lvl>
  </w:abstractNum>
  <w:abstractNum w:abstractNumId="60">
    <w:nsid w:val="50801EE1"/>
    <w:multiLevelType w:val="hybridMultilevel"/>
    <w:lvl w:ilvl="0">
      <w:lvlJc w:val="left"/>
      <w:lvlText w:val="(%1)"/>
      <w:numFmt w:val="lowerLetter"/>
      <w:start w:val="4"/>
    </w:lvl>
  </w:abstractNum>
  <w:abstractNum w:abstractNumId="61">
    <w:nsid w:val="488AC1A"/>
    <w:multiLevelType w:val="hybridMultilevel"/>
    <w:lvl w:ilvl="0">
      <w:lvlJc w:val="left"/>
      <w:lvlText w:val="(%1)"/>
      <w:numFmt w:val="lowerLetter"/>
      <w:start w:val="1"/>
    </w:lvl>
  </w:abstractNum>
  <w:abstractNum w:abstractNumId="62">
    <w:nsid w:val="5FB8011C"/>
    <w:multiLevelType w:val="hybridMultilevel"/>
    <w:lvl w:ilvl="0">
      <w:lvlJc w:val="left"/>
      <w:lvlText w:val="(%1)"/>
      <w:numFmt w:val="lowerLetter"/>
      <w:start w:val="4"/>
    </w:lvl>
  </w:abstractNum>
  <w:abstractNum w:abstractNumId="63">
    <w:nsid w:val="6AA78F7F"/>
    <w:multiLevelType w:val="hybridMultilevel"/>
    <w:lvl w:ilvl="0">
      <w:lvlJc w:val="left"/>
      <w:lvlText w:val="(%1)"/>
      <w:numFmt w:val="lowerLetter"/>
      <w:start w:val="1"/>
    </w:lvl>
  </w:abstractNum>
  <w:abstractNum w:abstractNumId="64">
    <w:nsid w:val="7672BD23"/>
    <w:multiLevelType w:val="hybridMultilevel"/>
    <w:lvl w:ilvl="0">
      <w:lvlJc w:val="left"/>
      <w:lvlText w:val="%1"/>
      <w:numFmt w:val="lowerLetter"/>
      <w:start w:val="1"/>
    </w:lvl>
    <w:lvl w:ilvl="1">
      <w:lvlJc w:val="left"/>
      <w:lvlText w:val="(%2)"/>
      <w:numFmt w:val="lowerLetter"/>
      <w:start w:val="4"/>
    </w:lvl>
  </w:abstractNum>
  <w:abstractNum w:abstractNumId="65">
    <w:nsid w:val="6FC75AF8"/>
    <w:multiLevelType w:val="hybridMultilevel"/>
    <w:lvl w:ilvl="0">
      <w:lvlJc w:val="left"/>
      <w:lvlText w:val="(%1)"/>
      <w:numFmt w:val="lowerLetter"/>
      <w:start w:val="35"/>
    </w:lvl>
    <w:lvl w:ilvl="1">
      <w:lvlJc w:val="left"/>
      <w:lvlText w:val="%2"/>
      <w:numFmt w:val="lowerLetter"/>
      <w:start w:val="1"/>
    </w:lvl>
  </w:abstractNum>
  <w:abstractNum w:abstractNumId="66">
    <w:nsid w:val="6A5F7029"/>
    <w:multiLevelType w:val="hybridMultilevel"/>
    <w:lvl w:ilvl="0">
      <w:lvlJc w:val="left"/>
      <w:lvlText w:val="(%1)"/>
      <w:numFmt w:val="lowerLetter"/>
      <w:start w:val="11"/>
    </w:lvl>
  </w:abstractNum>
  <w:abstractNum w:abstractNumId="67">
    <w:nsid w:val="7D5E18F8"/>
    <w:multiLevelType w:val="hybridMultilevel"/>
    <w:lvl w:ilvl="0">
      <w:lvlJc w:val="left"/>
      <w:lvlText w:val="(%1)"/>
      <w:numFmt w:val="lowerLetter"/>
      <w:start w:val="17"/>
    </w:lvl>
  </w:abstractNum>
  <w:abstractNum w:abstractNumId="68">
    <w:nsid w:val="5F3534A4"/>
    <w:multiLevelType w:val="hybridMultilevel"/>
    <w:lvl w:ilvl="0">
      <w:lvlJc w:val="left"/>
      <w:lvlText w:val="(%1)"/>
      <w:numFmt w:val="lowerLetter"/>
      <w:start w:val="22"/>
    </w:lvl>
  </w:abstractNum>
  <w:abstractNum w:abstractNumId="69">
    <w:nsid w:val="73A1821B"/>
    <w:multiLevelType w:val="hybridMultilevel"/>
    <w:lvl w:ilvl="0">
      <w:lvlJc w:val="left"/>
      <w:lvlText w:val="(%1)"/>
      <w:numFmt w:val="lowerLetter"/>
      <w:start w:val="1"/>
    </w:lvl>
  </w:abstractNum>
  <w:abstractNum w:abstractNumId="70">
    <w:nsid w:val="7DE67713"/>
    <w:multiLevelType w:val="hybridMultilevel"/>
    <w:lvl w:ilvl="0">
      <w:lvlJc w:val="left"/>
      <w:lvlText w:val="%1"/>
      <w:numFmt w:val="lowerLetter"/>
      <w:start w:val="1"/>
    </w:lvl>
    <w:lvl w:ilvl="1">
      <w:lvlJc w:val="left"/>
      <w:lvlText w:val="(%2)"/>
      <w:numFmt w:val="lowerLetter"/>
      <w:start w:val="3"/>
    </w:lvl>
  </w:abstractNum>
  <w:abstractNum w:abstractNumId="71">
    <w:nsid w:val="555C55B5"/>
    <w:multiLevelType w:val="hybridMultilevel"/>
    <w:lvl w:ilvl="0">
      <w:lvlJc w:val="left"/>
      <w:lvlText w:val="(%1)"/>
      <w:numFmt w:val="lowerLetter"/>
      <w:start w:val="35"/>
    </w:lvl>
    <w:lvl w:ilvl="1">
      <w:lvlJc w:val="left"/>
      <w:lvlText w:val="%2"/>
      <w:numFmt w:val="lowerLetter"/>
      <w:start w:val="1"/>
    </w:lvl>
  </w:abstractNum>
  <w:abstractNum w:abstractNumId="72">
    <w:nsid w:val="3FA62ACA"/>
    <w:multiLevelType w:val="hybridMultilevel"/>
    <w:lvl w:ilvl="0">
      <w:lvlJc w:val="left"/>
      <w:lvlText w:val="%1"/>
      <w:numFmt w:val="lowerLetter"/>
      <w:start w:val="1"/>
    </w:lvl>
    <w:lvl w:ilvl="1">
      <w:lvlJc w:val="left"/>
      <w:lvlText w:val="(%2)"/>
      <w:numFmt w:val="lowerLetter"/>
      <w:start w:val="4"/>
    </w:lvl>
  </w:abstractNum>
  <w:abstractNum w:abstractNumId="73">
    <w:nsid w:val="14FCE74E"/>
    <w:multiLevelType w:val="hybridMultilevel"/>
    <w:lvl w:ilvl="0">
      <w:lvlJc w:val="left"/>
      <w:lvlText w:val="(%1)"/>
      <w:numFmt w:val="lowerLetter"/>
      <w:start w:val="35"/>
    </w:lvl>
    <w:lvl w:ilvl="1">
      <w:lvlJc w:val="left"/>
      <w:lvlText w:val="%2"/>
      <w:numFmt w:val="lowerLetter"/>
      <w:start w:val="1"/>
    </w:lvl>
  </w:abstractNum>
  <w:abstractNum w:abstractNumId="74">
    <w:nsid w:val="6A3DD3E8"/>
    <w:multiLevelType w:val="hybridMultilevel"/>
    <w:lvl w:ilvl="0">
      <w:lvlJc w:val="left"/>
      <w:lvlText w:val="(%1)"/>
      <w:numFmt w:val="lowerLetter"/>
      <w:start w:val="1"/>
    </w:lvl>
  </w:abstractNum>
  <w:abstractNum w:abstractNumId="75">
    <w:nsid w:val="71C91298"/>
    <w:multiLevelType w:val="hybridMultilevel"/>
    <w:lvl w:ilvl="0">
      <w:lvlJc w:val="left"/>
      <w:lvlText w:val="(%1)"/>
      <w:numFmt w:val="lowerLetter"/>
      <w:start w:val="1"/>
    </w:lvl>
  </w:abstractNum>
  <w:abstractNum w:abstractNumId="76">
    <w:nsid w:val="9DAF632"/>
    <w:multiLevelType w:val="hybridMultilevel"/>
    <w:lvl w:ilvl="0">
      <w:lvlJc w:val="left"/>
      <w:lvlText w:val="%1"/>
      <w:numFmt w:val="lowerLetter"/>
      <w:start w:val="1"/>
    </w:lvl>
    <w:lvl w:ilvl="1">
      <w:lvlJc w:val="left"/>
      <w:lvlText w:val="(%2)"/>
      <w:numFmt w:val="lowerLetter"/>
      <w:start w:val="2"/>
    </w:lvl>
  </w:abstractNum>
  <w:abstractNum w:abstractNumId="77">
    <w:nsid w:val="53299938"/>
    <w:multiLevelType w:val="hybridMultilevel"/>
    <w:lvl w:ilvl="0">
      <w:lvlJc w:val="left"/>
      <w:lvlText w:val="(%1)"/>
      <w:numFmt w:val="lowerLetter"/>
      <w:start w:val="35"/>
    </w:lvl>
    <w:lvl w:ilvl="1">
      <w:lvlJc w:val="left"/>
      <w:lvlText w:val="(%2)"/>
      <w:numFmt w:val="lowerLetter"/>
      <w:start w:val="3"/>
    </w:lvl>
  </w:abstractNum>
  <w:abstractNum w:abstractNumId="78">
    <w:nsid w:val="1FBFE8E0"/>
    <w:multiLevelType w:val="hybridMultilevel"/>
    <w:lvl w:ilvl="0">
      <w:lvlJc w:val="left"/>
      <w:lvlText w:val="(%1)"/>
      <w:numFmt w:val="lowerLetter"/>
      <w:start w:val="4"/>
    </w:lvl>
    <w:lvl w:ilvl="1">
      <w:lvlJc w:val="left"/>
      <w:lvlText w:val="(%2)"/>
      <w:numFmt w:val="lowerRoman"/>
      <w:start w:val="1"/>
    </w:lvl>
  </w:abstractNum>
  <w:abstractNum w:abstractNumId="79">
    <w:nsid w:val="5092CA79"/>
    <w:multiLevelType w:val="hybridMultilevel"/>
    <w:lvl w:ilvl="0">
      <w:lvlJc w:val="left"/>
      <w:lvlText w:val="%1"/>
      <w:numFmt w:val="lowerRoman"/>
      <w:start w:val="1"/>
    </w:lvl>
    <w:lvl w:ilvl="1">
      <w:lvlJc w:val="left"/>
      <w:lvlText w:val="(%2)"/>
      <w:numFmt w:val="lowerLetter"/>
      <w:start w:val="6"/>
    </w:lvl>
  </w:abstractNum>
  <w:abstractNum w:abstractNumId="80">
    <w:nsid w:val="1D545C4D"/>
    <w:multiLevelType w:val="hybridMultilevel"/>
    <w:lvl w:ilvl="0">
      <w:lvlJc w:val="left"/>
      <w:lvlText w:val="(%1)"/>
      <w:numFmt w:val="lowerRoman"/>
      <w:start w:val="1"/>
    </w:lvl>
    <w:lvl w:ilvl="1">
      <w:lvlJc w:val="left"/>
      <w:lvlText w:val="(%2)"/>
      <w:numFmt w:val="lowerLetter"/>
      <w:start w:val="8"/>
    </w:lvl>
  </w:abstractNum>
  <w:abstractNum w:abstractNumId="81">
    <w:nsid w:val="59ADEA3D"/>
    <w:multiLevelType w:val="hybridMultilevel"/>
    <w:lvl w:ilvl="0">
      <w:lvlJc w:val="left"/>
      <w:lvlText w:val="%1"/>
      <w:numFmt w:val="lowerLetter"/>
      <w:start w:val="1"/>
    </w:lvl>
    <w:lvl w:ilvl="1">
      <w:lvlJc w:val="left"/>
      <w:lvlText w:val="(%2)"/>
      <w:numFmt w:val="lowerLetter"/>
      <w:start w:val="1"/>
    </w:lvl>
  </w:abstractNum>
  <w:abstractNum w:abstractNumId="82">
    <w:nsid w:val="288F1A34"/>
    <w:multiLevelType w:val="hybridMultilevel"/>
    <w:lvl w:ilvl="0">
      <w:lvlJc w:val="left"/>
      <w:lvlText w:val="(%1)"/>
      <w:numFmt w:val="lowerLetter"/>
      <w:start w:val="25"/>
    </w:lvl>
    <w:lvl w:ilvl="1">
      <w:lvlJc w:val="left"/>
      <w:lvlText w:val="%2"/>
      <w:numFmt w:val="lowerLetter"/>
      <w:start w:val="1"/>
    </w:lvl>
  </w:abstractNum>
  <w:abstractNum w:abstractNumId="83">
    <w:nsid w:val="2A155DBC"/>
    <w:multiLevelType w:val="hybridMultilevel"/>
    <w:lvl w:ilvl="0">
      <w:lvlJc w:val="left"/>
      <w:lvlText w:val="(%1)"/>
      <w:numFmt w:val="lowerLetter"/>
      <w:start w:val="2"/>
    </w:lvl>
  </w:abstractNum>
  <w:abstractNum w:abstractNumId="84">
    <w:nsid w:val="1D9F6E5F"/>
    <w:multiLevelType w:val="hybridMultilevel"/>
    <w:lvl w:ilvl="0">
      <w:lvlJc w:val="left"/>
      <w:lvlText w:val="(%1)"/>
      <w:numFmt w:val="lowerLetter"/>
      <w:start w:val="1"/>
    </w:lvl>
  </w:abstractNum>
  <w:abstractNum w:abstractNumId="85">
    <w:nsid w:val="97E1B4E"/>
    <w:multiLevelType w:val="hybridMultilevel"/>
    <w:lvl w:ilvl="0">
      <w:lvlJc w:val="left"/>
      <w:lvlText w:val="(%1)"/>
      <w:numFmt w:val="lowerLetter"/>
      <w:start w:val="1"/>
    </w:lvl>
  </w:abstractNum>
  <w:abstractNum w:abstractNumId="86">
    <w:nsid w:val="51088277"/>
    <w:multiLevelType w:val="hybridMultilevel"/>
    <w:lvl w:ilvl="0">
      <w:lvlJc w:val="left"/>
      <w:lvlText w:val="(%1)"/>
      <w:numFmt w:val="lowerLetter"/>
      <w:start w:val="3"/>
    </w:lvl>
  </w:abstractNum>
  <w:abstractNum w:abstractNumId="87">
    <w:nsid w:val="1CA0C5FA"/>
    <w:multiLevelType w:val="hybridMultilevel"/>
    <w:lvl w:ilvl="0">
      <w:lvlJc w:val="left"/>
      <w:lvlText w:val="(%1)"/>
      <w:numFmt w:val="lowerLetter"/>
      <w:start w:val="1"/>
    </w:lvl>
  </w:abstractNum>
  <w:abstractNum w:abstractNumId="88">
    <w:nsid w:val="53584BCB"/>
    <w:multiLevelType w:val="hybridMultilevel"/>
    <w:lvl w:ilvl="0">
      <w:lvlJc w:val="left"/>
      <w:lvlText w:val="(%1)"/>
      <w:numFmt w:val="lowerLetter"/>
      <w:start w:val="3"/>
    </w:lvl>
  </w:abstractNum>
  <w:abstractNum w:abstractNumId="89">
    <w:nsid w:val="415E286C"/>
    <w:multiLevelType w:val="hybridMultilevel"/>
    <w:lvl w:ilvl="0">
      <w:lvlJc w:val="left"/>
      <w:lvlText w:val="(%1)"/>
      <w:numFmt w:val="lowerLetter"/>
      <w:start w:val="1"/>
    </w:lvl>
  </w:abstractNum>
  <w:abstractNum w:abstractNumId="90">
    <w:nsid w:val="7C58FD05"/>
    <w:multiLevelType w:val="hybridMultilevel"/>
    <w:lvl w:ilvl="0">
      <w:lvlJc w:val="left"/>
      <w:lvlText w:val="(%1)"/>
      <w:numFmt w:val="lowerLetter"/>
      <w:start w:val="1"/>
    </w:lvl>
  </w:abstractNum>
  <w:abstractNum w:abstractNumId="91">
    <w:nsid w:val="23D86AAC"/>
    <w:multiLevelType w:val="hybridMultilevel"/>
    <w:lvl w:ilvl="0">
      <w:lvlJc w:val="left"/>
      <w:lvlText w:val="(%1)"/>
      <w:numFmt w:val="lowerLetter"/>
      <w:start w:val="2"/>
    </w:lvl>
  </w:abstractNum>
  <w:abstractNum w:abstractNumId="92">
    <w:nsid w:val="45E6D486"/>
    <w:multiLevelType w:val="hybridMultilevel"/>
    <w:lvl w:ilvl="0">
      <w:lvlJc w:val="left"/>
      <w:lvlText w:val="(%1)"/>
      <w:numFmt w:val="lowerLetter"/>
      <w:start w:val="1"/>
    </w:lvl>
  </w:abstractNum>
  <w:abstractNum w:abstractNumId="93">
    <w:nsid w:val="5C10FE21"/>
    <w:multiLevelType w:val="hybridMultilevel"/>
    <w:lvl w:ilvl="0">
      <w:lvlJc w:val="left"/>
      <w:lvlText w:val="(%1)"/>
      <w:numFmt w:val="lowerLetter"/>
      <w:start w:val="2"/>
    </w:lvl>
  </w:abstractNum>
  <w:abstractNum w:abstractNumId="94">
    <w:nsid w:val="E7FFA2B"/>
    <w:multiLevelType w:val="hybridMultilevel"/>
    <w:lvl w:ilvl="0">
      <w:lvlJc w:val="left"/>
      <w:lvlText w:val="(%1)"/>
      <w:numFmt w:val="lowerLetter"/>
      <w:start w:val="1"/>
    </w:lvl>
  </w:abstractNum>
  <w:abstractNum w:abstractNumId="95">
    <w:nsid w:val="3C5991AA"/>
    <w:multiLevelType w:val="hybridMultilevel"/>
    <w:lvl w:ilvl="0">
      <w:lvlJc w:val="left"/>
      <w:lvlText w:val="(%1)"/>
      <w:numFmt w:val="lowerLetter"/>
      <w:start w:val="6"/>
    </w:lvl>
  </w:abstractNum>
  <w:abstractNum w:abstractNumId="96">
    <w:nsid w:val="4BD8591A"/>
    <w:multiLevelType w:val="hybridMultilevel"/>
    <w:lvl w:ilvl="0">
      <w:lvlJc w:val="left"/>
      <w:lvlText w:val="(%1)"/>
      <w:numFmt w:val="lowerLetter"/>
      <w:start w:val="1"/>
    </w:lvl>
  </w:abstractNum>
  <w:abstractNum w:abstractNumId="97">
    <w:nsid w:val="78DF6A55"/>
    <w:multiLevelType w:val="hybridMultilevel"/>
    <w:lvl w:ilvl="0">
      <w:lvlJc w:val="left"/>
      <w:lvlText w:val="(%1)"/>
      <w:numFmt w:val="lowerLetter"/>
      <w:start w:val="4"/>
    </w:lvl>
  </w:abstractNum>
  <w:abstractNum w:abstractNumId="98">
    <w:nsid w:val="39B7AAA2"/>
    <w:multiLevelType w:val="hybridMultilevel"/>
    <w:lvl w:ilvl="0">
      <w:lvlJc w:val="left"/>
      <w:lvlText w:val="(%1)"/>
      <w:numFmt w:val="lowerLetter"/>
      <w:start w:val="7"/>
    </w:lvl>
  </w:abstractNum>
  <w:abstractNum w:abstractNumId="99">
    <w:nsid w:val="2B0D8DBE"/>
    <w:multiLevelType w:val="hybridMultilevel"/>
    <w:lvl w:ilvl="0">
      <w:lvlJc w:val="left"/>
      <w:lvlText w:val="(%1)"/>
      <w:numFmt w:val="lowerRoman"/>
      <w:start w:val="2"/>
    </w:lvl>
  </w:abstractNum>
  <w:abstractNum w:abstractNumId="100">
    <w:nsid w:val="6C80EC70"/>
    <w:multiLevelType w:val="hybridMultilevel"/>
    <w:lvl w:ilvl="0">
      <w:lvlJc w:val="left"/>
      <w:lvlText w:val="(%1)"/>
      <w:numFmt w:val="lowerLetter"/>
      <w:start w:val="6"/>
    </w:lvl>
  </w:abstractNum>
  <w:abstractNum w:abstractNumId="101">
    <w:nsid w:val="379E21B5"/>
    <w:multiLevelType w:val="hybridMultilevel"/>
    <w:lvl w:ilvl="0">
      <w:lvlJc w:val="left"/>
      <w:lvlText w:val="(%1)"/>
      <w:numFmt w:val="lowerLetter"/>
      <w:start w:val="2"/>
    </w:lvl>
  </w:abstractNum>
  <w:abstractNum w:abstractNumId="102">
    <w:nsid w:val="69E373"/>
    <w:multiLevelType w:val="hybridMultilevel"/>
    <w:lvl w:ilvl="0">
      <w:lvlJc w:val="left"/>
      <w:lvlText w:val="(%1)"/>
      <w:numFmt w:val="lowerLetter"/>
      <w:start w:val="2"/>
    </w:lvl>
  </w:abstractNum>
  <w:abstractNum w:abstractNumId="103">
    <w:nsid w:val="2C27173B"/>
    <w:multiLevelType w:val="hybridMultilevel"/>
    <w:lvl w:ilvl="0">
      <w:lvlJc w:val="left"/>
      <w:lvlText w:val="(%1)"/>
      <w:numFmt w:val="lowerLetter"/>
      <w:start w:val="1"/>
    </w:lvl>
  </w:abstractNum>
  <w:abstractNum w:abstractNumId="104">
    <w:nsid w:val="4C9B0904"/>
    <w:multiLevelType w:val="hybridMultilevel"/>
    <w:lvl w:ilvl="0">
      <w:lvlJc w:val="left"/>
      <w:lvlText w:val="%1"/>
      <w:numFmt w:val="upperLetter"/>
      <w:start w:val="1"/>
    </w:lvl>
    <w:lvl w:ilvl="1">
      <w:lvlJc w:val="left"/>
      <w:lvlText w:val="(%2)"/>
      <w:numFmt w:val="lowerLetter"/>
      <w:start w:val="2"/>
    </w:lvl>
  </w:abstractNum>
  <w:abstractNum w:abstractNumId="105">
    <w:nsid w:val="6AA7B75C"/>
    <w:multiLevelType w:val="hybridMultilevel"/>
    <w:lvl w:ilvl="0">
      <w:lvlJc w:val="left"/>
      <w:lvlText w:val="(%1)"/>
      <w:numFmt w:val="upperLetter"/>
      <w:start w:val="9"/>
    </w:lvl>
    <w:lvl w:ilvl="1">
      <w:lvlJc w:val="left"/>
      <w:lvlText w:val="%2"/>
      <w:numFmt w:val="lowerLetter"/>
      <w:start w:val="1"/>
    </w:lvl>
  </w:abstractNum>
  <w:abstractNum w:abstractNumId="106">
    <w:nsid w:val="1DF029D3"/>
    <w:multiLevelType w:val="hybridMultilevel"/>
    <w:lvl w:ilvl="0">
      <w:lvlJc w:val="left"/>
      <w:lvlText w:val="(%1)"/>
      <w:numFmt w:val="lowerLetter"/>
      <w:start w:val="2"/>
    </w:lvl>
  </w:abstractNum>
  <w:abstractNum w:abstractNumId="107">
    <w:nsid w:val="5675FF36"/>
    <w:multiLevelType w:val="hybridMultilevel"/>
    <w:lvl w:ilvl="0">
      <w:lvlJc w:val="left"/>
      <w:lvlText w:val="(%1)"/>
      <w:numFmt w:val="lowerLetter"/>
      <w:start w:val="1"/>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lowerLetter"/>
      <w:start w:val="1"/>
    </w:lvl>
  </w:abstractNum>
  <w:abstractNum w:abstractNumId="110">
    <w:nsid w:val="2708C9AF"/>
    <w:multiLevelType w:val="hybridMultilevel"/>
    <w:lvl w:ilvl="0">
      <w:lvlJc w:val="left"/>
      <w:lvlText w:val="(%1)"/>
      <w:numFmt w:val="lowerLetter"/>
      <w:start w:val="1"/>
    </w:lvl>
  </w:abstractNum>
  <w:abstractNum w:abstractNumId="111">
    <w:nsid w:val="5B25ACE2"/>
    <w:multiLevelType w:val="hybridMultilevel"/>
    <w:lvl w:ilvl="0">
      <w:lvlJc w:val="left"/>
      <w:lvlText w:val="(%1)"/>
      <w:numFmt w:val="lowerLetter"/>
      <w:start w:val="1"/>
    </w:lvl>
  </w:abstractNum>
  <w:abstractNum w:abstractNumId="112">
    <w:nsid w:val="175DFCF0"/>
    <w:multiLevelType w:val="hybridMultilevel"/>
    <w:lvl w:ilvl="0">
      <w:lvlJc w:val="left"/>
      <w:lvlText w:val="(%1)"/>
      <w:numFmt w:val="lowerLetter"/>
      <w:start w:val="3"/>
    </w:lvl>
  </w:abstractNum>
  <w:abstractNum w:abstractNumId="113">
    <w:nsid w:val="4F97E3E4"/>
    <w:multiLevelType w:val="hybridMultilevel"/>
    <w:lvl w:ilvl="0">
      <w:lvlJc w:val="left"/>
      <w:lvlText w:val="(%1)"/>
      <w:numFmt w:val="lowerLetter"/>
      <w:start w:val="1"/>
    </w:lvl>
  </w:abstractNum>
  <w:abstractNum w:abstractNumId="114">
    <w:nsid w:val="53B0A9E"/>
    <w:multiLevelType w:val="hybridMultilevel"/>
    <w:lvl w:ilvl="0">
      <w:lvlJc w:val="left"/>
      <w:lvlText w:val="(%1)"/>
      <w:numFmt w:val="lowerLetter"/>
      <w:start w:val="6"/>
    </w:lvl>
  </w:abstractNum>
  <w:abstractNum w:abstractNumId="115">
    <w:nsid w:val="34FD6B4F"/>
    <w:multiLevelType w:val="hybridMultilevel"/>
    <w:lvl w:ilvl="0">
      <w:lvlJc w:val="left"/>
      <w:lvlText w:val="(%1)"/>
      <w:numFmt w:val="lowerLetter"/>
      <w:start w:val="1"/>
    </w:lvl>
  </w:abstractNum>
  <w:abstractNum w:abstractNumId="116">
    <w:nsid w:val="5915FF32"/>
    <w:multiLevelType w:val="hybridMultilevel"/>
    <w:lvl w:ilvl="0">
      <w:lvlJc w:val="left"/>
      <w:lvlText w:val="(%1)"/>
      <w:numFmt w:val="lowerLetter"/>
      <w:start w:val="1"/>
    </w:lvl>
    <w:lvl w:ilvl="1">
      <w:lvlJc w:val="left"/>
      <w:lvlText w:val="(%2)"/>
      <w:numFmt w:val="lowerLetter"/>
      <w:start w:val="35"/>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1"/>
    </w:lvl>
  </w:abstractNum>
  <w:abstractNum w:abstractNumId="119">
    <w:nsid w:val="2C6E4AFD"/>
    <w:multiLevelType w:val="hybridMultilevel"/>
    <w:lvl w:ilvl="0">
      <w:lvlJc w:val="left"/>
      <w:lvlText w:val="(%1)"/>
      <w:numFmt w:val="lowerLetter"/>
      <w:start w:val="1"/>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lowerLetter"/>
      <w:start w:val="2"/>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1)"/>
      <w:numFmt w:val="lowerLetter"/>
      <w:start w:val="4"/>
    </w:lvl>
  </w:abstractNum>
  <w:abstractNum w:abstractNumId="124">
    <w:nsid w:val="2A082C70"/>
    <w:multiLevelType w:val="hybridMultilevel"/>
    <w:lvl w:ilvl="0">
      <w:lvlJc w:val="left"/>
      <w:lvlText w:val="(%1)"/>
      <w:numFmt w:val="lowerLetter"/>
      <w:start w:val="10"/>
    </w:lvl>
  </w:abstractNum>
  <w:abstractNum w:abstractNumId="125">
    <w:nsid w:val="5EC6AFD4"/>
    <w:multiLevelType w:val="hybridMultilevel"/>
    <w:lvl w:ilvl="0">
      <w:lvlJc w:val="left"/>
      <w:lvlText w:val="(%1)"/>
      <w:numFmt w:val="lowerLetter"/>
      <w:start w:val="1"/>
    </w:lvl>
  </w:abstractNum>
  <w:abstractNum w:abstractNumId="126">
    <w:nsid w:val="19E21BB2"/>
    <w:multiLevelType w:val="hybridMultilevel"/>
    <w:lvl w:ilvl="0">
      <w:lvlJc w:val="left"/>
      <w:lvlText w:val="%1"/>
      <w:numFmt w:val="lowerLetter"/>
      <w:start w:val="1"/>
    </w:lvl>
    <w:lvl w:ilvl="1">
      <w:lvlJc w:val="left"/>
      <w:lvlText w:val="(%2)"/>
      <w:numFmt w:val="lowerLetter"/>
      <w:start w:val="1"/>
    </w:lvl>
  </w:abstractNum>
  <w:abstractNum w:abstractNumId="127">
    <w:nsid w:val="75E0858A"/>
    <w:multiLevelType w:val="hybridMultilevel"/>
    <w:lvl w:ilvl="0">
      <w:lvlJc w:val="left"/>
      <w:lvlText w:val="(%1)"/>
      <w:numFmt w:val="lowerLetter"/>
      <w:start w:val="35"/>
    </w:lvl>
    <w:lvl w:ilvl="1">
      <w:lvlJc w:val="left"/>
      <w:lvlText w:val="(%2)"/>
      <w:numFmt w:val="lowerLetter"/>
      <w:start w:val="2"/>
    </w:lvl>
  </w:abstractNum>
  <w:abstractNum w:abstractNumId="128">
    <w:nsid w:val="57A61A29"/>
    <w:multiLevelType w:val="hybridMultilevel"/>
    <w:lvl w:ilvl="0">
      <w:lvlJc w:val="left"/>
      <w:lvlText w:val="(%1)"/>
      <w:numFmt w:val="lowerLetter"/>
      <w:start w:val="3"/>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
      <w:numFmt w:val="bullet"/>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2026-04-21T11:28:44Z</dcterms:created>
  <dcterms:modified xsi:type="dcterms:W3CDTF">2026-04-21T11:28:44Z</dcterms:modified>
</cp:coreProperties>
</file>