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660" w:right="940" w:hanging="2712"/>
        <w:spacing w:after="0" w:line="382" w:lineRule="auto"/>
        <w:tabs>
          <w:tab w:leader="none" w:pos="11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3"/>
          </w:tcPr>
          <w:p>
            <w:pPr>
              <w:ind w:left="140"/>
              <w:spacing w:after="0"/>
              <w:rPr>
                <w:sz w:val="20"/>
                <w:szCs w:val="20"/>
                <w:color w:val="auto"/>
              </w:rPr>
            </w:pPr>
            <w:r>
              <w:rPr>
                <w:rFonts w:ascii="Arial" w:cs="Arial" w:eastAsia="Arial" w:hAnsi="Arial"/>
                <w:sz w:val="18"/>
                <w:szCs w:val="18"/>
                <w:b w:val="1"/>
                <w:bCs w:val="1"/>
                <w:color w:val="auto"/>
              </w:rPr>
              <w:t>For the transition period from</w:t>
            </w:r>
          </w:p>
        </w:tc>
        <w:tc>
          <w:tcPr>
            <w:tcW w:w="4260" w:type="dxa"/>
            <w:vAlign w:val="bottom"/>
            <w:gridSpan w:val="3"/>
          </w:tcPr>
          <w:p>
            <w:pPr>
              <w:ind w:left="140"/>
              <w:spacing w:after="0"/>
              <w:rPr>
                <w:sz w:val="20"/>
                <w:szCs w:val="20"/>
                <w:color w:val="auto"/>
              </w:rPr>
            </w:pPr>
            <w:r>
              <w:rPr>
                <w:rFonts w:ascii="Arial" w:cs="Arial" w:eastAsia="Arial" w:hAnsi="Arial"/>
                <w:sz w:val="18"/>
                <w:szCs w:val="18"/>
                <w:b w:val="1"/>
                <w:bCs w:val="1"/>
                <w:color w:val="auto"/>
              </w:rPr>
              <w:t>to</w:t>
            </w:r>
          </w:p>
        </w:tc>
      </w:tr>
      <w:tr>
        <w:trPr>
          <w:trHeight w:val="351"/>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Commission File No. 001-40193</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8"/>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7"/>
          </w:tcPr>
          <w:p>
            <w:pPr>
              <w:jc w:val="center"/>
              <w:ind w:right="3530"/>
              <w:spacing w:after="0"/>
              <w:rPr>
                <w:sz w:val="20"/>
                <w:szCs w:val="20"/>
                <w:color w:val="auto"/>
              </w:rPr>
            </w:pPr>
            <w:r>
              <w:rPr>
                <w:rFonts w:ascii="Arial" w:cs="Arial" w:eastAsia="Arial" w:hAnsi="Arial"/>
                <w:sz w:val="18"/>
                <w:szCs w:val="18"/>
                <w:b w:val="1"/>
                <w:bCs w:val="1"/>
                <w:color w:val="auto"/>
                <w:w w:val="98"/>
              </w:rPr>
              <w:t>ARCHIMEDES TECH SPAC PARTNERS CO.</w:t>
            </w:r>
          </w:p>
        </w:tc>
      </w:tr>
      <w:tr>
        <w:trPr>
          <w:trHeight w:val="230"/>
        </w:trPr>
        <w:tc>
          <w:tcPr>
            <w:tcW w:w="3620" w:type="dxa"/>
            <w:vAlign w:val="bottom"/>
          </w:tcPr>
          <w:p>
            <w:pPr>
              <w:spacing w:after="0"/>
              <w:rPr>
                <w:sz w:val="20"/>
                <w:szCs w:val="20"/>
                <w:color w:val="auto"/>
              </w:rPr>
            </w:pPr>
          </w:p>
        </w:tc>
        <w:tc>
          <w:tcPr>
            <w:tcW w:w="7620" w:type="dxa"/>
            <w:vAlign w:val="bottom"/>
            <w:gridSpan w:val="7"/>
          </w:tcPr>
          <w:p>
            <w:pPr>
              <w:jc w:val="center"/>
              <w:ind w:right="35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44"/>
        </w:trPr>
        <w:tc>
          <w:tcPr>
            <w:tcW w:w="36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1"/>
              </w:rPr>
              <w:t>Delaware</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3"/>
          </w:tcPr>
          <w:p>
            <w:pPr>
              <w:jc w:val="center"/>
              <w:ind w:right="1150"/>
              <w:spacing w:after="0"/>
              <w:rPr>
                <w:sz w:val="20"/>
                <w:szCs w:val="20"/>
                <w:color w:val="auto"/>
              </w:rPr>
            </w:pPr>
            <w:r>
              <w:rPr>
                <w:rFonts w:ascii="Arial" w:cs="Arial" w:eastAsia="Arial" w:hAnsi="Arial"/>
                <w:sz w:val="18"/>
                <w:szCs w:val="18"/>
                <w:b w:val="1"/>
                <w:bCs w:val="1"/>
                <w:color w:val="auto"/>
                <w:w w:val="89"/>
              </w:rPr>
              <w:t>86-1286799</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6980" w:type="dxa"/>
            <w:vAlign w:val="bottom"/>
            <w:gridSpan w:val="5"/>
          </w:tcPr>
          <w:p>
            <w:pPr>
              <w:jc w:val="center"/>
              <w:ind w:right="1460"/>
              <w:spacing w:after="0"/>
              <w:rPr>
                <w:sz w:val="20"/>
                <w:szCs w:val="20"/>
                <w:color w:val="auto"/>
              </w:rPr>
            </w:pPr>
            <w:r>
              <w:rPr>
                <w:rFonts w:ascii="Arial" w:cs="Arial" w:eastAsia="Arial" w:hAnsi="Arial"/>
                <w:sz w:val="18"/>
                <w:szCs w:val="18"/>
                <w:color w:val="auto"/>
                <w:w w:val="92"/>
              </w:rPr>
              <w:t>incorporation or organization)</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358"/>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7"/>
          </w:tcPr>
          <w:p>
            <w:pPr>
              <w:jc w:val="center"/>
              <w:ind w:right="3510"/>
              <w:spacing w:after="0"/>
              <w:rPr>
                <w:sz w:val="20"/>
                <w:szCs w:val="20"/>
                <w:color w:val="auto"/>
              </w:rPr>
            </w:pPr>
            <w:r>
              <w:rPr>
                <w:rFonts w:ascii="Arial" w:cs="Arial" w:eastAsia="Arial" w:hAnsi="Arial"/>
                <w:sz w:val="18"/>
                <w:szCs w:val="18"/>
                <w:b w:val="1"/>
                <w:bCs w:val="1"/>
                <w:color w:val="auto"/>
                <w:w w:val="91"/>
              </w:rPr>
              <w:t>2093 Philadelphia Pike #1968, Claymont, DE 19703</w:t>
            </w:r>
          </w:p>
        </w:tc>
      </w:tr>
      <w:tr>
        <w:trPr>
          <w:trHeight w:val="230"/>
        </w:trPr>
        <w:tc>
          <w:tcPr>
            <w:tcW w:w="11240" w:type="dxa"/>
            <w:vAlign w:val="bottom"/>
            <w:gridSpan w:val="8"/>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44"/>
        </w:trPr>
        <w:tc>
          <w:tcPr>
            <w:tcW w:w="36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0"/>
              </w:rPr>
              <w:t>(650) 560-4753</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7620" w:type="dxa"/>
            <w:vAlign w:val="bottom"/>
            <w:gridSpan w:val="7"/>
          </w:tcPr>
          <w:p>
            <w:pPr>
              <w:jc w:val="center"/>
              <w:ind w:right="35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2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rPr>
              <w:t>N/A</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30"/>
        </w:trPr>
        <w:tc>
          <w:tcPr>
            <w:tcW w:w="11240" w:type="dxa"/>
            <w:vAlign w:val="bottom"/>
            <w:gridSpan w:val="8"/>
          </w:tcPr>
          <w:p>
            <w:pPr>
              <w:jc w:val="center"/>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337"/>
        </w:trPr>
        <w:tc>
          <w:tcPr>
            <w:tcW w:w="6980" w:type="dxa"/>
            <w:vAlign w:val="bottom"/>
            <w:gridSpan w:val="5"/>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3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1"/>
              </w:rPr>
              <w:t>Trading Symbol(s)</w:t>
            </w: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subunit and one-</w:t>
            </w:r>
          </w:p>
        </w:tc>
        <w:tc>
          <w:tcPr>
            <w:tcW w:w="2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jc w:val="center"/>
              <w:ind w:left="370"/>
              <w:spacing w:after="0" w:line="201" w:lineRule="exact"/>
              <w:rPr>
                <w:sz w:val="20"/>
                <w:szCs w:val="20"/>
                <w:color w:val="auto"/>
              </w:rPr>
            </w:pPr>
            <w:r>
              <w:rPr>
                <w:rFonts w:ascii="Arial" w:cs="Arial" w:eastAsia="Arial" w:hAnsi="Arial"/>
                <w:sz w:val="18"/>
                <w:szCs w:val="18"/>
                <w:color w:val="auto"/>
                <w:w w:val="93"/>
              </w:rPr>
              <w:t>ATSPU</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 of one warrant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Subunits included as part of the units, each</w:t>
            </w:r>
          </w:p>
        </w:tc>
        <w:tc>
          <w:tcPr>
            <w:tcW w:w="2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jc w:val="center"/>
              <w:ind w:left="370"/>
              <w:spacing w:after="0" w:line="201" w:lineRule="exact"/>
              <w:rPr>
                <w:sz w:val="20"/>
                <w:szCs w:val="20"/>
                <w:color w:val="auto"/>
              </w:rPr>
            </w:pPr>
            <w:r>
              <w:rPr>
                <w:rFonts w:ascii="Arial" w:cs="Arial" w:eastAsia="Arial" w:hAnsi="Arial"/>
                <w:sz w:val="18"/>
                <w:szCs w:val="18"/>
                <w:color w:val="auto"/>
                <w:w w:val="89"/>
              </w:rPr>
              <w:t>ATSPT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consisting of one share of common stock,</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$0.0001 par value, and one-quarter of one</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warrant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shd w:val="clear" w:color="auto" w:fill="CCECFF"/>
          </w:tcPr>
          <w:p>
            <w:pPr>
              <w:spacing w:after="0"/>
              <w:rPr>
                <w:sz w:val="18"/>
                <w:szCs w:val="18"/>
                <w:color w:val="auto"/>
              </w:rPr>
            </w:pPr>
          </w:p>
        </w:tc>
        <w:tc>
          <w:tcPr>
            <w:tcW w:w="3140" w:type="dxa"/>
            <w:vAlign w:val="bottom"/>
            <w:gridSpan w:val="3"/>
            <w:shd w:val="clear" w:color="auto" w:fill="CCECFF"/>
          </w:tcPr>
          <w:p>
            <w:pPr>
              <w:jc w:val="center"/>
              <w:ind w:left="350"/>
              <w:spacing w:after="0"/>
              <w:rPr>
                <w:sz w:val="20"/>
                <w:szCs w:val="20"/>
                <w:color w:val="auto"/>
              </w:rPr>
            </w:pPr>
            <w:r>
              <w:rPr>
                <w:rFonts w:ascii="Arial" w:cs="Arial" w:eastAsia="Arial" w:hAnsi="Arial"/>
                <w:sz w:val="18"/>
                <w:szCs w:val="18"/>
                <w:color w:val="auto"/>
                <w:w w:val="89"/>
              </w:rPr>
              <w:t>ATSP</w:t>
            </w:r>
          </w:p>
        </w:tc>
        <w:tc>
          <w:tcPr>
            <w:tcW w:w="4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6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Redeemable warrants</w:t>
            </w:r>
          </w:p>
        </w:tc>
        <w:tc>
          <w:tcPr>
            <w:tcW w:w="22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3"/>
              </w:rPr>
              <w:t>ATSPW</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2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70"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151" w:lineRule="exact"/>
        <w:rPr>
          <w:sz w:val="24"/>
          <w:szCs w:val="24"/>
          <w:color w:val="auto"/>
        </w:rPr>
      </w:pPr>
    </w:p>
    <w:p>
      <w:pPr>
        <w:sectPr>
          <w:pgSz w:w="11900" w:h="16838" w:orient="portrait"/>
          <w:cols w:equalWidth="0" w:num="2">
            <w:col w:w="4360" w:space="720"/>
            <w:col w:w="6160"/>
          </w:cols>
          <w:pgMar w:left="320" w:top="513" w:right="339" w:bottom="1440" w:gutter="0" w:footer="0" w:header="0"/>
          <w:type w:val="continuous"/>
        </w:sect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As of January 10, 2022, there were 17,461,000 shares of the Company’s common stock, including shares of common stock underlying the units and subunits,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References throughout this Amendment No. 1 to the Quarterly Report on Form 10-Q to “we,” “us,” the “Company” or “our company” are to Archimedes Tech SPAC Partners Co., unless the context otherwise indicates.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No. 1 (“Amendment No. 1”) to the Quarterly Report on Form 10-Q/A amends the Quarterly Report on Form 10-Q of Archimedes Tech SPAC Partners Co. as of and for the period ended September 30, 2021, as filed with the Securities and Exchange Commission (“SEC”) on November 15, 2021 (the “First Amended Filing”).</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15, 2021, Archimedes Tech SPAC Partners Co. (the “Company”) filed its Form 10-Q for the quarterly period ending September 30, 2021 (the “Q3 Form 10-Q”), which included a Note 2, Revision of Prior Period Financial Statements, (“Note 2”) that describes a revision to the Company’s classification of public subunits (and the underlying shares of common stock) subject to redemption issued as part of the units sold in the Company’s initial public offering (“IPO”) on March 15, 2021. As described in Note 2, upon its IPO, the Company classified a portion of its public subunits (and the underlying shares of common stock) in permanent equity. The Company’s management re-evaluated the conclusion and, as a result, corrected the error by reclassifying all common stock underlying the public subunits subject to redemption as temporary equity. This resulted in a revision to the initial carrying value of the common stock underlying the public subunits subject to possible redemption with the offset recorded to additional paid-in capital (to the extent available), and common stock.</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determined the changes were not qualitatively material to the Company’s previously issued financial statements and did not restate its financial statements. Instead, the Company revised its prior period financial statements in Note 2 to its Q3 Form 10-Q. Although the qualitative factors that management assessed tended to support a conclusion that the misstatements were not material, these factors were not strong enough to overcome the significant quantitative errors in the financial statements. The qualitative and quantitative factors support a conclusion that the misstatements are material on a quantitative basis. As such, upon further consideration of the change, the Company determined the change in classification of the common stock underlying the public subunits and change to the Company’s presentation of earnings per share is material quantitatively and the Company should restate its previously issued financial statements.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Therefore, on December 21, 2021, the Company’s management and the audit committee of the Company’s board of directors (the “Audit Committee”) concluded that the Company’s previously issued (i) audited balance sheet as of March 15, 2021 included in the Company’s Form 8-K filed with the SEC on March 19, 2021, (ii) unaudited interim financial statements included in the Company’s Quarterly Report on Form 10-Q for the quarterly period ended March 31, 2021 filed with the SEC on July 27, 2021 (part of the “Affected Periods”), should be restated to report all public subunits as temporary equity and should no longer be relied upon. As such, the Company will restate its financial statements for the aforementioned periods in this Quarterly Report on Form 10-Q/A.</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Company had re-evaluated the fair value of the representative shares that had been issued on January 13, 2021, prior to the IPO, and concluded that the fair value the Company had previously used for the representative shares was incorrect. The correction to the value of the representative shares would impact the allocation of the proceeds recorded by the Company upon the closing of the IPO on March 15, 2021, which in turn impacts the deemed dividend and thus the earnings per share of the Company that was reported in the Company’s financial statements as of March 31, 2021, June 30, 2021, and September 30, 2021 included in the Form 10-Q filed on July 27, 2021, August 27, 2021, and November 15, 2021, respectively (part of the “Affected Periods”).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determined the changes were not qualitatively material to the Company’s previously issued financial statements and did not restate or revise its financial statements. However, after management re-evaluated this conclusion in conjunction with the Company’s decision to restate its previously issued financial statements to report all of the Company’s redeemable public subunits as temporary equity, management concluded that the Company should restate its previously issued financial statements to correct the fair value of the representative shares as well.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Therefore, on January 7, 2022, the Company’s management and the audit committee of the Company’s board of directors (the “Audit Committee”) concluded that the Company’s previously issued unaudited interim financial statements included in the Company’s Quarterly Report on Form 10-Q for the quarterly period ended March 31, 2021, June 30, 2021, and September 30, 2021 filed with the SEC on July 27, 2021, August 27, 2021, and November 15, 2021, respectively, should be restated to correct the fair value of the representative shares and should no longer be relied upon. As such, the Company will restate its financial statements for the aforementioned periods in this Quarterly Report on Form 10-Q/A.</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any of the above changes will have any impact on its cash position and cash held in the trust account established in connection with the IPO.</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After re-evaluation, the Company’s management has concluded that, in light of the errors described above, a material weakness existed in the Company’s internal control over financial reporting during the Affected Periods and that the Company’s disclosure controls and procedures were not effective. The Company’s remediation plan with respect to such material weakness is described in more detail below in this Quarterly Report on Form 10-Q/A.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10-Q/A</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300" w:type="dxa"/>
            <w:vAlign w:val="bottom"/>
            <w:gridSpan w:val="24"/>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rPr>
                <w:sz w:val="17"/>
                <w:szCs w:val="17"/>
                <w:color w:val="auto"/>
              </w:rPr>
            </w:pP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September 30, 2021 (unaudited) and December 31,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1040" w:type="dxa"/>
            <w:vAlign w:val="bottom"/>
            <w:shd w:val="clear" w:color="auto" w:fill="CCEEFF"/>
          </w:tcPr>
          <w:p>
            <w:pPr>
              <w:spacing w:after="0"/>
              <w:rPr>
                <w:sz w:val="15"/>
                <w:szCs w:val="15"/>
                <w:color w:val="auto"/>
              </w:rPr>
            </w:pPr>
          </w:p>
        </w:tc>
        <w:tc>
          <w:tcPr>
            <w:tcW w:w="9260" w:type="dxa"/>
            <w:vAlign w:val="bottom"/>
            <w:gridSpan w:val="23"/>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Statements of Operations for the three and nine months ended September 30, 2021 and for the period</w:t>
              </w:r>
            </w:hyperlink>
          </w:p>
        </w:tc>
        <w:tc>
          <w:tcPr>
            <w:tcW w:w="940" w:type="dxa"/>
            <w:vAlign w:val="bottom"/>
            <w:shd w:val="clear" w:color="auto" w:fill="CCEEFF"/>
          </w:tcPr>
          <w:p>
            <w:pPr>
              <w:spacing w:after="0"/>
              <w:rPr>
                <w:sz w:val="15"/>
                <w:szCs w:val="15"/>
                <w:color w:val="auto"/>
              </w:rPr>
            </w:pPr>
          </w:p>
        </w:tc>
      </w:tr>
      <w:tr>
        <w:trPr>
          <w:trHeight w:val="217"/>
        </w:trPr>
        <w:tc>
          <w:tcPr>
            <w:tcW w:w="1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74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from September 15, 2020 (inception) through September 30, 2020</w:t>
              </w:r>
            </w:hyperlink>
          </w:p>
        </w:tc>
        <w:tc>
          <w:tcPr>
            <w:tcW w:w="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104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Statements of Changes in Stockholders’ Equity for the three and nine months ended September 30,</w:t>
              </w:r>
            </w:hyperlink>
          </w:p>
        </w:tc>
        <w:tc>
          <w:tcPr>
            <w:tcW w:w="500" w:type="dxa"/>
            <w:vAlign w:val="bottom"/>
            <w:tcBorders>
              <w:bottom w:val="single" w:sz="8" w:color="CCEEFF"/>
            </w:tcBorders>
            <w:gridSpan w:val="2"/>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6"/>
        </w:trPr>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00" w:type="dxa"/>
            <w:vAlign w:val="bottom"/>
            <w:gridSpan w:val="21"/>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2021 and for the period from September 15, 2020 (inception) through September 30, 2020</w:t>
              </w:r>
            </w:hyperlink>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spacing w:after="0"/>
              <w:rPr>
                <w:sz w:val="15"/>
                <w:szCs w:val="15"/>
                <w:color w:val="auto"/>
              </w:rPr>
            </w:pPr>
          </w:p>
        </w:tc>
        <w:tc>
          <w:tcPr>
            <w:tcW w:w="85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Statement of Cash Flows for the nine months ended September 30, 2021 and for the period from</w:t>
              </w:r>
            </w:hyperlink>
          </w:p>
        </w:tc>
        <w:tc>
          <w:tcPr>
            <w:tcW w:w="680" w:type="dxa"/>
            <w:vAlign w:val="bottom"/>
            <w:tcBorders>
              <w:bottom w:val="single" w:sz="8" w:color="CCEEFF"/>
            </w:tcBorders>
            <w:gridSpan w:val="3"/>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7"/>
        </w:trPr>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00" w:type="dxa"/>
            <w:vAlign w:val="bottom"/>
            <w:gridSpan w:val="21"/>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15, 2020 (inception) through September 30, 2020</w:t>
              </w:r>
            </w:hyperlink>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rPr>
                <w:sz w:val="17"/>
                <w:szCs w:val="17"/>
                <w:color w:val="auto"/>
              </w:rPr>
            </w:pP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26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8660" w:type="dxa"/>
            <w:vAlign w:val="bottom"/>
            <w:tcBorders>
              <w:bottom w:val="single" w:sz="8" w:color="CCEEFF"/>
            </w:tcBorders>
            <w:gridSpan w:val="20"/>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10300" w:type="dxa"/>
            <w:vAlign w:val="bottom"/>
            <w:gridSpan w:val="2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0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ARCHIMEDES TECH SPAC PARTNERS CO.</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628,652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134,478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133,007,230</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133,770,360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offering costs and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161,359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Common stock subject to possible redemption, 13,300,000 shares and 0 shares at redemption value as of September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30, 2021 and December 31, 2020, respectively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133,007,230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9"/>
              </w:rPr>
              <w:t>Common stock, $0.0001 par value; 100,000,000 shares and 31,000,000 shares authorized, 4,161,000 shares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89"/>
              </w:rPr>
              <w:t>and 0 shares issued and outstanding (excluding 13,300,000 shares and 0 shares subject to possible redemption) as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September 30, 2021 and December 31, 2020,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821,700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(346,364)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133,770,360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jc w:val="center"/>
              <w:ind w:left="2370"/>
              <w:spacing w:after="0"/>
              <w:rPr>
                <w:sz w:val="20"/>
                <w:szCs w:val="20"/>
                <w:color w:val="auto"/>
              </w:rPr>
            </w:pPr>
            <w:r>
              <w:rPr>
                <w:rFonts w:ascii="Arial" w:cs="Arial" w:eastAsia="Arial" w:hAnsi="Arial"/>
                <w:sz w:val="18"/>
                <w:szCs w:val="18"/>
                <w:color w:val="auto"/>
                <w:w w:val="89"/>
              </w:rPr>
              <w:t>The accompanying notes are an integral part of these condensed financial statements.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tcPr>
          <w:p>
            <w:pPr>
              <w:jc w:val="center"/>
              <w:ind w:left="24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1"/>
              </w:rPr>
              <w:t>For the</w:t>
            </w:r>
          </w:p>
        </w:tc>
        <w:tc>
          <w:tcPr>
            <w:tcW w:w="180" w:type="dxa"/>
            <w:vAlign w:val="bottom"/>
          </w:tcPr>
          <w:p>
            <w:pPr>
              <w:spacing w:after="0"/>
              <w:rPr>
                <w:sz w:val="18"/>
                <w:szCs w:val="18"/>
                <w:color w:val="auto"/>
              </w:rPr>
            </w:pPr>
          </w:p>
        </w:tc>
        <w:tc>
          <w:tcPr>
            <w:tcW w:w="11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15,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2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18"/>
                <w:szCs w:val="18"/>
                <w:color w:val="auto"/>
              </w:rPr>
            </w:pPr>
          </w:p>
        </w:tc>
        <w:tc>
          <w:tcPr>
            <w:tcW w:w="102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229,484</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(229,484)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(461,826)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3,352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Unrealized gain on change in fair value of warrants</w:t>
            </w:r>
          </w:p>
        </w:tc>
        <w:tc>
          <w:tcPr>
            <w:tcW w:w="200" w:type="dxa"/>
            <w:vAlign w:val="bottom"/>
          </w:tcPr>
          <w:p>
            <w:pPr>
              <w:spacing w:after="0"/>
              <w:rPr>
                <w:sz w:val="20"/>
                <w:szCs w:val="20"/>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35,057</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108,948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1"/>
              <w:spacing w:after="0" w:line="256" w:lineRule="exact"/>
              <w:rPr>
                <w:sz w:val="20"/>
                <w:szCs w:val="20"/>
                <w:color w:val="auto"/>
              </w:rPr>
            </w:pPr>
            <w:r>
              <w:rPr>
                <w:rFonts w:ascii="Arial" w:cs="Arial" w:eastAsia="Arial" w:hAnsi="Arial"/>
                <w:sz w:val="16"/>
                <w:szCs w:val="16"/>
                <w:color w:val="auto"/>
              </w:rPr>
              <w:t>(191,075</w:t>
            </w:r>
            <w:r>
              <w:rPr>
                <w:rFonts w:ascii="Arial" w:cs="Arial" w:eastAsia="Arial" w:hAnsi="Arial"/>
                <w:sz w:val="29"/>
                <w:szCs w:val="29"/>
                <w:color w:val="auto"/>
                <w:vertAlign w:val="superscript"/>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(345,648</w:t>
            </w:r>
            <w:r>
              <w:rPr>
                <w:rFonts w:ascii="Arial" w:cs="Arial" w:eastAsia="Arial" w:hAnsi="Arial"/>
                <w:sz w:val="29"/>
                <w:szCs w:val="29"/>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(716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 common stock subject to redemption</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13,300,000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9,675,824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Basic and diluted net (loss) income per share attributable to common stock subject to redemption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4,161,000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3,891,044</w:t>
            </w:r>
          </w:p>
        </w:tc>
        <w:tc>
          <w:tcPr>
            <w:tcW w:w="1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attributable to common stockholders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Sale of 12,000,000 Units through IPO</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12,000,000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w w:val="95"/>
              </w:rPr>
              <w:t>119,998,800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w w:val="97"/>
              </w:rPr>
              <w:t>120,000,000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 of 1,300,000 Units through over-allotment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12,999,870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Sale of 416,000 Private Units in private placement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416,000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4,159,958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2,024,421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to initial stockholders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3,450,000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24,655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fee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(2,660,000)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(2,660,000)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(2,449,810)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(2,449,810)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(270,307)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(270,307)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4,779,936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4,779,936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(154,573)</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(154,573)</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measurement of common stock subject to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(124,412,583)</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(124,413,913)</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Subsequent measurement of common stock subject to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(13,366,023)</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(13,366,023)</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measurement of common stock subject to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(interest earned on trust account)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(3,878)</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4,161,000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825,052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(155,289)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670,179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(191,075)</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(191,075)</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measurement of common stock subject to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(interest earned on trust account)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4,161,000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821,700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b w:val="1"/>
                <w:bCs w:val="1"/>
                <w:color w:val="auto"/>
              </w:rPr>
              <w:t>(346,364</w:t>
            </w:r>
            <w:r>
              <w:rPr>
                <w:rFonts w:ascii="Arial" w:cs="Arial" w:eastAsia="Arial" w:hAnsi="Arial"/>
                <w:sz w:val="29"/>
                <w:szCs w:val="29"/>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475,752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15, 2020 (inception)</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b w:val="1"/>
                <w:bCs w:val="1"/>
                <w:color w:val="auto"/>
              </w:rPr>
              <w:t>(716</w:t>
            </w:r>
            <w:r>
              <w:rPr>
                <w:rFonts w:ascii="Arial" w:cs="Arial" w:eastAsia="Arial" w:hAnsi="Arial"/>
                <w:sz w:val="29"/>
                <w:szCs w:val="29"/>
                <w:b w:val="1"/>
                <w:bCs w:val="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3"/>
          </w:tcPr>
          <w:p>
            <w:pPr>
              <w:jc w:val="right"/>
              <w:ind w:right="40"/>
              <w:spacing w:after="0" w:line="256" w:lineRule="exact"/>
              <w:rPr>
                <w:sz w:val="20"/>
                <w:szCs w:val="20"/>
                <w:color w:val="auto"/>
              </w:rPr>
            </w:pPr>
            <w:r>
              <w:rPr>
                <w:rFonts w:ascii="Arial" w:cs="Arial" w:eastAsia="Arial" w:hAnsi="Arial"/>
                <w:sz w:val="16"/>
                <w:szCs w:val="16"/>
                <w:b w:val="1"/>
                <w:bCs w:val="1"/>
                <w:color w:val="auto"/>
              </w:rPr>
              <w:t>(716</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(345,648)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change in fair value of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(108,948)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(134,478)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offering costs and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126,019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Arial" w:cs="Arial" w:eastAsia="Arial" w:hAnsi="Arial"/>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Investment held in Trust Account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(133,000,000)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(133,000,000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IPO and over-allotment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133,000,000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underwriting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(2,660,000)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4,160,000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promissory note to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 to promissory note to related party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initial stockholders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(425,347)</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134,099,653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628,652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Cash, beginning of the period</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628,652</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124,413,913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Reclassification of offering costs related to Public Shares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(4,779,936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tcBorders>
              <w:top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13,366,023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Subsequent measurement of common stock subject to redemption (interest earned on trust account)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Forfeiture of founder shares</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tcBorders>
              <w:top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classification of warrant liability</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270,307</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the Company had not commenced any revenue-generating operations. All activity for the period from September 15, 2020 (inception) through September 30,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is $2 billion in equity of the Company, with outstanding SoundHound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the Merger Agreement and related transactions can be found in the Current Report on Form 8-K filed on November 16,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the Company’s “initial stockholders” refer to the Company’s stockholders prior to the IPO, excluding the holders of the Representative Shares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$4,849,810 consisting of $2,400,000 of underwriting discount and $2,449,810 of other offering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(the “Over-allotment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the Company had cash outside the Trust Account of $628,652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September 30, 2021, none of the amount on deposit in the Trust Account was available to be withdrawn as described above.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anticipates that the $628,652 outside of the Trust account as of September 30,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Prior Period Financial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recent guidance to Special Purpose Acquisition Companies by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Additionally, the Company’s management re-evaluated the fair value of the Representative Shares and concluded that the fair value the Company had previously used for the Representative Shares were incorrect and needs to be restated. The identified errors impacted the Company’s Form 8-K filing on March 19, 2021 containing the IPO balance sheet as of March 15, 2021, Form 10-Q filing on July 27, 2021 containing financial statements as of March 31, 2021, Form 10-Q filing on August 27, 2021 containing financial statements as of June 30, 2021, and Form 10-Q filing on November 15, 2021 containing financial statements as of September 30, 2021.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aforementioned 8-K and 10-Q filings, and that correcting the cumulative impact of such errors would be significant to our financial statements for the three months and nine months ended September 30, 2021. Accordingly, the Company has corrected such material errors by restating its prior financial statements and classified all Public Subunits as temporary equity as well as restating the fair value of the Representative Shares. The Company will also correct previously reported financial information for such material errors in future filings, as applicable. The following summarizes the effect of the revision on each financial statement line item.</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Impact of the Restatement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impact of the restatement on the audited balance sheet as of March 15, 2021 and unaudited interim condensed financial statements as of and for the three months ended March 31, 2021, June 30, 2021, and September 30, 2021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As Previously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As Restated</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at March 15, 2021</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116,095,120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3,904,880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120,000,000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5,004,068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(4,158,254)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845,814</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March 31,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128,744,590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4,255,935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133,000,525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5,084,297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(4,255,892)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828,405</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 of Operations for the three months ended March 31,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 common stock subject to redemption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2,059,408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2,306,667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3,856,614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(514,481)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3,342,133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 common stock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(loss) per share, common stock not subject to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w w:val="95"/>
              </w:rPr>
              <w:t>Statement of Changes in Stockholders’ Equity for the three months ended March 31,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 - Additional Paid-in-Capital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2,020,963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2,024,421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Issuance of representative shares - Stockholders' Equity (Deficit)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2,024,463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(428,847)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(2,020,963)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(2,449,810)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4,779,936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(13,366,023)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(13,366,023)</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for the three months ended March 31,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115,841,700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8,572,213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124,413,913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12,902,890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(12,902,365)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(4,779,936)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13,366,023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13,366,023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1"/>
              </w:rPr>
              <w:t>Subsequent measurement of common stock subject to redemption (interest earned on trust account)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six months ended June 30,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(loss) per share, common stock subject to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 common stock not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Statement of Changes in Stockholders’ Equity for the six months ended June 30,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Issuance of representative shares - Additional Paid-in-Capital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2,020,963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2,024,421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 - Stockholders' Equity (Deficit)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2,020,963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2,024,463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Offering costs charged to the Stockholders' equity</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(428,847)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(2,449,810)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2,886,166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(11,472,253)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(1,893,770)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(13,366,023)</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 of Cash Flows for the six months ended June 30,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(2,886,166)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(1,893,770)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11,472,253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1,893,770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13,366,023</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Statement of Operations for the nine months ended September 30,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 common stock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(loss) per share, common stock not subject to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w w:val="91"/>
              </w:rPr>
              <w:t>Statement of Changes in Stockholders’ Equity for the nine months ended September 30,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 - Additional Paid-in-Capital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2,020,963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2,024,421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Issuance of representative shares - Stockholders' Equity (Deficit)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2,024,463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(428,847)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(2,020,963)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(2,449,810)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2,886,166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1,893,770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(11,472,253)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(1,893,770)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(13,366,023)</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for the nine months ended September 30,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(2,886,166)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(1,893,770)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(4,779,936)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Subsequent measurement of common stock subject to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11,472,253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13,366,023</w:t>
            </w:r>
          </w:p>
        </w:tc>
      </w:tr>
      <w:tr>
        <w:trPr>
          <w:trHeight w:val="547"/>
        </w:trPr>
        <w:tc>
          <w:tcPr>
            <w:tcW w:w="732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42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three and nine months ended September 30, 2021 are not necessarily indicative of the results that may be expected through December 31, 2021.</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Form 8-K and the final prospectus filed by the Company with the SEC on March 19, 2021 and March 12, 2021,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unaudited condensed financial statement in conformity with US GAAP requires management to make estimates and assumptions that affect the reported amounts of assets and liabilities and disclosure of contingent assets and liabilities at the date of the unaudited condensed financial statement.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has $628,652 of cash held outside of the Trust Account as of September 30, 2021 and no cash held outside of the Trust Account as of December 31, 2020. The Company did not have any cash equivalents as of September 30, 2021 and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2021, the Company had $133,007,230 in the Trust Account which may be utilized for Business Combination. As of September 30, 2021, the assets held in the Trust Account were invested in Treasury Securities consisting of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5560" w:right="2260" w:hanging="5228"/>
        <w:spacing w:after="0" w:line="6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September 30, 2021 due to the short maturities of such instruments.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September 30, 2021 and December 31, 2020,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 for the Public Shares and 24% for the founder non-redeemable shares for the three months ended September 30, 2021, and a ratio of 71% for the Public Shares and 29% for the founder non-redeemable shares for the nine months ended September 30, 2021, reflective of the respective participation rights.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earnings per share presented in the condensed statements of operations is based on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For the three</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For the nine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7"/>
              </w:rPr>
              <w:t>months ended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months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(345,648)</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Accretion of temporary equity to redemption value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(3,352)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(13,373,253)</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including accretion of temporary equity to redemption value</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(13,718,901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9" w:lineRule="exact"/>
        <w:rPr>
          <w:sz w:val="20"/>
          <w:szCs w:val="20"/>
          <w:color w:val="auto"/>
        </w:rPr>
      </w:pPr>
    </w:p>
    <w:p>
      <w:pPr>
        <w:ind w:left="180" w:right="635"/>
        <w:spacing w:after="0" w:line="272" w:lineRule="auto"/>
        <w:rPr>
          <w:sz w:val="20"/>
          <w:szCs w:val="20"/>
          <w:color w:val="auto"/>
        </w:rPr>
      </w:pPr>
      <w:r>
        <w:rPr>
          <w:rFonts w:ascii="Arial" w:cs="Arial" w:eastAsia="Arial" w:hAnsi="Arial"/>
          <w:sz w:val="17"/>
          <w:szCs w:val="17"/>
          <w:color w:val="auto"/>
        </w:rPr>
        <w:t>Allocation of net loss including accretion of temporary equity Accretion of temporary equity to redemption value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Allocation of net income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Weighted-average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30"/>
        </w:trPr>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For the three months ended</w:t>
            </w: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41"/>
        </w:trPr>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 2021</w:t>
            </w: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2021</w:t>
            </w:r>
          </w:p>
        </w:tc>
      </w:tr>
      <w:tr>
        <w:trPr>
          <w:trHeight w:val="198"/>
        </w:trPr>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Non-</w:t>
            </w:r>
          </w:p>
        </w:tc>
      </w:tr>
      <w:tr>
        <w:trPr>
          <w:trHeight w:val="241"/>
        </w:trPr>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Redeemable</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redeemable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Redeemable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redeemable</w:t>
            </w:r>
          </w:p>
        </w:tc>
      </w:tr>
    </w:tbl>
    <w:p>
      <w:pPr>
        <w:spacing w:after="0" w:line="200" w:lineRule="exact"/>
        <w:rPr>
          <w:sz w:val="20"/>
          <w:szCs w:val="20"/>
          <w:color w:val="auto"/>
        </w:rPr>
      </w:pPr>
    </w:p>
    <w:p>
      <w:pPr>
        <w:spacing w:after="0" w:line="218" w:lineRule="exact"/>
        <w:rPr>
          <w:sz w:val="20"/>
          <w:szCs w:val="20"/>
          <w:color w:val="auto"/>
        </w:rPr>
      </w:pPr>
    </w:p>
    <w:p>
      <w:pPr>
        <w:ind w:left="485" w:hanging="485"/>
        <w:spacing w:after="0"/>
        <w:tabs>
          <w:tab w:leader="none" w:pos="485" w:val="left"/>
        </w:tabs>
        <w:numPr>
          <w:ilvl w:val="0"/>
          <w:numId w:val="4"/>
        </w:numPr>
        <w:rPr>
          <w:rFonts w:ascii="Arial" w:cs="Arial" w:eastAsia="Arial" w:hAnsi="Arial"/>
          <w:sz w:val="18"/>
          <w:szCs w:val="18"/>
          <w:color w:val="auto"/>
        </w:rPr>
      </w:pPr>
      <w:r>
        <w:rPr>
          <w:rFonts w:ascii="Arial" w:cs="Arial" w:eastAsia="Arial" w:hAnsi="Arial"/>
          <w:sz w:val="18"/>
          <w:szCs w:val="18"/>
          <w:color w:val="auto"/>
        </w:rPr>
        <w:t>(148,095)  $(46,332)  $   (9,784,253)  $   (3,934,648)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tbl>
      <w:tblPr>
        <w:tblLayout w:type="fixed"/>
        <w:tblInd w:w="5"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3,352</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13,373,253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(144,743</w:t>
            </w:r>
          </w:p>
        </w:tc>
        <w:tc>
          <w:tcPr>
            <w:tcW w:w="26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(46,332</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3,589,000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(3,934,648</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4"/>
        </w:trPr>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13,300,000</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4,161,000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9,675,824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3,891,044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-753745</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-410845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-136525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55" w:space="720"/>
            <w:col w:w="5265"/>
          </w:cols>
          <w:pgMar w:left="320" w:top="773" w:right="339" w:bottom="1440" w:gutter="0" w:footer="0" w:header="0"/>
          <w:type w:val="continuous"/>
        </w:sectPr>
      </w:pPr>
    </w:p>
    <w:p>
      <w:pPr>
        <w:spacing w:after="0" w:line="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 w:name="page15"/>
    <w:bookmarkEnd w:id="14"/>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2021,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were deemed to be de minimis as of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condensed financial statements. The condensed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Entity’s Own Equity (Subtopic 815-40): Accounting for Convertible Instruments and Contracts in an Entity’s Own Equity </w:t>
      </w:r>
      <w:r>
        <w:rPr>
          <w:rFonts w:ascii="Arial" w:cs="Arial" w:eastAsia="Arial" w:hAnsi="Arial"/>
          <w:sz w:val="18"/>
          <w:szCs w:val="18"/>
          <w:color w:val="auto"/>
        </w:rPr>
        <w:t>(“ASU 2020-06”),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Private Placement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 as of September 30, 2021.</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IPO (the “Promissory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loans were non-interest bearing, unsecured and were due at the earlier of March 31, 2021 or the closing of the IPO.</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September 30, 2021, no such Working Capital Loans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As of September 30, 2021, the Company has recorded $30,000 and 67,097, respectively, for the three months ended September 30, 2021 and for the period from March 10, 2021 through September 30, 2021.</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Quoted</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Prices In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Active</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13,</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Markets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Representative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2,024,463</w:t>
            </w:r>
          </w:p>
        </w:tc>
        <w:tc>
          <w:tcPr>
            <w:tcW w:w="1120" w:type="dxa"/>
            <w:vAlign w:val="bottom"/>
            <w:shd w:val="clear" w:color="auto" w:fill="CCEEFF"/>
          </w:tcPr>
          <w:p>
            <w:pPr>
              <w:jc w:val="right"/>
              <w:ind w:right="95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2,024,463</w:t>
            </w:r>
          </w:p>
        </w:tc>
        <w:tc>
          <w:tcPr>
            <w:tcW w:w="10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2,024,463</w:t>
            </w:r>
          </w:p>
        </w:tc>
        <w:tc>
          <w:tcPr>
            <w:tcW w:w="1120" w:type="dxa"/>
            <w:vAlign w:val="bottom"/>
          </w:tcPr>
          <w:p>
            <w:pPr>
              <w:jc w:val="right"/>
              <w:ind w:right="955"/>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1"/>
                <w:szCs w:val="21"/>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2,024,463</w:t>
            </w:r>
          </w:p>
        </w:tc>
        <w:tc>
          <w:tcPr>
            <w:tcW w:w="10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The key inputs into the Monte Carlo simulation model for the Representative Shares were as follows at January 13, 2021: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January 13,</w:t>
            </w:r>
          </w:p>
        </w:tc>
      </w:tr>
      <w:tr>
        <w:trPr>
          <w:trHeight w:val="241"/>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Input</w:t>
            </w:r>
          </w:p>
        </w:tc>
        <w:tc>
          <w:tcPr>
            <w:tcW w:w="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Restricted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Stock price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September 30, 2021 and indicates the fair value hierarchy of the valuation techniques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Prices In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59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Mutual Fund held in Trust Account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133,007,230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133,007,230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59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133,007,230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133,007,230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161,359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161,359</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161,359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161,359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estimated fair value of the warrant liability on March 15, 2021 and September 30,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March 15, 2021: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15,</w:t>
            </w:r>
          </w:p>
        </w:tc>
      </w:tr>
      <w:tr>
        <w:trPr>
          <w:trHeight w:val="241"/>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Input</w:t>
            </w: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Stock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418"/>
        </w:trPr>
        <w:tc>
          <w:tcPr>
            <w:tcW w:w="9980" w:type="dxa"/>
            <w:vAlign w:val="bottom"/>
            <w:gridSpan w:val="2"/>
          </w:tcPr>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September 30,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Input</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Stock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the changes in the fair value of the warrant liability for the nine months ended September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Initial fair value of warrant liability upon issuance at IPO</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270,307</w:t>
            </w:r>
          </w:p>
        </w:tc>
        <w:tc>
          <w:tcPr>
            <w:tcW w:w="0" w:type="dxa"/>
            <w:vAlign w:val="bottom"/>
          </w:tcPr>
          <w:p>
            <w:pPr>
              <w:spacing w:after="0"/>
              <w:rPr>
                <w:sz w:val="1"/>
                <w:szCs w:val="1"/>
                <w:color w:val="auto"/>
              </w:rPr>
            </w:pP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(108,948)</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September 30,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161,359</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 Commitments and Contingencies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Registration Rights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Legal Services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September 30, 2021, the Company had paid a total of $50,000 of retainer fees to Loeb.</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 </w:t>
      </w:r>
      <w:r>
        <w:rPr>
          <w:rFonts w:ascii="Arial" w:cs="Arial" w:eastAsia="Arial" w:hAnsi="Arial"/>
          <w:sz w:val="18"/>
          <w:szCs w:val="18"/>
          <w:color w:val="auto"/>
        </w:rPr>
        <w:t>The Company is authorized to issue 1,000,000 shares of preferred stock at par value of $0.0001 per share. As of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shares of preferred stock issued or outstanding.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Common Stock — </w:t>
      </w:r>
      <w:r>
        <w:rPr>
          <w:rFonts w:ascii="Arial" w:cs="Arial" w:eastAsia="Arial" w:hAnsi="Arial"/>
          <w:sz w:val="16"/>
          <w:szCs w:val="16"/>
          <w:color w:val="auto"/>
        </w:rPr>
        <w:t>The Company is authorized to issue 100,000,000 shares of common stock with a par value of $0.0001 per share. At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there were 4,161,000 shares of common stock issued and outstanding, excluding 13,300,000 shares of common stock subject to possible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15, 2021, the Company entered into the Merger Agreement with SoundHound Inc., a voice artificial intelligence company, pursuant to which the two companies agreed to consummate a Business Combination. The total consideration to be paid by the Company to SoundHound is $2 billion in equity of the Company, with outstanding SoundHound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the Merger Agreement and related transactions can be found in the Current Report on Form 8-K filed on November 16, 2021.</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to the “Company,” “Archimedes Tech SPAC Partners Co.” “our,” “us” or “we” refer to Archimedes Tech SPAC Partners Co.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10-Q/A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activity through September 30, 2021 relates to our formation, IPO, which was consummated on March 15, 2021, and search for a prospective initial business combination target.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is $2 billion in equity of the Company, with outstanding SoundHound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the Merger Agreement and related transactions can be found in the Current Report on Form 8-K filed on November 16,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have not commenced any operations. All activity for the period from September 15, 2020 (inception) through September 30,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September 30, 2021, we had a net loss of $191,075, which was comprised of operating costs of $229,484, interest income of $3,352 from marketable securities held in our Trust Account, and unrealized gain on change in fair value of warrants of $35,057.</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 months ended September 30, 2021, we had a net loss of $345,648, which was comprised of operating costs of $461,826, interest income of $7,230 from marketable securities held in our Trust Account, and unrealized gain on change in fair value of warrants of $108,948.</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September 15, 2020 (inception) through September 30, 2020, we had a net loss of $716, which was comprised of operating costs of $716.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15, 2021, we consummated the IPO of 12,000,000 Public Units at a price of $10.00 per Public Unit, generating gross proceeds of $120,000,000. Simultaneously with the closing of the IPO, we consummated the sale of 390,000 Private Units at a price of $10.00 per Private Unit in a private placement to the Sponsor and EarlyBirdCapital, generating gross proceeds of $3,900,000.</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both"/>
        <w:spacing w:after="0" w:line="311" w:lineRule="auto"/>
        <w:rPr>
          <w:sz w:val="20"/>
          <w:szCs w:val="20"/>
          <w:color w:val="auto"/>
        </w:rPr>
      </w:pPr>
      <w:r>
        <w:rPr>
          <w:rFonts w:ascii="Arial" w:cs="Arial" w:eastAsia="Arial" w:hAnsi="Arial"/>
          <w:sz w:val="16"/>
          <w:szCs w:val="16"/>
          <w:color w:val="auto"/>
        </w:rPr>
        <w:t>On March 19, 2021, the underwriters partially exercised the over-allotment option to purchase 1,300,000 Public Units, at a purchase price of $10.00 per Public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and the remaining net proceeds was deposited in our operating bank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$628,652 of cash held outside of the Trust Account for our working capital needs.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anticipate that the $628,652 outside of the Trust account as of September 30, 2021 will not be sufficient to allow us to operate for at least the next 12 months, assuming that a Business Combination is not consummated during that time. Moreover, we may need to obtain additional financing to consummate our Initial Business Combination but there is no assurance that new financing will be available to us on commercially acceptable terms. Furthermore, if we are not able to consummate a Business Combination by September 15, 2022, it will trigger our automatic winding up, liquidation and dissolution. These conditions raise substantial doubt about our ability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loss per common share is computed by dividing net loss by the weighted average number of common stock outstanding for each of the periods. The calculation of diluted loss per common share does not consider the effect of the warrants issued in connection with the (i) IPO, (ii) exercise of overallotment and (iii) Private Placement since the exercise price of the warrants is higher than the market price. The warrants are exercisable to purchase 6,858,000 shares of common stock in the aggregate.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we were not subject to any market or interest rate risk. The net proceeds held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upon their evaluation, our Chief Executive Officer and Chief Financial Officer concluded that, during the period covered by this report, our disclosure controls and procedures were not effective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material weakness identified in our internal controls related to the Company’s accounting for complex financial instruments. This material weakness resulted in the restatement of the Company’s balance sheet as of March 15, 2021, and its interim financial statements for the quarter ended March 31, 2021; June 30, 2021; and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most recently completed fiscal quarter ended September 30, 2021, we have enhanced our internal controls over financial reporting relating to redeemable equity instruments and Representative Shares by continuing to recognize all Public Subunits as temporary equity and adopting a more robust approach to assessing the fair value of our equity instruments. We believe our efforts are effective in identifying and appropriately applying applicable accounting requirements but we believe we will need additional time to monitor and assess our efforts to evaluate their ultimate effectiveness. There have been no changes in our internal controls over financial reporting, except as previously noted, that has materially affected, or is reasonably likely to affect, our internal control over financial reporting.</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 required for smaller reporting companies. However, as of the date of this Quarterly Report, other than as described below, there have been no material changes to the risk factors disclosed in our final prospectus for our IPO filed with the SEC on March 12, 2021. Factors that could cause our actual results to differ materially from those in this Quarterly Report are any of the risks described in our final prospectus for our IPO filed with the SEC on March 12, 2021.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sales of equity securities during the period covered by this Quarterly Report that were not registered under the Securities Act and were not previously reported in a Quarterly Report on Form 10-Q or a Current Report on Form 8-K filed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right="9820" w:firstLine="8"/>
        <w:spacing w:after="0" w:line="342"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3140"/>
              <w:spacing w:after="0"/>
              <w:rPr>
                <w:sz w:val="20"/>
                <w:szCs w:val="20"/>
                <w:color w:val="auto"/>
              </w:rPr>
            </w:pPr>
            <w:r>
              <w:rPr>
                <w:rFonts w:ascii="Arial" w:cs="Arial" w:eastAsia="Arial" w:hAnsi="Arial"/>
                <w:sz w:val="18"/>
                <w:szCs w:val="18"/>
                <w:b w:val="1"/>
                <w:bCs w:val="1"/>
                <w:color w:val="auto"/>
              </w:rPr>
              <w:t>ARCHIMEDES TECH SPAC PARTNERS CO.</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January 10, 2022</w:t>
            </w:r>
          </w:p>
        </w:tc>
        <w:tc>
          <w:tcPr>
            <w:tcW w:w="3720" w:type="dxa"/>
            <w:vAlign w:val="bottom"/>
          </w:tcPr>
          <w:p>
            <w:pPr>
              <w:ind w:left="3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3600" w:type="dxa"/>
            <w:vAlign w:val="bottom"/>
          </w:tcPr>
          <w:p>
            <w:pPr>
              <w:spacing w:after="0"/>
              <w:rPr>
                <w:sz w:val="17"/>
                <w:szCs w:val="17"/>
                <w:color w:val="auto"/>
              </w:rPr>
            </w:pPr>
          </w:p>
        </w:tc>
        <w:tc>
          <w:tcPr>
            <w:tcW w:w="3720" w:type="dxa"/>
            <w:vAlign w:val="bottom"/>
          </w:tcPr>
          <w:p>
            <w:pPr>
              <w:ind w:left="31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16"/>
        </w:trPr>
        <w:tc>
          <w:tcPr>
            <w:tcW w:w="3600" w:type="dxa"/>
            <w:vAlign w:val="bottom"/>
          </w:tcPr>
          <w:p>
            <w:pPr>
              <w:spacing w:after="0"/>
              <w:rPr>
                <w:sz w:val="18"/>
                <w:szCs w:val="18"/>
                <w:color w:val="auto"/>
              </w:rPr>
            </w:pPr>
          </w:p>
        </w:tc>
        <w:tc>
          <w:tcPr>
            <w:tcW w:w="3720" w:type="dxa"/>
            <w:vAlign w:val="bottom"/>
          </w:tcPr>
          <w:p>
            <w:pPr>
              <w:ind w:left="31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January 10, 2022</w:t>
            </w:r>
          </w:p>
        </w:tc>
        <w:tc>
          <w:tcPr>
            <w:tcW w:w="3720" w:type="dxa"/>
            <w:vAlign w:val="bottom"/>
          </w:tcPr>
          <w:p>
            <w:pPr>
              <w:ind w:left="3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Long Long</w:t>
            </w:r>
          </w:p>
        </w:tc>
      </w:tr>
      <w:tr>
        <w:trPr>
          <w:trHeight w:val="202"/>
        </w:trPr>
        <w:tc>
          <w:tcPr>
            <w:tcW w:w="3600" w:type="dxa"/>
            <w:vAlign w:val="bottom"/>
          </w:tcPr>
          <w:p>
            <w:pPr>
              <w:spacing w:after="0"/>
              <w:rPr>
                <w:sz w:val="17"/>
                <w:szCs w:val="17"/>
                <w:color w:val="auto"/>
              </w:rPr>
            </w:pPr>
          </w:p>
        </w:tc>
        <w:tc>
          <w:tcPr>
            <w:tcW w:w="3720" w:type="dxa"/>
            <w:vAlign w:val="bottom"/>
          </w:tcPr>
          <w:p>
            <w:pPr>
              <w:ind w:left="31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Long Long</w:t>
            </w:r>
          </w:p>
        </w:tc>
      </w:tr>
      <w:tr>
        <w:trPr>
          <w:trHeight w:val="216"/>
        </w:trPr>
        <w:tc>
          <w:tcPr>
            <w:tcW w:w="3600" w:type="dxa"/>
            <w:vAlign w:val="bottom"/>
          </w:tcPr>
          <w:p>
            <w:pPr>
              <w:spacing w:after="0"/>
              <w:rPr>
                <w:sz w:val="18"/>
                <w:szCs w:val="18"/>
                <w:color w:val="auto"/>
              </w:rPr>
            </w:pPr>
          </w:p>
        </w:tc>
        <w:tc>
          <w:tcPr>
            <w:tcW w:w="3720" w:type="dxa"/>
            <w:vAlign w:val="bottom"/>
          </w:tcPr>
          <w:p>
            <w:pPr>
              <w:ind w:left="31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55"/>
        </w:trPr>
        <w:tc>
          <w:tcPr>
            <w:tcW w:w="3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22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N. Cannon,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 of Archimedes Tech SPAC Partners Co.;</w:t>
      </w:r>
    </w:p>
    <w:p>
      <w:pPr>
        <w:spacing w:after="0" w:line="225" w:lineRule="exact"/>
        <w:rPr>
          <w:sz w:val="20"/>
          <w:szCs w:val="20"/>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N. Cannon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6" w:name="page27"/>
    <w:bookmarkEnd w:id="2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Long Long,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 of Archimedes Tech SPAC Partners Co.;</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Long Long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Amendment No. 1 to the Quarterly Report of Archimedes Tech SPAC Partners Co. (the “Company”) on Form 10-Q for the quarterly period ended September 30, 2021, as filed with the Securities and Exchange Commission (the “Report”), I, Stephen N. Cannon, Chief Executive Officer of the Company, certify, pursuant to 18 U.S.C. §1350, as adopted pursuant to §906 of the Sarbanes-Oxley Act of 2002, that, to the best of my knowledge:</w:t>
      </w:r>
    </w:p>
    <w:p>
      <w:pPr>
        <w:spacing w:after="0" w:line="14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140" w:firstLine="332"/>
        <w:spacing w:after="0" w:line="500"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January 10, 2022</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N. Cannon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8" w:name="page29"/>
    <w:bookmarkEnd w:id="28"/>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Amendment No. 1 to the Quarterly Report of Archimedes Tech SPAC Partners Co. (the “Company”) on Form 10-Q for the quarterly period ended September 30, 2021, as filed with the Securities and Exchange Commission (the “Report”), I, Long Long, Chief Financial Officer of the Company, certify, pursuant to 18 U.S.C. §1350, as adopted pursuant to §906 of the Sarbanes-Oxley Act of 2002, that, to the best of my knowledge:</w:t>
      </w:r>
    </w:p>
    <w:p>
      <w:pPr>
        <w:spacing w:after="0" w:line="14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140" w:firstLine="332"/>
        <w:spacing w:after="0" w:line="500"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January 10, 2022</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Long Long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4"/>
      <w:numFmt w:val="bullet"/>
      <w:start w:val="1"/>
    </w:lvl>
    <w:lvl w:ilvl="1">
      <w:lvlJc w:val="left"/>
      <w:lvlText w:val="%2)"/>
      <w:numFmt w:val="lowerLetter"/>
      <w:start w:val="1"/>
    </w:lvl>
  </w:abstractNum>
  <w:abstractNum w:abstractNumId="10">
    <w:nsid w:val="41A7C4C9"/>
    <w:multiLevelType w:val="hybridMultilevel"/>
    <w:lvl w:ilvl="0">
      <w:lvlJc w:val="left"/>
      <w:lvlText w:val="5"/>
      <w:numFmt w:val="bullet"/>
      <w:start w:val="1"/>
    </w:lvl>
    <w:lvl w:ilvl="1">
      <w:lvlJc w:val="left"/>
      <w:lvlText w:val="%2)"/>
      <w:numFmt w:val="lowerLetter"/>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2"/>
      <w:numFmt w:val="bullet"/>
      <w:start w:val="1"/>
    </w:lvl>
  </w:abstractNum>
  <w:abstractNum w:abstractNumId="13">
    <w:nsid w:val="25E45D32"/>
    <w:multiLevelType w:val="hybridMultilevel"/>
    <w:lvl w:ilvl="0">
      <w:lvlJc w:val="left"/>
      <w:lvlText w:val="3"/>
      <w:numFmt w:val="bullet"/>
      <w:start w:val="1"/>
    </w:lvl>
  </w:abstractNum>
  <w:abstractNum w:abstractNumId="14">
    <w:nsid w:val="519B500D"/>
    <w:multiLevelType w:val="hybridMultilevel"/>
    <w:lvl w:ilvl="0">
      <w:lvlJc w:val="left"/>
      <w:lvlText w:val="4"/>
      <w:numFmt w:val="bullet"/>
      <w:start w:val="1"/>
    </w:lvl>
    <w:lvl w:ilvl="1">
      <w:lvlJc w:val="left"/>
      <w:lvlText w:val="%2)"/>
      <w:numFmt w:val="lowerLetter"/>
      <w:start w:val="1"/>
    </w:lvl>
  </w:abstractNum>
  <w:abstractNum w:abstractNumId="15">
    <w:nsid w:val="431BD7B7"/>
    <w:multiLevelType w:val="hybridMultilevel"/>
    <w:lvl w:ilvl="0">
      <w:lvlJc w:val="left"/>
      <w:lvlText w:val="5"/>
      <w:numFmt w:val="bullet"/>
      <w:start w:val="1"/>
    </w:lvl>
    <w:lvl w:ilvl="1">
      <w:lvlJc w:val="left"/>
      <w:lvlText w:val="%2)"/>
      <w:numFmt w:val="lowerLetter"/>
      <w:start w:val="1"/>
    </w:lvl>
  </w:abstractNum>
  <w:abstractNum w:abstractNumId="16">
    <w:nsid w:val="3F2DBA31"/>
    <w:multiLevelType w:val="hybridMultilevel"/>
    <w:lvl w:ilvl="0">
      <w:lvlJc w:val="left"/>
      <w:lvlText w:val="1"/>
      <w:numFmt w:val="bullet"/>
      <w:start w:val="1"/>
    </w:lvl>
  </w:abstractNum>
  <w:abstractNum w:abstractNumId="17">
    <w:nsid w:val="7C83E458"/>
    <w:multiLevelType w:val="hybridMultilevel"/>
    <w:lvl w:ilvl="0">
      <w:lvlJc w:val="left"/>
      <w:lvlText w:val="2"/>
      <w:numFmt w:val="bullet"/>
      <w:start w:val="1"/>
    </w:lvl>
  </w:abstractNum>
  <w:abstractNum w:abstractNumId="18">
    <w:nsid w:val="257130A3"/>
    <w:multiLevelType w:val="hybridMultilevel"/>
    <w:lvl w:ilvl="0">
      <w:lvlJc w:val="left"/>
      <w:lvlText w:val="1"/>
      <w:numFmt w:val="bullet"/>
      <w:start w:val="1"/>
    </w:lvl>
  </w:abstractNum>
  <w:abstractNum w:abstractNumId="19">
    <w:nsid w:val="62BBD9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2022-01-10T07:42:44Z</dcterms:created>
  <dcterms:modified xsi:type="dcterms:W3CDTF">2022-01-10T07:42:44Z</dcterms:modified>
</cp:coreProperties>
</file>